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November 24, 2025</w:t>
      </w:r>
    </w:p>
    <w:p>
      <w:pPr>
        <w:spacing w:after="0" w:line="24"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921385</wp:posOffset>
            </wp:positionH>
            <wp:positionV relativeFrom="paragraph">
              <wp:posOffset>65405</wp:posOffset>
            </wp:positionV>
            <wp:extent cx="53251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98425</wp:posOffset>
            </wp:positionV>
            <wp:extent cx="53251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1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86360</wp:posOffset>
            </wp:positionV>
            <wp:extent cx="11226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93980</wp:posOffset>
            </wp:positionV>
            <wp:extent cx="1122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CROWN HOLDINGS, INC.</w:t>
      </w:r>
    </w:p>
    <w:p>
      <w:pPr>
        <w:spacing w:after="0" w:line="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1"/>
          <w:szCs w:val="11"/>
          <w:b w:val="1"/>
          <w:bCs w:val="1"/>
          <w:color w:val="auto"/>
        </w:rPr>
        <w:t>(Exact name of Registrants as specified in their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79375</wp:posOffset>
            </wp:positionV>
            <wp:extent cx="11226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69" w:lineRule="exact"/>
        <w:rPr>
          <w:sz w:val="24"/>
          <w:szCs w:val="24"/>
          <w:color w:val="auto"/>
        </w:rPr>
      </w:pPr>
    </w:p>
    <w:tbl>
      <w:tblPr>
        <w:tblLayout w:type="fixed"/>
        <w:tblInd w:w="2240" w:type="dxa"/>
        <w:tblCellMar>
          <w:top w:w="0" w:type="dxa"/>
          <w:left w:w="0" w:type="dxa"/>
          <w:bottom w:w="0" w:type="dxa"/>
          <w:right w:w="0" w:type="dxa"/>
        </w:tblCellMar>
      </w:tblPr>
      <w:tr>
        <w:trPr>
          <w:trHeight w:val="126"/>
        </w:trPr>
        <w:tc>
          <w:tcPr>
            <w:tcW w:w="2080" w:type="dxa"/>
            <w:vAlign w:val="bottom"/>
          </w:tcPr>
          <w:p>
            <w:pPr>
              <w:jc w:val="center"/>
              <w:ind w:right="770"/>
              <w:spacing w:after="0"/>
              <w:rPr>
                <w:sz w:val="20"/>
                <w:szCs w:val="20"/>
                <w:color w:val="auto"/>
              </w:rPr>
            </w:pPr>
            <w:r>
              <w:rPr>
                <w:rFonts w:ascii="Times New Roman" w:cs="Times New Roman" w:eastAsia="Times New Roman" w:hAnsi="Times New Roman"/>
                <w:sz w:val="11"/>
                <w:szCs w:val="11"/>
                <w:b w:val="1"/>
                <w:bCs w:val="1"/>
                <w:color w:val="auto"/>
                <w:w w:val="99"/>
              </w:rPr>
              <w:t>Pennsylvania</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w w:val="99"/>
              </w:rPr>
              <w:t>3411</w:t>
            </w:r>
          </w:p>
        </w:tc>
        <w:tc>
          <w:tcPr>
            <w:tcW w:w="1640" w:type="dxa"/>
            <w:vAlign w:val="bottom"/>
          </w:tcPr>
          <w:p>
            <w:pPr>
              <w:jc w:val="center"/>
              <w:ind w:left="830"/>
              <w:spacing w:after="0"/>
              <w:rPr>
                <w:sz w:val="20"/>
                <w:szCs w:val="20"/>
                <w:color w:val="auto"/>
              </w:rPr>
            </w:pPr>
            <w:r>
              <w:rPr>
                <w:rFonts w:ascii="Times New Roman" w:cs="Times New Roman" w:eastAsia="Times New Roman" w:hAnsi="Times New Roman"/>
                <w:sz w:val="11"/>
                <w:szCs w:val="11"/>
                <w:b w:val="1"/>
                <w:bCs w:val="1"/>
                <w:color w:val="auto"/>
                <w:w w:val="97"/>
              </w:rPr>
              <w:t>75-3099507</w:t>
            </w:r>
          </w:p>
        </w:tc>
      </w:tr>
      <w:tr>
        <w:trPr>
          <w:trHeight w:val="103"/>
        </w:trPr>
        <w:tc>
          <w:tcPr>
            <w:tcW w:w="2080" w:type="dxa"/>
            <w:vAlign w:val="bottom"/>
          </w:tcPr>
          <w:p>
            <w:pPr>
              <w:jc w:val="center"/>
              <w:ind w:right="750"/>
              <w:spacing w:after="0" w:line="103"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920" w:type="dxa"/>
            <w:vAlign w:val="bottom"/>
          </w:tcPr>
          <w:p>
            <w:pPr>
              <w:jc w:val="center"/>
              <w:ind w:right="50"/>
              <w:spacing w:after="0" w:line="103" w:lineRule="exact"/>
              <w:rPr>
                <w:sz w:val="20"/>
                <w:szCs w:val="20"/>
                <w:color w:val="auto"/>
              </w:rPr>
            </w:pPr>
            <w:r>
              <w:rPr>
                <w:rFonts w:ascii="Times New Roman" w:cs="Times New Roman" w:eastAsia="Times New Roman" w:hAnsi="Times New Roman"/>
                <w:sz w:val="10"/>
                <w:szCs w:val="10"/>
                <w:b w:val="1"/>
                <w:bCs w:val="1"/>
                <w:color w:val="auto"/>
                <w:w w:val="95"/>
              </w:rPr>
              <w:t>(Primary Standard Industrial</w:t>
            </w:r>
          </w:p>
        </w:tc>
        <w:tc>
          <w:tcPr>
            <w:tcW w:w="1640" w:type="dxa"/>
            <w:vAlign w:val="bottom"/>
          </w:tcPr>
          <w:p>
            <w:pPr>
              <w:jc w:val="center"/>
              <w:ind w:left="810"/>
              <w:spacing w:after="0" w:line="103"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2080" w:type="dxa"/>
            <w:vAlign w:val="bottom"/>
          </w:tcPr>
          <w:p>
            <w:pPr>
              <w:jc w:val="center"/>
              <w:ind w:right="750"/>
              <w:spacing w:after="0"/>
              <w:rPr>
                <w:sz w:val="20"/>
                <w:szCs w:val="20"/>
                <w:color w:val="auto"/>
              </w:rPr>
            </w:pPr>
            <w:r>
              <w:rPr>
                <w:rFonts w:ascii="Times New Roman" w:cs="Times New Roman" w:eastAsia="Times New Roman" w:hAnsi="Times New Roman"/>
                <w:sz w:val="10"/>
                <w:szCs w:val="10"/>
                <w:b w:val="1"/>
                <w:bCs w:val="1"/>
                <w:color w:val="auto"/>
                <w:w w:val="95"/>
              </w:rPr>
              <w:t>Incorporation or Organization)</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5"/>
              </w:rPr>
              <w:t>Classification Code Number)</w:t>
            </w:r>
          </w:p>
        </w:tc>
        <w:tc>
          <w:tcPr>
            <w:tcW w:w="1640" w:type="dxa"/>
            <w:vAlign w:val="bottom"/>
          </w:tcPr>
          <w:p>
            <w:pPr>
              <w:jc w:val="center"/>
              <w:ind w:left="830"/>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14025 Riveredge Drive, Suite 300</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Tampa, FL 33637</w:t>
      </w:r>
    </w:p>
    <w:p>
      <w:pPr>
        <w:jc w:val="center"/>
        <w:ind w:right="-1120"/>
        <w:spacing w:after="0" w:line="218" w:lineRule="auto"/>
        <w:rPr>
          <w:sz w:val="20"/>
          <w:szCs w:val="20"/>
          <w:color w:val="auto"/>
        </w:rPr>
      </w:pPr>
      <w:r>
        <w:rPr>
          <w:rFonts w:ascii="Times New Roman" w:cs="Times New Roman" w:eastAsia="Times New Roman" w:hAnsi="Times New Roman"/>
          <w:sz w:val="11"/>
          <w:szCs w:val="11"/>
          <w:b w:val="1"/>
          <w:bCs w:val="1"/>
          <w:color w:val="auto"/>
        </w:rPr>
        <w:t>(215) 698-5100</w:t>
      </w:r>
    </w:p>
    <w:p>
      <w:pPr>
        <w:ind w:left="3180"/>
        <w:spacing w:after="0" w:line="237" w:lineRule="auto"/>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80010</wp:posOffset>
            </wp:positionV>
            <wp:extent cx="11226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7"/>
          <w:szCs w:val="27"/>
          <w:b w:val="1"/>
          <w:bCs w:val="1"/>
          <w:color w:val="auto"/>
        </w:rPr>
        <w:t>CROWN AMERICAS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111125</wp:posOffset>
            </wp:positionV>
            <wp:extent cx="11226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19" w:lineRule="exact"/>
        <w:rPr>
          <w:sz w:val="24"/>
          <w:szCs w:val="24"/>
          <w:color w:val="auto"/>
        </w:rPr>
      </w:pPr>
    </w:p>
    <w:tbl>
      <w:tblPr>
        <w:tblLayout w:type="fixed"/>
        <w:tblInd w:w="2240" w:type="dxa"/>
        <w:tblCellMar>
          <w:top w:w="0" w:type="dxa"/>
          <w:left w:w="0" w:type="dxa"/>
          <w:bottom w:w="0" w:type="dxa"/>
          <w:right w:w="0" w:type="dxa"/>
        </w:tblCellMar>
      </w:tblPr>
      <w:tr>
        <w:trPr>
          <w:trHeight w:val="126"/>
        </w:trPr>
        <w:tc>
          <w:tcPr>
            <w:tcW w:w="2080" w:type="dxa"/>
            <w:vAlign w:val="bottom"/>
          </w:tcPr>
          <w:p>
            <w:pPr>
              <w:jc w:val="center"/>
              <w:ind w:right="770"/>
              <w:spacing w:after="0"/>
              <w:rPr>
                <w:sz w:val="20"/>
                <w:szCs w:val="20"/>
                <w:color w:val="auto"/>
              </w:rPr>
            </w:pPr>
            <w:r>
              <w:rPr>
                <w:rFonts w:ascii="Times New Roman" w:cs="Times New Roman" w:eastAsia="Times New Roman" w:hAnsi="Times New Roman"/>
                <w:sz w:val="11"/>
                <w:szCs w:val="11"/>
                <w:b w:val="1"/>
                <w:bCs w:val="1"/>
                <w:color w:val="auto"/>
                <w:w w:val="99"/>
              </w:rPr>
              <w:t>Pennsylvania</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w w:val="99"/>
              </w:rPr>
              <w:t>3411</w:t>
            </w:r>
          </w:p>
        </w:tc>
        <w:tc>
          <w:tcPr>
            <w:tcW w:w="1640" w:type="dxa"/>
            <w:vAlign w:val="bottom"/>
          </w:tcPr>
          <w:p>
            <w:pPr>
              <w:jc w:val="center"/>
              <w:ind w:left="830"/>
              <w:spacing w:after="0"/>
              <w:rPr>
                <w:sz w:val="20"/>
                <w:szCs w:val="20"/>
                <w:color w:val="auto"/>
              </w:rPr>
            </w:pPr>
            <w:r>
              <w:rPr>
                <w:rFonts w:ascii="Times New Roman" w:cs="Times New Roman" w:eastAsia="Times New Roman" w:hAnsi="Times New Roman"/>
                <w:sz w:val="11"/>
                <w:szCs w:val="11"/>
                <w:b w:val="1"/>
                <w:bCs w:val="1"/>
                <w:color w:val="auto"/>
                <w:w w:val="97"/>
              </w:rPr>
              <w:t>23-1526444</w:t>
            </w:r>
          </w:p>
        </w:tc>
      </w:tr>
      <w:tr>
        <w:trPr>
          <w:trHeight w:val="103"/>
        </w:trPr>
        <w:tc>
          <w:tcPr>
            <w:tcW w:w="2080" w:type="dxa"/>
            <w:vAlign w:val="bottom"/>
          </w:tcPr>
          <w:p>
            <w:pPr>
              <w:jc w:val="center"/>
              <w:ind w:right="750"/>
              <w:spacing w:after="0" w:line="103"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920" w:type="dxa"/>
            <w:vAlign w:val="bottom"/>
          </w:tcPr>
          <w:p>
            <w:pPr>
              <w:jc w:val="center"/>
              <w:ind w:right="50"/>
              <w:spacing w:after="0" w:line="103" w:lineRule="exact"/>
              <w:rPr>
                <w:sz w:val="20"/>
                <w:szCs w:val="20"/>
                <w:color w:val="auto"/>
              </w:rPr>
            </w:pPr>
            <w:r>
              <w:rPr>
                <w:rFonts w:ascii="Times New Roman" w:cs="Times New Roman" w:eastAsia="Times New Roman" w:hAnsi="Times New Roman"/>
                <w:sz w:val="10"/>
                <w:szCs w:val="10"/>
                <w:b w:val="1"/>
                <w:bCs w:val="1"/>
                <w:color w:val="auto"/>
                <w:w w:val="95"/>
              </w:rPr>
              <w:t>(Primary Standard Industrial</w:t>
            </w:r>
          </w:p>
        </w:tc>
        <w:tc>
          <w:tcPr>
            <w:tcW w:w="1640" w:type="dxa"/>
            <w:vAlign w:val="bottom"/>
          </w:tcPr>
          <w:p>
            <w:pPr>
              <w:jc w:val="center"/>
              <w:ind w:left="810"/>
              <w:spacing w:after="0" w:line="103"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2080" w:type="dxa"/>
            <w:vAlign w:val="bottom"/>
          </w:tcPr>
          <w:p>
            <w:pPr>
              <w:jc w:val="center"/>
              <w:ind w:right="750"/>
              <w:spacing w:after="0"/>
              <w:rPr>
                <w:sz w:val="20"/>
                <w:szCs w:val="20"/>
                <w:color w:val="auto"/>
              </w:rPr>
            </w:pPr>
            <w:r>
              <w:rPr>
                <w:rFonts w:ascii="Times New Roman" w:cs="Times New Roman" w:eastAsia="Times New Roman" w:hAnsi="Times New Roman"/>
                <w:sz w:val="10"/>
                <w:szCs w:val="10"/>
                <w:b w:val="1"/>
                <w:bCs w:val="1"/>
                <w:color w:val="auto"/>
                <w:w w:val="95"/>
              </w:rPr>
              <w:t>Incorporation or Organization)</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5"/>
              </w:rPr>
              <w:t>Classification Code Number)</w:t>
            </w:r>
          </w:p>
        </w:tc>
        <w:tc>
          <w:tcPr>
            <w:tcW w:w="1640" w:type="dxa"/>
            <w:vAlign w:val="bottom"/>
          </w:tcPr>
          <w:p>
            <w:pPr>
              <w:jc w:val="center"/>
              <w:ind w:left="830"/>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c/o Crown Holdings, Inc.</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14025 Riveredge Drive, Suite 300</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Tampa, FL 33637</w:t>
      </w:r>
    </w:p>
    <w:p>
      <w:pPr>
        <w:jc w:val="center"/>
        <w:ind w:right="-1120"/>
        <w:spacing w:after="0" w:line="218" w:lineRule="auto"/>
        <w:rPr>
          <w:sz w:val="20"/>
          <w:szCs w:val="20"/>
          <w:color w:val="auto"/>
        </w:rPr>
      </w:pPr>
      <w:r>
        <w:rPr>
          <w:rFonts w:ascii="Times New Roman" w:cs="Times New Roman" w:eastAsia="Times New Roman" w:hAnsi="Times New Roman"/>
          <w:sz w:val="11"/>
          <w:szCs w:val="11"/>
          <w:b w:val="1"/>
          <w:bCs w:val="1"/>
          <w:color w:val="auto"/>
        </w:rPr>
        <w:t>(215) 698-5100</w:t>
      </w:r>
    </w:p>
    <w:p>
      <w:pPr>
        <w:jc w:val="center"/>
        <w:ind w:right="-1120"/>
        <w:spacing w:after="0" w:line="236" w:lineRule="auto"/>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Adam J. Dickstein, Esquire</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Senior Vice President, General Counsel and Corporate Secretary</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Crown Holdings, Inc.</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14025 Riveredge Drive, Suite 300</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Tampa, FL 33637</w:t>
      </w:r>
    </w:p>
    <w:p>
      <w:pPr>
        <w:jc w:val="center"/>
        <w:ind w:right="-1120"/>
        <w:spacing w:after="0" w:line="219" w:lineRule="auto"/>
        <w:rPr>
          <w:sz w:val="20"/>
          <w:szCs w:val="20"/>
          <w:color w:val="auto"/>
        </w:rPr>
      </w:pPr>
      <w:r>
        <w:rPr>
          <w:rFonts w:ascii="Times New Roman" w:cs="Times New Roman" w:eastAsia="Times New Roman" w:hAnsi="Times New Roman"/>
          <w:sz w:val="11"/>
          <w:szCs w:val="11"/>
          <w:b w:val="1"/>
          <w:bCs w:val="1"/>
          <w:color w:val="auto"/>
        </w:rPr>
        <w:t>(215) 698-5100</w:t>
      </w:r>
    </w:p>
    <w:p>
      <w:pPr>
        <w:jc w:val="center"/>
        <w:ind w:right="-1120"/>
        <w:spacing w:after="0" w:line="236" w:lineRule="auto"/>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1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See Table of Additional Registrants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88265</wp:posOffset>
            </wp:positionV>
            <wp:extent cx="11226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Ian A. Hartman, Esquire</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Dechert LLP</w:t>
      </w:r>
    </w:p>
    <w:p>
      <w:pPr>
        <w:jc w:val="center"/>
        <w:ind w:right="-1120"/>
        <w:spacing w:after="0" w:line="215" w:lineRule="auto"/>
        <w:rPr>
          <w:sz w:val="20"/>
          <w:szCs w:val="20"/>
          <w:color w:val="auto"/>
        </w:rPr>
      </w:pPr>
      <w:r>
        <w:rPr>
          <w:rFonts w:ascii="Times New Roman" w:cs="Times New Roman" w:eastAsia="Times New Roman" w:hAnsi="Times New Roman"/>
          <w:sz w:val="11"/>
          <w:szCs w:val="11"/>
          <w:b w:val="1"/>
          <w:bCs w:val="1"/>
          <w:color w:val="auto"/>
        </w:rPr>
        <w:t>Cira Centre</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2929 Arch Street</w:t>
      </w:r>
    </w:p>
    <w:p>
      <w:pPr>
        <w:jc w:val="center"/>
        <w:ind w:right="-1120"/>
        <w:spacing w:after="0" w:line="214" w:lineRule="auto"/>
        <w:rPr>
          <w:sz w:val="20"/>
          <w:szCs w:val="20"/>
          <w:color w:val="auto"/>
        </w:rPr>
      </w:pPr>
      <w:r>
        <w:rPr>
          <w:rFonts w:ascii="Times New Roman" w:cs="Times New Roman" w:eastAsia="Times New Roman" w:hAnsi="Times New Roman"/>
          <w:sz w:val="11"/>
          <w:szCs w:val="11"/>
          <w:b w:val="1"/>
          <w:bCs w:val="1"/>
          <w:color w:val="auto"/>
        </w:rPr>
        <w:t>Philadelphia, Pennsylvania 19104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(215) 994-4000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86360</wp:posOffset>
            </wp:positionV>
            <wp:extent cx="11226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p>
      <w:pPr>
        <w:spacing w:after="0" w:line="170"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1"/>
          <w:szCs w:val="11"/>
          <w:color w:val="auto"/>
        </w:rPr>
        <w:t>Approximate date of commencement of proposed sale to public: As soon as practicable after this Registration Statement becomes effective.</w:t>
      </w:r>
    </w:p>
    <w:p>
      <w:pPr>
        <w:spacing w:after="0" w:line="28" w:lineRule="exact"/>
        <w:rPr>
          <w:sz w:val="24"/>
          <w:szCs w:val="24"/>
          <w:color w:val="auto"/>
        </w:rPr>
      </w:pPr>
    </w:p>
    <w:p>
      <w:pPr>
        <w:ind w:left="1460" w:right="260"/>
        <w:spacing w:after="0" w:line="142" w:lineRule="exact"/>
        <w:rPr>
          <w:sz w:val="20"/>
          <w:szCs w:val="20"/>
          <w:color w:val="auto"/>
        </w:rPr>
      </w:pPr>
      <w:r>
        <w:rPr>
          <w:rFonts w:ascii="Times New Roman" w:cs="Times New Roman" w:eastAsia="Times New Roman" w:hAnsi="Times New Roman"/>
          <w:sz w:val="11"/>
          <w:szCs w:val="11"/>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1"/>
          <w:szCs w:val="11"/>
          <w:color w:val="auto"/>
        </w:rPr>
        <w:t>☐</w:t>
      </w:r>
    </w:p>
    <w:p>
      <w:pPr>
        <w:spacing w:after="0" w:line="5" w:lineRule="exact"/>
        <w:rPr>
          <w:sz w:val="24"/>
          <w:szCs w:val="24"/>
          <w:color w:val="auto"/>
        </w:rPr>
      </w:pPr>
    </w:p>
    <w:p>
      <w:pPr>
        <w:ind w:left="1460" w:right="60"/>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 w:lineRule="exact"/>
        <w:rPr>
          <w:sz w:val="24"/>
          <w:szCs w:val="24"/>
          <w:color w:val="auto"/>
        </w:rPr>
      </w:pPr>
    </w:p>
    <w:p>
      <w:pPr>
        <w:ind w:left="1460" w:right="80"/>
        <w:spacing w:after="0" w:line="142" w:lineRule="exact"/>
        <w:rPr>
          <w:sz w:val="20"/>
          <w:szCs w:val="20"/>
          <w:color w:val="auto"/>
        </w:rPr>
      </w:pPr>
      <w:r>
        <w:rPr>
          <w:rFonts w:ascii="Times New Roman" w:cs="Times New Roman" w:eastAsia="Times New Roman" w:hAnsi="Times New Roman"/>
          <w:sz w:val="11"/>
          <w:szCs w:val="11"/>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 w:lineRule="exact"/>
        <w:rPr>
          <w:sz w:val="24"/>
          <w:szCs w:val="24"/>
          <w:color w:val="auto"/>
        </w:rPr>
      </w:pPr>
    </w:p>
    <w:p>
      <w:pPr>
        <w:ind w:left="1460"/>
        <w:spacing w:after="0" w:line="24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1460"/>
        <w:spacing w:after="0" w:line="127" w:lineRule="exact"/>
        <w:tabs>
          <w:tab w:leader="none" w:pos="2600" w:val="left"/>
          <w:tab w:leader="none" w:pos="830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Accelerated filer</w:t>
      </w:r>
    </w:p>
    <w:p>
      <w:pPr>
        <w:spacing w:after="0" w:line="57" w:lineRule="exact"/>
        <w:rPr>
          <w:sz w:val="24"/>
          <w:szCs w:val="24"/>
          <w:color w:val="auto"/>
        </w:rPr>
      </w:pPr>
    </w:p>
    <w:p>
      <w:pPr>
        <w:ind w:left="1460"/>
        <w:spacing w:after="0" w:line="127" w:lineRule="exact"/>
        <w:tabs>
          <w:tab w:leader="none" w:pos="2600" w:val="left"/>
          <w:tab w:leader="none" w:pos="8300" w:val="left"/>
        </w:tabs>
        <w:rPr>
          <w:sz w:val="20"/>
          <w:szCs w:val="20"/>
          <w:color w:val="auto"/>
        </w:rPr>
      </w:pP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Smaller reporting company</w:t>
      </w:r>
    </w:p>
    <w:p>
      <w:pPr>
        <w:spacing w:after="0" w:line="74" w:lineRule="exact"/>
        <w:rPr>
          <w:sz w:val="24"/>
          <w:szCs w:val="24"/>
          <w:color w:val="auto"/>
        </w:rPr>
      </w:pPr>
    </w:p>
    <w:p>
      <w:pPr>
        <w:ind w:left="832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8" w:lineRule="exact"/>
        <w:rPr>
          <w:sz w:val="24"/>
          <w:szCs w:val="24"/>
          <w:color w:val="auto"/>
        </w:rPr>
      </w:pPr>
    </w:p>
    <w:p>
      <w:pPr>
        <w:ind w:left="1460" w:right="100"/>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1"/>
          <w:szCs w:val="11"/>
          <w:color w:val="auto"/>
        </w:rPr>
        <w:t>☐</w:t>
      </w:r>
    </w:p>
    <w:p>
      <w:pPr>
        <w:spacing w:after="0" w:line="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1"/>
          <w:szCs w:val="11"/>
          <w:color w:val="auto"/>
        </w:rPr>
        <w:t>If applicable, place an X in the box to designate the appropriate rule provision relied upon in conducting this transaction:</w:t>
      </w:r>
    </w:p>
    <w:p>
      <w:pPr>
        <w:spacing w:after="0" w:line="24" w:lineRule="exact"/>
        <w:rPr>
          <w:sz w:val="24"/>
          <w:szCs w:val="24"/>
          <w:color w:val="auto"/>
        </w:rPr>
      </w:pPr>
    </w:p>
    <w:p>
      <w:pPr>
        <w:ind w:left="1800"/>
        <w:spacing w:after="0" w:line="127" w:lineRule="exact"/>
        <w:tabs>
          <w:tab w:leader="none" w:pos="5860" w:val="left"/>
        </w:tabs>
        <w:rPr>
          <w:sz w:val="20"/>
          <w:szCs w:val="20"/>
          <w:color w:val="auto"/>
        </w:rPr>
      </w:pPr>
      <w:r>
        <w:rPr>
          <w:rFonts w:ascii="Times New Roman" w:cs="Times New Roman" w:eastAsia="Times New Roman" w:hAnsi="Times New Roman"/>
          <w:sz w:val="11"/>
          <w:szCs w:val="11"/>
          <w:color w:val="auto"/>
        </w:rPr>
        <w:t>Exchange Act Rule 13e-4(i) (Cross-Border Issuer Tender Offer)</w:t>
      </w:r>
      <w:r>
        <w:rPr>
          <w:sz w:val="20"/>
          <w:szCs w:val="20"/>
          <w:color w:val="auto"/>
        </w:rPr>
        <w:tab/>
      </w:r>
      <w:r>
        <w:rPr>
          <w:rFonts w:ascii="MS PGothic" w:cs="MS PGothic" w:eastAsia="MS PGothic" w:hAnsi="MS PGothic"/>
          <w:sz w:val="10"/>
          <w:szCs w:val="10"/>
          <w:color w:val="auto"/>
        </w:rPr>
        <w:t>☐</w:t>
      </w:r>
    </w:p>
    <w:p>
      <w:pPr>
        <w:spacing w:after="0" w:line="33" w:lineRule="exact"/>
        <w:rPr>
          <w:sz w:val="24"/>
          <w:szCs w:val="24"/>
          <w:color w:val="auto"/>
        </w:rPr>
      </w:pPr>
    </w:p>
    <w:p>
      <w:pPr>
        <w:ind w:left="1800"/>
        <w:spacing w:after="0" w:line="127" w:lineRule="exact"/>
        <w:tabs>
          <w:tab w:leader="none" w:pos="5860" w:val="left"/>
        </w:tabs>
        <w:rPr>
          <w:sz w:val="20"/>
          <w:szCs w:val="20"/>
          <w:color w:val="auto"/>
        </w:rPr>
      </w:pPr>
      <w:r>
        <w:rPr>
          <w:rFonts w:ascii="Times New Roman" w:cs="Times New Roman" w:eastAsia="Times New Roman" w:hAnsi="Times New Roman"/>
          <w:sz w:val="11"/>
          <w:szCs w:val="11"/>
          <w:color w:val="auto"/>
        </w:rPr>
        <w:t>Exchange Act Rule 14d-1(d) (Cross-Border Third-Party Tender Offer)</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92710</wp:posOffset>
            </wp:positionV>
            <wp:extent cx="11226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981" w:lineRule="exact"/>
        <w:rPr>
          <w:sz w:val="24"/>
          <w:szCs w:val="24"/>
          <w:color w:val="auto"/>
        </w:rPr>
      </w:pPr>
    </w:p>
    <w:p>
      <w:pPr>
        <w:sectPr>
          <w:pgSz w:w="11900" w:h="16838" w:orient="portrait"/>
          <w:cols w:equalWidth="0" w:num="2">
            <w:col w:w="9660" w:space="80"/>
            <w:col w:w="419"/>
          </w:cols>
          <w:pgMar w:left="300" w:top="205" w:right="1440" w:bottom="1440" w:gutter="0" w:footer="0" w:header="0"/>
          <w:type w:val="continuous"/>
        </w:sectPr>
      </w:pPr>
    </w:p>
    <w:p>
      <w:pPr>
        <w:jc w:val="both"/>
        <w:ind w:left="1460" w:right="399"/>
        <w:spacing w:after="0" w:line="233"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921385</wp:posOffset>
            </wp:positionH>
            <wp:positionV relativeFrom="paragraph">
              <wp:posOffset>45720</wp:posOffset>
            </wp:positionV>
            <wp:extent cx="53251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78105</wp:posOffset>
            </wp:positionV>
            <wp:extent cx="53251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Table of Additional Registrants</w:t>
      </w:r>
    </w:p>
    <w:p>
      <w:pPr>
        <w:spacing w:after="0" w:line="173" w:lineRule="exact"/>
        <w:rPr>
          <w:sz w:val="20"/>
          <w:szCs w:val="20"/>
          <w:color w:val="auto"/>
        </w:rPr>
      </w:pPr>
    </w:p>
    <w:tbl>
      <w:tblPr>
        <w:tblLayout w:type="fixed"/>
        <w:tblInd w:w="2120" w:type="dxa"/>
        <w:tblCellMar>
          <w:top w:w="0" w:type="dxa"/>
          <w:left w:w="0" w:type="dxa"/>
          <w:bottom w:w="0" w:type="dxa"/>
          <w:right w:w="0" w:type="dxa"/>
        </w:tblCellMar>
      </w:tblPr>
      <w:tr>
        <w:trPr>
          <w:trHeight w:val="126"/>
        </w:trPr>
        <w:tc>
          <w:tcPr>
            <w:tcW w:w="1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Jurisdiction of</w:t>
            </w:r>
          </w:p>
        </w:tc>
        <w:tc>
          <w:tcPr>
            <w:tcW w:w="20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13"/>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Exact Name of Additional Registrants</w:t>
            </w:r>
          </w:p>
        </w:tc>
        <w:tc>
          <w:tcPr>
            <w:tcW w:w="10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Identification</w:t>
            </w:r>
          </w:p>
        </w:tc>
        <w:tc>
          <w:tcPr>
            <w:tcW w:w="0" w:type="dxa"/>
            <w:vAlign w:val="bottom"/>
          </w:tcPr>
          <w:p>
            <w:pPr>
              <w:spacing w:after="0"/>
              <w:rPr>
                <w:sz w:val="1"/>
                <w:szCs w:val="1"/>
                <w:color w:val="auto"/>
              </w:rPr>
            </w:pPr>
          </w:p>
        </w:tc>
      </w:tr>
      <w:tr>
        <w:trPr>
          <w:trHeight w:val="122"/>
        </w:trPr>
        <w:tc>
          <w:tcPr>
            <w:tcW w:w="36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20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68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CROWN Beverage Packaging Puerto Rico, Inc.</w:t>
            </w: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Delaware</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Crown Consultants, Inc.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Pennsylvania</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23-2846356</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Crown Cork &amp; Seal Company (DE),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Crown Cork &amp; Seal Company, Inc.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Pennsylvania</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23-1526444</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Crown Financial Corporation</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Pennsylvania</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23-1603914</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Crown International Holdings, LLC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75-3099512</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CROWN Packaging Technology, Inc.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52-2006645</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Manufacturers Finance Corporation</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51-0099971</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CROWN Cork &amp; Seal USA, Inc.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52-2006645</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 USA, Inc.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23-2162641</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Crown Beverage Packaging,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13-2853410</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Crown Beverage Holdings, Inc.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87-1855354</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Signode Industrial Group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80-0935607</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Signode Pickling Holding LLC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Not Applicable</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Signode US IP Holdings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46-5417288</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Signode Industrial Group US Inc.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46-5152538</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Signode Industrial Group Holdings US Inc.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46-5152404</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Signode International IP Holdings LLC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Delaware</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32-0453191</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Simplimatic Engineering Holdings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Ohio</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34-1933983</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Simplimatic Automation LLC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Ohio</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27-4464512</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SEH Real Estate Holdings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Virginia</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46-4557904</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 International Holdings LLC</w:t>
            </w:r>
          </w:p>
        </w:tc>
        <w:tc>
          <w:tcPr>
            <w:tcW w:w="20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Ohio</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86-1198810</w:t>
            </w:r>
          </w:p>
        </w:tc>
        <w:tc>
          <w:tcPr>
            <w:tcW w:w="0" w:type="dxa"/>
            <w:vAlign w:val="bottom"/>
          </w:tcPr>
          <w:p>
            <w:pPr>
              <w:spacing w:after="0"/>
              <w:rPr>
                <w:sz w:val="1"/>
                <w:szCs w:val="1"/>
                <w:color w:val="auto"/>
              </w:rPr>
            </w:pPr>
          </w:p>
        </w:tc>
      </w:tr>
      <w:tr>
        <w:trPr>
          <w:trHeight w:val="16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 International Holdings II LLC</w:t>
            </w:r>
          </w:p>
        </w:tc>
        <w:tc>
          <w:tcPr>
            <w:tcW w:w="20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Ohio</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86-1304089</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The address for service of each of the additional registrants is c/o Crown Holdings, Inc., 14025 Riveredge Drive, Suite 300 Tampa, Florida 33637,</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telephone (215) 698-5100. The primary industrial classifications number for each of the additional registrants is 3411.</w:t>
      </w:r>
    </w:p>
    <w:p>
      <w:pPr>
        <w:sectPr>
          <w:pgSz w:w="11900" w:h="16838" w:orient="portrait"/>
          <w:cols w:equalWidth="0" w:num="1">
            <w:col w:w="10159"/>
          </w:cols>
          <w:pgMar w:left="300" w:top="3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7" w:lineRule="exact"/>
        <w:rPr>
          <w:sz w:val="20"/>
          <w:szCs w:val="20"/>
          <w:color w:val="auto"/>
        </w:rPr>
      </w:pPr>
    </w:p>
    <w:tbl>
      <w:tblPr>
        <w:tblLayout w:type="fixed"/>
        <w:tblInd w:w="1396" w:type="dxa"/>
        <w:tblCellMar>
          <w:top w:w="0" w:type="dxa"/>
          <w:left w:w="0" w:type="dxa"/>
          <w:bottom w:w="0" w:type="dxa"/>
          <w:right w:w="0" w:type="dxa"/>
        </w:tblCellMar>
      </w:tblPr>
      <w:tr>
        <w:trPr>
          <w:trHeight w:val="8920"/>
        </w:trPr>
        <w:tc>
          <w:tcPr>
            <w:tcW w:w="501" w:type="dxa"/>
            <w:vAlign w:val="bottom"/>
            <w:textDirection w:val="btLr"/>
          </w:tcPr>
          <w:p>
            <w:pPr>
              <w:spacing w:after="0" w:line="249" w:lineRule="auto"/>
              <w:rPr>
                <w:sz w:val="20"/>
                <w:szCs w:val="20"/>
                <w:color w:val="auto"/>
              </w:rPr>
            </w:pPr>
            <w:r>
              <w:rPr>
                <w:rFonts w:ascii="Arial" w:cs="Arial" w:eastAsia="Arial" w:hAnsi="Arial"/>
                <w:sz w:val="14"/>
                <w:szCs w:val="14"/>
                <w:b w:val="1"/>
                <w:bCs w:val="1"/>
                <w:color w:val="FF4338"/>
              </w:rPr>
              <w:t>is not soliciting an offer to buy these securities in any state where the offer or sale is not permitted. filed with the Securities and Exchange Commission is effective. This preliminary prospectus is not an offer to sell these securities and it The information in this prospectus is not complete and may be changed. We may not sell these securities until the registration statement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FF4338"/>
        </w:rPr>
        <w:t>SUBJECT TO COMPLETION, DATED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-580390</wp:posOffset>
            </wp:positionV>
            <wp:extent cx="720344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130175</wp:posOffset>
            </wp:positionV>
            <wp:extent cx="2120900" cy="267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090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33"/>
          <w:szCs w:val="33"/>
          <w:b w:val="1"/>
          <w:bCs w:val="1"/>
          <w:color w:val="auto"/>
        </w:rPr>
        <w:t>Crown Americas LLC</w:t>
      </w:r>
    </w:p>
    <w:p>
      <w:pPr>
        <w:spacing w:after="0" w:line="18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b w:val="1"/>
          <w:bCs w:val="1"/>
          <w:color w:val="auto"/>
        </w:rPr>
        <w:t>OFFER TO EXCHANGE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b w:val="1"/>
          <w:bCs w:val="1"/>
          <w:color w:val="auto"/>
        </w:rPr>
        <w:t>$700,000,000 5.875% Senior Notes due 2033 and related Guarantees for all</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auto"/>
        </w:rPr>
        <w:t>outstanding 5.875% Senior Notes due 2033</w:t>
      </w:r>
    </w:p>
    <w:p>
      <w:pPr>
        <w:spacing w:after="0" w:line="155" w:lineRule="exact"/>
        <w:rPr>
          <w:sz w:val="20"/>
          <w:szCs w:val="20"/>
          <w:color w:val="auto"/>
        </w:rPr>
      </w:pPr>
    </w:p>
    <w:p>
      <w:pPr>
        <w:ind w:right="1359"/>
        <w:spacing w:after="0" w:line="285" w:lineRule="auto"/>
        <w:rPr>
          <w:sz w:val="20"/>
          <w:szCs w:val="20"/>
          <w:color w:val="auto"/>
        </w:rPr>
      </w:pPr>
      <w:r>
        <w:rPr>
          <w:rFonts w:ascii="Times New Roman" w:cs="Times New Roman" w:eastAsia="Times New Roman" w:hAnsi="Times New Roman"/>
          <w:sz w:val="13"/>
          <w:szCs w:val="13"/>
          <w:color w:val="auto"/>
        </w:rPr>
        <w:t>The exchange offer expires at 5:00 p.m., New York City time, on , 2025, unless extended. Crown Americas LLC (“Crown Americas” and the “Issuer”) will exchange all old notes that are validly tendered and not validly withdrawn prior to the expiration of the exchange offer. You may withdraw tenders of old notes at any time before the exchange offer expires.</w:t>
      </w:r>
    </w:p>
    <w:p>
      <w:pPr>
        <w:spacing w:after="0" w:line="125" w:lineRule="exact"/>
        <w:rPr>
          <w:sz w:val="20"/>
          <w:szCs w:val="20"/>
          <w:color w:val="auto"/>
        </w:rPr>
      </w:pPr>
    </w:p>
    <w:p>
      <w:pPr>
        <w:ind w:right="1079"/>
        <w:spacing w:after="0" w:line="267" w:lineRule="auto"/>
        <w:rPr>
          <w:sz w:val="20"/>
          <w:szCs w:val="20"/>
          <w:color w:val="auto"/>
        </w:rPr>
      </w:pPr>
      <w:r>
        <w:rPr>
          <w:rFonts w:ascii="Times New Roman" w:cs="Times New Roman" w:eastAsia="Times New Roman" w:hAnsi="Times New Roman"/>
          <w:sz w:val="14"/>
          <w:szCs w:val="14"/>
          <w:color w:val="auto"/>
        </w:rPr>
        <w:t>The form and terms of the new notes will be identical in all material respects to the form and terms of the old notes, except that the new notes:</w:t>
      </w:r>
    </w:p>
    <w:p>
      <w:pPr>
        <w:spacing w:after="0" w:line="63" w:lineRule="exact"/>
        <w:rPr>
          <w:sz w:val="20"/>
          <w:szCs w:val="20"/>
          <w:color w:val="auto"/>
        </w:rPr>
      </w:pPr>
    </w:p>
    <w:p>
      <w:pPr>
        <w:ind w:left="260" w:hanging="189"/>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have been registered under the Securities Act;</w:t>
      </w:r>
    </w:p>
    <w:p>
      <w:pPr>
        <w:spacing w:after="0" w:line="95" w:lineRule="exact"/>
        <w:rPr>
          <w:rFonts w:ascii="Times New Roman" w:cs="Times New Roman" w:eastAsia="Times New Roman" w:hAnsi="Times New Roman"/>
          <w:sz w:val="14"/>
          <w:szCs w:val="14"/>
          <w:color w:val="auto"/>
        </w:rPr>
      </w:pPr>
    </w:p>
    <w:p>
      <w:pPr>
        <w:ind w:left="260" w:hanging="189"/>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bear restrictive legends restricting their transfer under the Securities Act;</w:t>
      </w:r>
    </w:p>
    <w:p>
      <w:pPr>
        <w:spacing w:after="0" w:line="95" w:lineRule="exact"/>
        <w:rPr>
          <w:rFonts w:ascii="Times New Roman" w:cs="Times New Roman" w:eastAsia="Times New Roman" w:hAnsi="Times New Roman"/>
          <w:sz w:val="14"/>
          <w:szCs w:val="14"/>
          <w:color w:val="auto"/>
        </w:rPr>
      </w:pPr>
    </w:p>
    <w:p>
      <w:pPr>
        <w:ind w:left="260" w:hanging="189"/>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the registration rights that apply to the old notes; and</w:t>
      </w:r>
    </w:p>
    <w:p>
      <w:pPr>
        <w:spacing w:after="0" w:line="95" w:lineRule="exact"/>
        <w:rPr>
          <w:rFonts w:ascii="Times New Roman" w:cs="Times New Roman" w:eastAsia="Times New Roman" w:hAnsi="Times New Roman"/>
          <w:sz w:val="14"/>
          <w:szCs w:val="14"/>
          <w:color w:val="auto"/>
        </w:rPr>
      </w:pPr>
    </w:p>
    <w:p>
      <w:pPr>
        <w:ind w:left="260" w:right="1099" w:hanging="189"/>
        <w:spacing w:after="0" w:line="267" w:lineRule="auto"/>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contain provisions relating to increased interest rates in connection with the old notes under circumstances related to the timing of the exchange offer.</w:t>
      </w:r>
    </w:p>
    <w:p>
      <w:pPr>
        <w:spacing w:after="0" w:line="135" w:lineRule="exact"/>
        <w:rPr>
          <w:sz w:val="20"/>
          <w:szCs w:val="20"/>
          <w:color w:val="auto"/>
        </w:rPr>
      </w:pPr>
    </w:p>
    <w:p>
      <w:pPr>
        <w:ind w:right="1019"/>
        <w:spacing w:after="0" w:line="248" w:lineRule="auto"/>
        <w:rPr>
          <w:sz w:val="20"/>
          <w:szCs w:val="20"/>
          <w:color w:val="auto"/>
        </w:rPr>
      </w:pPr>
      <w:r>
        <w:rPr>
          <w:rFonts w:ascii="Times New Roman" w:cs="Times New Roman" w:eastAsia="Times New Roman" w:hAnsi="Times New Roman"/>
          <w:sz w:val="14"/>
          <w:szCs w:val="14"/>
          <w:color w:val="auto"/>
        </w:rPr>
        <w:t>The new notes will be senior obligations of the Issuer and initially will be fully and unconditionally guaranteed on a senior basis by its indirect parent, Crown Holdings, Inc. (“we” or “Crown”), and by each of Crown’s U.S. subsidiaries (other than the Issuer, Crown Americas Capital Corp., Crown Americas Capital Corp. V and Crown Americas Capital Corp.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 and the guarantors to the extent of the value of the assets securing such indebtedness and will be junior in right of payment to all indebtedness of Crown’s non-guarantor subsidiaries.</w:t>
      </w:r>
    </w:p>
    <w:p>
      <w:pPr>
        <w:spacing w:after="0" w:line="149" w:lineRule="exact"/>
        <w:rPr>
          <w:sz w:val="20"/>
          <w:szCs w:val="20"/>
          <w:color w:val="auto"/>
        </w:rPr>
      </w:pPr>
    </w:p>
    <w:p>
      <w:pPr>
        <w:ind w:right="1019"/>
        <w:spacing w:after="0" w:line="270" w:lineRule="auto"/>
        <w:rPr>
          <w:sz w:val="20"/>
          <w:szCs w:val="20"/>
          <w:color w:val="auto"/>
        </w:rPr>
      </w:pPr>
      <w:r>
        <w:rPr>
          <w:rFonts w:ascii="Times New Roman" w:cs="Times New Roman" w:eastAsia="Times New Roman" w:hAnsi="Times New Roman"/>
          <w:sz w:val="13"/>
          <w:szCs w:val="13"/>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123" w:lineRule="exact"/>
        <w:rPr>
          <w:sz w:val="20"/>
          <w:szCs w:val="20"/>
          <w:color w:val="auto"/>
        </w:rPr>
      </w:pPr>
    </w:p>
    <w:p>
      <w:pPr>
        <w:ind w:right="1159"/>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See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7 for a discussion of risks that should be considered by holders prior to tendering their old notes.</w:t>
      </w:r>
    </w:p>
    <w:p>
      <w:pPr>
        <w:spacing w:after="0" w:line="104" w:lineRule="exact"/>
        <w:rPr>
          <w:sz w:val="20"/>
          <w:szCs w:val="20"/>
          <w:color w:val="auto"/>
        </w:rPr>
      </w:pPr>
    </w:p>
    <w:p>
      <w:pPr>
        <w:ind w:right="1079"/>
        <w:spacing w:after="0" w:line="25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ectPr>
          <w:pgSz w:w="11900" w:h="16838" w:orient="portrait"/>
          <w:cols w:equalWidth="0" w:num="2">
            <w:col w:w="1900" w:space="200"/>
            <w:col w:w="8059"/>
          </w:cols>
          <w:pgMar w:left="300" w:top="38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299"/>
        </w:trPr>
        <w:tc>
          <w:tcPr>
            <w:tcW w:w="306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EE"/>
              </w:rPr>
              <w:t>Summary</w:t>
            </w:r>
          </w:p>
        </w:tc>
        <w:tc>
          <w:tcPr>
            <w:tcW w:w="504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4"/>
        </w:trPr>
        <w:tc>
          <w:tcPr>
            <w:tcW w:w="3060" w:type="dxa"/>
            <w:vAlign w:val="bottom"/>
            <w:gridSpan w:val="12"/>
            <w:vMerge w:val="continue"/>
          </w:tcPr>
          <w:p>
            <w:pPr>
              <w:spacing w:after="0"/>
              <w:rPr>
                <w:sz w:val="10"/>
                <w:szCs w:val="10"/>
                <w:color w:val="auto"/>
              </w:rPr>
            </w:pPr>
          </w:p>
        </w:tc>
        <w:tc>
          <w:tcPr>
            <w:tcW w:w="5040" w:type="dxa"/>
            <w:vAlign w:val="bottom"/>
          </w:tcPr>
          <w:p>
            <w:pPr>
              <w:spacing w:after="0"/>
              <w:rPr>
                <w:sz w:val="10"/>
                <w:szCs w:val="10"/>
                <w:color w:val="auto"/>
              </w:rPr>
            </w:pPr>
          </w:p>
        </w:tc>
        <w:tc>
          <w:tcPr>
            <w:tcW w:w="2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tcBorders>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3"/>
              </w:rPr>
              <w:t>Risk Factors</w:t>
            </w:r>
          </w:p>
        </w:tc>
        <w:tc>
          <w:tcPr>
            <w:tcW w:w="2380" w:type="dxa"/>
            <w:vAlign w:val="bottom"/>
            <w:gridSpan w:val="9"/>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4"/>
        </w:trPr>
        <w:tc>
          <w:tcPr>
            <w:tcW w:w="30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0000EE"/>
              </w:rPr>
              <w:t>Forward-Looking Statements</w:t>
            </w: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4"/>
        </w:trPr>
        <w:tc>
          <w:tcPr>
            <w:tcW w:w="1600" w:type="dxa"/>
            <w:vAlign w:val="bottom"/>
            <w:tcBorders>
              <w:top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1460" w:type="dxa"/>
            <w:vAlign w:val="bottom"/>
            <w:gridSpan w:val="4"/>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0000EE"/>
              </w:rPr>
              <w:t>The Exchange Offer</w:t>
            </w: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340" w:type="dxa"/>
            <w:vAlign w:val="bottom"/>
            <w:tcBorders>
              <w:bottom w:val="single" w:sz="8" w:color="0000EE"/>
            </w:tcBorders>
            <w:gridSpan w:val="7"/>
          </w:tcPr>
          <w:p>
            <w:pPr>
              <w:spacing w:after="0" w:line="145" w:lineRule="exact"/>
              <w:rPr>
                <w:sz w:val="20"/>
                <w:szCs w:val="20"/>
                <w:color w:val="auto"/>
              </w:rPr>
            </w:pPr>
            <w:r>
              <w:rPr>
                <w:rFonts w:ascii="Times New Roman" w:cs="Times New Roman" w:eastAsia="Times New Roman" w:hAnsi="Times New Roman"/>
                <w:sz w:val="14"/>
                <w:szCs w:val="14"/>
                <w:color w:val="0000EE"/>
                <w:w w:val="96"/>
              </w:rPr>
              <w:t>Description of the Notes</w:t>
            </w:r>
          </w:p>
        </w:tc>
        <w:tc>
          <w:tcPr>
            <w:tcW w:w="1720" w:type="dxa"/>
            <w:vAlign w:val="bottom"/>
            <w:gridSpan w:val="5"/>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4"/>
        </w:trPr>
        <w:tc>
          <w:tcPr>
            <w:tcW w:w="2660" w:type="dxa"/>
            <w:vAlign w:val="bottom"/>
            <w:tcBorders>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6"/>
              </w:rPr>
              <w:t>Certain U.S. Federal Income Tax Considerations</w:t>
            </w:r>
          </w:p>
        </w:tc>
        <w:tc>
          <w:tcPr>
            <w:tcW w:w="400" w:type="dxa"/>
            <w:vAlign w:val="bottom"/>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4"/>
        </w:trPr>
        <w:tc>
          <w:tcPr>
            <w:tcW w:w="110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1960" w:type="dxa"/>
            <w:vAlign w:val="bottom"/>
            <w:gridSpan w:val="6"/>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4"/>
        </w:trPr>
        <w:tc>
          <w:tcPr>
            <w:tcW w:w="760" w:type="dxa"/>
            <w:vAlign w:val="bottom"/>
            <w:tcBorders>
              <w:bottom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w w:val="94"/>
              </w:rPr>
              <w:t>Legal Matters</w:t>
            </w:r>
          </w:p>
        </w:tc>
        <w:tc>
          <w:tcPr>
            <w:tcW w:w="2300" w:type="dxa"/>
            <w:vAlign w:val="bottom"/>
            <w:gridSpan w:val="8"/>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4"/>
        </w:trPr>
        <w:tc>
          <w:tcPr>
            <w:tcW w:w="30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0000EE"/>
              </w:rPr>
              <w:t>Experts</w:t>
            </w: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60" w:type="dxa"/>
            <w:vAlign w:val="bottom"/>
            <w:gridSpan w:val="12"/>
          </w:tcPr>
          <w:p>
            <w:pPr>
              <w:spacing w:after="0" w:line="145"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4"/>
        </w:trPr>
        <w:tc>
          <w:tcPr>
            <w:tcW w:w="2460" w:type="dxa"/>
            <w:vAlign w:val="bottom"/>
            <w:tcBorders>
              <w:top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600" w:type="dxa"/>
            <w:vAlign w:val="bottom"/>
            <w:gridSpan w:val="2"/>
          </w:tcPr>
          <w:p>
            <w:pPr>
              <w:spacing w:after="0"/>
              <w:rPr>
                <w:sz w:val="12"/>
                <w:szCs w:val="12"/>
                <w:color w:val="auto"/>
              </w:rPr>
            </w:pPr>
          </w:p>
        </w:tc>
        <w:tc>
          <w:tcPr>
            <w:tcW w:w="53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460" w:right="499"/>
        <w:spacing w:after="0" w:line="288" w:lineRule="auto"/>
        <w:rPr>
          <w:sz w:val="20"/>
          <w:szCs w:val="20"/>
          <w:color w:val="auto"/>
        </w:rPr>
      </w:pPr>
      <w:r>
        <w:rPr>
          <w:rFonts w:ascii="Times New Roman" w:cs="Times New Roman" w:eastAsia="Times New Roman" w:hAnsi="Times New Roman"/>
          <w:sz w:val="13"/>
          <w:szCs w:val="13"/>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 later than five business days before the expiration date. The expiration date is , 2025. See “Incorporation of Documents by Reference.”</w:t>
      </w:r>
    </w:p>
    <w:p>
      <w:pPr>
        <w:spacing w:after="0" w:line="120" w:lineRule="exact"/>
        <w:rPr>
          <w:sz w:val="20"/>
          <w:szCs w:val="20"/>
          <w:color w:val="auto"/>
        </w:rPr>
      </w:pPr>
    </w:p>
    <w:p>
      <w:pPr>
        <w:ind w:left="1460" w:right="399"/>
        <w:spacing w:after="0" w:line="250"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the Issuer nor Crown has authorized anyone to provide you with information that is different. If anyone provides you with different or inconsistent information, you should not rely on it. Neither the Issuer nor Crown is making an offer to sell these securities in any jurisdiction where the offer or sale is not permitted, where the person making the offer is not qualified to do so, or to any person who cannot legally be offered the securities.</w:t>
      </w:r>
    </w:p>
    <w:p>
      <w:pPr>
        <w:spacing w:after="0" w:line="149" w:lineRule="exact"/>
        <w:rPr>
          <w:sz w:val="20"/>
          <w:szCs w:val="20"/>
          <w:color w:val="auto"/>
        </w:rPr>
      </w:pPr>
    </w:p>
    <w:p>
      <w:pPr>
        <w:ind w:left="1460" w:right="379"/>
        <w:spacing w:after="0" w:line="248" w:lineRule="auto"/>
        <w:rPr>
          <w:sz w:val="20"/>
          <w:szCs w:val="20"/>
          <w:color w:val="auto"/>
        </w:rPr>
      </w:pPr>
      <w:r>
        <w:rPr>
          <w:rFonts w:ascii="Times New Roman" w:cs="Times New Roman" w:eastAsia="Times New Roman" w:hAnsi="Times New Roman"/>
          <w:sz w:val="14"/>
          <w:szCs w:val="14"/>
          <w:color w:val="auto"/>
        </w:rPr>
        <w:t>The distribution of this prospectus and the offer or sale of the new notes may be restricted by law in certain jurisdictions. Persons who possess this prospectus must inform themselves about, and observe, any such restrictions. See “Plan of Distribution.” Neither the Issuer, nor Crown nor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neither the Issuer, nor Crown nor any of their respective representatives shall have any responsibility therefor.</w:t>
      </w:r>
    </w:p>
    <w:p>
      <w:pPr>
        <w:spacing w:after="0" w:line="151" w:lineRule="exact"/>
        <w:rPr>
          <w:sz w:val="20"/>
          <w:szCs w:val="20"/>
          <w:color w:val="auto"/>
        </w:rPr>
      </w:pPr>
    </w:p>
    <w:p>
      <w:pPr>
        <w:ind w:left="1460" w:right="459"/>
        <w:spacing w:after="0" w:line="267" w:lineRule="auto"/>
        <w:rPr>
          <w:sz w:val="20"/>
          <w:szCs w:val="20"/>
          <w:color w:val="auto"/>
        </w:rPr>
      </w:pPr>
      <w:r>
        <w:rPr>
          <w:rFonts w:ascii="Times New Roman" w:cs="Times New Roman" w:eastAsia="Times New Roman" w:hAnsi="Times New Roman"/>
          <w:sz w:val="14"/>
          <w:szCs w:val="14"/>
          <w:color w:val="auto"/>
        </w:rPr>
        <w:t>This prospectus does not constitute an offer to sell or a solicitation of an offer to buy securities to any person in any jurisdiction where it is unlawful to make such an offer or solicitation.</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MARKETS, RANKING AND OTHER DATA</w:t>
      </w:r>
    </w:p>
    <w:p>
      <w:pPr>
        <w:spacing w:after="0" w:line="172" w:lineRule="exact"/>
        <w:rPr>
          <w:sz w:val="20"/>
          <w:szCs w:val="20"/>
          <w:color w:val="auto"/>
        </w:rPr>
      </w:pPr>
    </w:p>
    <w:p>
      <w:pPr>
        <w:ind w:left="1460" w:right="379"/>
        <w:spacing w:after="0" w:line="247" w:lineRule="auto"/>
        <w:rPr>
          <w:sz w:val="20"/>
          <w:szCs w:val="20"/>
          <w:color w:val="auto"/>
        </w:rPr>
      </w:pPr>
      <w:r>
        <w:rPr>
          <w:rFonts w:ascii="Times New Roman" w:cs="Times New Roman" w:eastAsia="Times New Roman" w:hAnsi="Times New Roman"/>
          <w:sz w:val="14"/>
          <w:szCs w:val="14"/>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3209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30825" cy="3209925"/>
                    </a:xfrm>
                    <a:prstGeom prst="rect">
                      <a:avLst/>
                    </a:prstGeom>
                    <a:noFill/>
                  </pic:spPr>
                </pic:pic>
              </a:graphicData>
            </a:graphic>
          </wp:anchor>
        </w:drawing>
      </w: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68" w:lineRule="exact"/>
        <w:rPr>
          <w:sz w:val="20"/>
          <w:szCs w:val="20"/>
          <w:color w:val="auto"/>
        </w:rPr>
      </w:pPr>
    </w:p>
    <w:p>
      <w:pPr>
        <w:ind w:left="1600" w:right="479"/>
        <w:spacing w:after="0" w:line="270" w:lineRule="auto"/>
        <w:rPr>
          <w:sz w:val="20"/>
          <w:szCs w:val="20"/>
          <w:color w:val="auto"/>
        </w:rPr>
      </w:pPr>
      <w:r>
        <w:rPr>
          <w:rFonts w:ascii="Times New Roman" w:cs="Times New Roman" w:eastAsia="Times New Roman" w:hAnsi="Times New Roman"/>
          <w:sz w:val="13"/>
          <w:szCs w:val="13"/>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“old notes” refers to the $700 million aggregate principal amount of 5.875% Senior Notes due 2033 issued on May 27, 2025; (vi) “new notes” refers to the $700 million aggregate principal amount of 5.875% Senior Notes due 2033 offered in exchange for the old notes pursuant to this prospectus; and (vii) “notes” refers collectively to the old notes and the new notes.</w:t>
      </w:r>
    </w:p>
    <w:p>
      <w:pPr>
        <w:spacing w:after="0" w:line="29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Crown Holdings, Inc.</w:t>
      </w:r>
    </w:p>
    <w:p>
      <w:pPr>
        <w:spacing w:after="0" w:line="172" w:lineRule="exact"/>
        <w:rPr>
          <w:sz w:val="20"/>
          <w:szCs w:val="20"/>
          <w:color w:val="auto"/>
        </w:rPr>
      </w:pPr>
    </w:p>
    <w:p>
      <w:pPr>
        <w:ind w:left="1600" w:right="499"/>
        <w:spacing w:after="0" w:line="278" w:lineRule="auto"/>
        <w:rPr>
          <w:sz w:val="20"/>
          <w:szCs w:val="20"/>
          <w:color w:val="auto"/>
        </w:rPr>
      </w:pPr>
      <w:r>
        <w:rPr>
          <w:rFonts w:ascii="Times New Roman" w:cs="Times New Roman" w:eastAsia="Times New Roman" w:hAnsi="Times New Roman"/>
          <w:sz w:val="13"/>
          <w:szCs w:val="13"/>
          <w:color w:val="auto"/>
        </w:rPr>
        <w:t>Crown is a worldwide leader in the design, manufacture and sale of packaging products for consumer goods and industrial products. Crown’s consumer packaging solutions primarily support the beverage and food industries through the sale of aluminum and steel cans. Crown’s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29" w:lineRule="exact"/>
        <w:rPr>
          <w:sz w:val="20"/>
          <w:szCs w:val="20"/>
          <w:color w:val="auto"/>
        </w:rPr>
      </w:pPr>
    </w:p>
    <w:p>
      <w:pPr>
        <w:ind w:left="1600" w:right="479"/>
        <w:spacing w:after="0" w:line="252" w:lineRule="auto"/>
        <w:rPr>
          <w:sz w:val="20"/>
          <w:szCs w:val="20"/>
          <w:color w:val="auto"/>
        </w:rPr>
      </w:pPr>
      <w:r>
        <w:rPr>
          <w:rFonts w:ascii="Times New Roman" w:cs="Times New Roman" w:eastAsia="Times New Roman" w:hAnsi="Times New Roman"/>
          <w:sz w:val="14"/>
          <w:szCs w:val="14"/>
          <w:color w:val="auto"/>
        </w:rPr>
        <w:t>These products are manufactured in Crown’s plants both within and outside the United States and are sold through Crown’s sales organization to the soft drink, food, citrus, brewing, household products, personal care and various other industries. As of December 31, 2024, Crown operated 189 plants along with sales and service facilities throughout 39 countries and had approximately 23,000 employees. In 2024, consolidated net sales for Crown were $11.8 billion with 63% derived from operations outside the United States.</w:t>
      </w:r>
    </w:p>
    <w:p>
      <w:pPr>
        <w:spacing w:after="0" w:line="146" w:lineRule="exact"/>
        <w:rPr>
          <w:sz w:val="20"/>
          <w:szCs w:val="20"/>
          <w:color w:val="auto"/>
        </w:rPr>
      </w:pPr>
    </w:p>
    <w:p>
      <w:pPr>
        <w:ind w:left="1600" w:right="579"/>
        <w:spacing w:after="0" w:line="250" w:lineRule="auto"/>
        <w:rPr>
          <w:sz w:val="20"/>
          <w:szCs w:val="20"/>
          <w:color w:val="auto"/>
        </w:rPr>
      </w:pPr>
      <w:r>
        <w:rPr>
          <w:rFonts w:ascii="Times New Roman" w:cs="Times New Roman" w:eastAsia="Times New Roman" w:hAnsi="Times New Roman"/>
          <w:sz w:val="14"/>
          <w:szCs w:val="14"/>
          <w:color w:val="auto"/>
        </w:rPr>
        <w:t xml:space="preserve">Crown is a Pennsylvania corporation. Crown’s principal executive offices are located at 14025 Riveredge Drive, Suite 300 Tampa, Florida 33637, and its telephone number is (215) 698-5100. Crown Cork is a Pennsylvania corporation. Crown Americas (formerly known as Crown Americas, Inc.) is a Pennsylvania limited liability company. Crown European Holdings (formerly known as CarnaudMetalbox SA) is a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organized under the laws of France. Each of Crown Americas and Crown European Holdings is an indirect, wholly-owned subsidiary of Crown, and Crown Cork is a direct, wholly-owned subsidiary of Crown.</w:t>
      </w: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4652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0825" cy="4652645"/>
                    </a:xfrm>
                    <a:prstGeom prst="rect">
                      <a:avLst/>
                    </a:prstGeom>
                    <a:noFill/>
                  </pic:spPr>
                </pic:pic>
              </a:graphicData>
            </a:graphic>
          </wp:anchor>
        </w:drawing>
      </w: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72" w:lineRule="exact"/>
        <w:rPr>
          <w:sz w:val="20"/>
          <w:szCs w:val="20"/>
          <w:color w:val="auto"/>
        </w:rPr>
      </w:pPr>
    </w:p>
    <w:p>
      <w:pPr>
        <w:ind w:left="1600" w:right="559"/>
        <w:spacing w:after="0" w:line="256" w:lineRule="auto"/>
        <w:rPr>
          <w:sz w:val="20"/>
          <w:szCs w:val="20"/>
          <w:color w:val="auto"/>
        </w:rPr>
      </w:pPr>
      <w:r>
        <w:rPr>
          <w:rFonts w:ascii="Times New Roman" w:cs="Times New Roman" w:eastAsia="Times New Roman" w:hAnsi="Times New Roman"/>
          <w:sz w:val="14"/>
          <w:szCs w:val="14"/>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43" w:lineRule="exact"/>
        <w:rPr>
          <w:sz w:val="20"/>
          <w:szCs w:val="20"/>
          <w:color w:val="auto"/>
        </w:rPr>
      </w:pPr>
    </w:p>
    <w:p>
      <w:pPr>
        <w:jc w:val="both"/>
        <w:ind w:left="1600" w:right="699"/>
        <w:spacing w:after="0" w:line="256" w:lineRule="auto"/>
        <w:rPr>
          <w:sz w:val="20"/>
          <w:szCs w:val="20"/>
          <w:color w:val="auto"/>
        </w:rPr>
      </w:pPr>
      <w:r>
        <w:rPr>
          <w:rFonts w:ascii="Times New Roman" w:cs="Times New Roman" w:eastAsia="Times New Roman" w:hAnsi="Times New Roman"/>
          <w:sz w:val="14"/>
          <w:szCs w:val="14"/>
          <w:color w:val="auto"/>
        </w:rPr>
        <w:t>On May 27, 2025, we issued and sold $700,000,000 of 5.875% Senior Notes due 2033. In connection with this sale, we entered into a separate registration rights agreement with the initial purchasers of the old notes in which we agreed to deliver this prospectus to you and to complete an exchange offer for the old notes.</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76"/>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Notes Offered</w:t>
            </w: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$700,000,000 of 5.875% Senior Notes due 2033.</w:t>
            </w:r>
          </w:p>
        </w:tc>
      </w:tr>
      <w:tr>
        <w:trPr>
          <w:trHeight w:val="348"/>
        </w:trPr>
        <w:tc>
          <w:tcPr>
            <w:tcW w:w="2760" w:type="dxa"/>
            <w:vAlign w:val="bottom"/>
          </w:tcPr>
          <w:p>
            <w:pPr>
              <w:spacing w:after="0"/>
              <w:rPr>
                <w:sz w:val="24"/>
                <w:szCs w:val="2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issuance of the new notes will be registered under the Securities Act. The terms of the</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new notes and old notes are identical in all material respects, except for transfer</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restrictions, registration rights relating to the old notes and certain provisions relating to</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increased interest rates in connection with the old notes under circumstances related to the</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timing of the exchange offer. You are urged to read the discussions under the heading “The</w:t>
            </w:r>
          </w:p>
        </w:tc>
      </w:tr>
      <w:tr>
        <w:trPr>
          <w:trHeight w:val="176"/>
        </w:trPr>
        <w:tc>
          <w:tcPr>
            <w:tcW w:w="2760" w:type="dxa"/>
            <w:vAlign w:val="bottom"/>
          </w:tcPr>
          <w:p>
            <w:pPr>
              <w:spacing w:after="0"/>
              <w:rPr>
                <w:sz w:val="15"/>
                <w:szCs w:val="15"/>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New Notes” in this Summary for further information regarding the new notes.</w:t>
            </w:r>
          </w:p>
        </w:tc>
      </w:tr>
      <w:tr>
        <w:trPr>
          <w:trHeight w:val="338"/>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Exchange Offer</w:t>
            </w: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We are offering to exchange the new notes for up to $700 million aggregate principal</w:t>
            </w:r>
          </w:p>
        </w:tc>
      </w:tr>
      <w:tr>
        <w:trPr>
          <w:trHeight w:val="176"/>
        </w:trPr>
        <w:tc>
          <w:tcPr>
            <w:tcW w:w="2760" w:type="dxa"/>
            <w:vAlign w:val="bottom"/>
          </w:tcPr>
          <w:p>
            <w:pPr>
              <w:spacing w:after="0"/>
              <w:rPr>
                <w:sz w:val="15"/>
                <w:szCs w:val="15"/>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amount of the old notes.</w:t>
            </w:r>
          </w:p>
        </w:tc>
      </w:tr>
      <w:tr>
        <w:trPr>
          <w:trHeight w:val="338"/>
        </w:trPr>
        <w:tc>
          <w:tcPr>
            <w:tcW w:w="2760" w:type="dxa"/>
            <w:vAlign w:val="bottom"/>
          </w:tcPr>
          <w:p>
            <w:pPr>
              <w:spacing w:after="0"/>
              <w:rPr>
                <w:sz w:val="24"/>
                <w:szCs w:val="2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Old notes may be exchanged only in denominations of $2,000 and any integral multiple of</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$1,000 in excess thereof. In this prospectus, the term “exchange offer” means this offer to</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exchange new notes for old notes in accordance with the terms set forth in this prospectus</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and the accompanying letter of transmittal. You are entitled to exchange your old notes for</w:t>
            </w:r>
          </w:p>
        </w:tc>
      </w:tr>
      <w:tr>
        <w:trPr>
          <w:trHeight w:val="176"/>
        </w:trPr>
        <w:tc>
          <w:tcPr>
            <w:tcW w:w="2760" w:type="dxa"/>
            <w:vAlign w:val="bottom"/>
          </w:tcPr>
          <w:p>
            <w:pPr>
              <w:spacing w:after="0"/>
              <w:rPr>
                <w:sz w:val="15"/>
                <w:szCs w:val="15"/>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new notes.</w:t>
            </w:r>
          </w:p>
        </w:tc>
      </w:tr>
      <w:tr>
        <w:trPr>
          <w:trHeight w:val="338"/>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Expiration Date; Withdrawal of Tender</w:t>
            </w: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exchange offer will expire at 5:00 p.m., New York City time, on             , 2025, or</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such later date and time to which it may be extended by us. The tender of old notes</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pursuant to the exchange offer may be withdrawn at any time prior to the expiration date of</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exchange offer. Any old notes not accepted for exchange for any reason will be</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returned without expense to the tendering holder thereof promptly after the expiration or</w:t>
            </w:r>
          </w:p>
        </w:tc>
      </w:tr>
      <w:tr>
        <w:trPr>
          <w:trHeight w:val="176"/>
        </w:trPr>
        <w:tc>
          <w:tcPr>
            <w:tcW w:w="2760" w:type="dxa"/>
            <w:vAlign w:val="bottom"/>
          </w:tcPr>
          <w:p>
            <w:pPr>
              <w:spacing w:after="0"/>
              <w:rPr>
                <w:sz w:val="15"/>
                <w:szCs w:val="15"/>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termination of the exchange offer.</w:t>
            </w:r>
          </w:p>
        </w:tc>
      </w:tr>
      <w:tr>
        <w:trPr>
          <w:trHeight w:val="338"/>
        </w:trPr>
        <w:tc>
          <w:tcPr>
            <w:tcW w:w="2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Conditions to the Exchange Offer</w:t>
            </w: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Our obligation to accept for exchange, or to issue new notes in exchange for, any old notes</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 subject to customary conditions relating to compliance with any applicable law or any</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applicable interpretation by the staff of the Securities and Exchange Commission, the</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receipt of any applicable governmental approvals and the absence of any actions or</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proceedings of any governmental agency or court which could materially impair the</w:t>
            </w:r>
          </w:p>
        </w:tc>
      </w:tr>
      <w:tr>
        <w:trPr>
          <w:trHeight w:val="164"/>
        </w:trPr>
        <w:tc>
          <w:tcPr>
            <w:tcW w:w="2760" w:type="dxa"/>
            <w:vAlign w:val="bottom"/>
          </w:tcPr>
          <w:p>
            <w:pPr>
              <w:spacing w:after="0"/>
              <w:rPr>
                <w:sz w:val="14"/>
                <w:szCs w:val="14"/>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Issuer’s or Crown’s ability to consummate the exchange offer. See “The Exchange Offer—</w:t>
            </w:r>
          </w:p>
        </w:tc>
      </w:tr>
      <w:tr>
        <w:trPr>
          <w:trHeight w:val="176"/>
        </w:trPr>
        <w:tc>
          <w:tcPr>
            <w:tcW w:w="2760" w:type="dxa"/>
            <w:vAlign w:val="bottom"/>
          </w:tcPr>
          <w:p>
            <w:pPr>
              <w:spacing w:after="0"/>
              <w:rPr>
                <w:sz w:val="15"/>
                <w:szCs w:val="15"/>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Conditions to the Exchange Offer.”</w:t>
            </w:r>
          </w:p>
        </w:tc>
      </w:tr>
      <w:tr>
        <w:trPr>
          <w:trHeight w:val="130"/>
        </w:trPr>
        <w:tc>
          <w:tcPr>
            <w:tcW w:w="2760" w:type="dxa"/>
            <w:vAlign w:val="bottom"/>
            <w:tcBorders>
              <w:bottom w:val="single" w:sz="8" w:color="auto"/>
            </w:tcBorders>
          </w:tcPr>
          <w:p>
            <w:pPr>
              <w:spacing w:after="0"/>
              <w:rPr>
                <w:sz w:val="11"/>
                <w:szCs w:val="11"/>
                <w:color w:val="auto"/>
              </w:rPr>
            </w:pPr>
          </w:p>
        </w:tc>
        <w:tc>
          <w:tcPr>
            <w:tcW w:w="5640" w:type="dxa"/>
            <w:vAlign w:val="bottom"/>
            <w:tcBorders>
              <w:bottom w:val="single" w:sz="8" w:color="auto"/>
            </w:tcBorders>
          </w:tcPr>
          <w:p>
            <w:pPr>
              <w:spacing w:after="0"/>
              <w:rPr>
                <w:sz w:val="11"/>
                <w:szCs w:val="11"/>
                <w:color w:val="auto"/>
              </w:rPr>
            </w:pPr>
          </w:p>
        </w:tc>
      </w:tr>
      <w:tr>
        <w:trPr>
          <w:trHeight w:val="271"/>
        </w:trPr>
        <w:tc>
          <w:tcPr>
            <w:tcW w:w="2760" w:type="dxa"/>
            <w:vAlign w:val="bottom"/>
          </w:tcPr>
          <w:p>
            <w:pPr>
              <w:spacing w:after="0"/>
              <w:rPr>
                <w:sz w:val="23"/>
                <w:szCs w:val="23"/>
                <w:color w:val="auto"/>
              </w:rPr>
            </w:pPr>
          </w:p>
        </w:tc>
        <w:tc>
          <w:tcPr>
            <w:tcW w:w="56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0159"/>
          </w:cols>
          <w:pgMar w:left="300" w:top="38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2" w:lineRule="exact"/>
        <w:rPr>
          <w:sz w:val="20"/>
          <w:szCs w:val="20"/>
          <w:color w:val="auto"/>
        </w:rPr>
      </w:pPr>
    </w:p>
    <w:tbl>
      <w:tblPr>
        <w:tblLayout w:type="fixed"/>
        <w:tblInd w:w="1450" w:type="dxa"/>
        <w:tblCellMar>
          <w:top w:w="0" w:type="dxa"/>
          <w:left w:w="0" w:type="dxa"/>
          <w:bottom w:w="0" w:type="dxa"/>
          <w:right w:w="0" w:type="dxa"/>
        </w:tblCellMar>
      </w:tblPr>
      <w:tr>
        <w:trPr>
          <w:trHeight w:val="302"/>
        </w:trPr>
        <w:tc>
          <w:tcPr>
            <w:tcW w:w="27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Procedures for Tendering Old Notes</w:t>
            </w:r>
          </w:p>
        </w:tc>
        <w:tc>
          <w:tcPr>
            <w:tcW w:w="56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If you wish to accept the exchange offer and tender your old notes, you must either:</w:t>
            </w:r>
          </w:p>
        </w:tc>
      </w:tr>
      <w:tr>
        <w:trPr>
          <w:trHeight w:val="256"/>
        </w:trPr>
        <w:tc>
          <w:tcPr>
            <w:tcW w:w="2780" w:type="dxa"/>
            <w:vAlign w:val="bottom"/>
            <w:tcBorders>
              <w:left w:val="single" w:sz="8" w:color="auto"/>
            </w:tcBorders>
          </w:tcPr>
          <w:p>
            <w:pPr>
              <w:spacing w:after="0"/>
              <w:rPr>
                <w:sz w:val="22"/>
                <w:szCs w:val="22"/>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  complete, sign and date the Letter of Transmittal, or a facsimile of the Letter of</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Transmittal, in accordance with its instructions and the instructions in this prospectus,</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and mail or otherwise deliver such Letter of Transmittal, or the facsimile, together with</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old notes and any other required documentation, to the exchange agent at the address</w:t>
            </w:r>
          </w:p>
        </w:tc>
      </w:tr>
      <w:tr>
        <w:trPr>
          <w:trHeight w:val="176"/>
        </w:trPr>
        <w:tc>
          <w:tcPr>
            <w:tcW w:w="2780" w:type="dxa"/>
            <w:vAlign w:val="bottom"/>
            <w:tcBorders>
              <w:left w:val="single" w:sz="8" w:color="auto"/>
            </w:tcBorders>
          </w:tcPr>
          <w:p>
            <w:pPr>
              <w:spacing w:after="0"/>
              <w:rPr>
                <w:sz w:val="15"/>
                <w:szCs w:val="15"/>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set forth herein; or</w:t>
            </w:r>
          </w:p>
        </w:tc>
      </w:tr>
      <w:tr>
        <w:trPr>
          <w:trHeight w:val="245"/>
        </w:trPr>
        <w:tc>
          <w:tcPr>
            <w:tcW w:w="2780" w:type="dxa"/>
            <w:vAlign w:val="bottom"/>
            <w:tcBorders>
              <w:left w:val="single" w:sz="8" w:color="auto"/>
            </w:tcBorders>
          </w:tcPr>
          <w:p>
            <w:pPr>
              <w:spacing w:after="0"/>
              <w:rPr>
                <w:sz w:val="21"/>
                <w:szCs w:val="21"/>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  if old notes are tendered pursuant to book-entry procedures, the tendering holder must</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arrange with the Depository Trust Company, or DTC, to cause an agent’s message to be</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transmitted through DTC’s Automated Tender Offer Program System with the required</w:t>
            </w:r>
          </w:p>
        </w:tc>
      </w:tr>
      <w:tr>
        <w:trPr>
          <w:trHeight w:val="176"/>
        </w:trPr>
        <w:tc>
          <w:tcPr>
            <w:tcW w:w="2780" w:type="dxa"/>
            <w:vAlign w:val="bottom"/>
            <w:tcBorders>
              <w:left w:val="single" w:sz="8" w:color="auto"/>
            </w:tcBorders>
          </w:tcPr>
          <w:p>
            <w:pPr>
              <w:spacing w:after="0"/>
              <w:rPr>
                <w:sz w:val="15"/>
                <w:szCs w:val="15"/>
                <w:color w:val="auto"/>
              </w:rPr>
            </w:pPr>
          </w:p>
        </w:tc>
        <w:tc>
          <w:tcPr>
            <w:tcW w:w="562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information (including a book-entry confirmation) to the exchange agent.</w:t>
            </w:r>
          </w:p>
        </w:tc>
      </w:tr>
      <w:tr>
        <w:trPr>
          <w:trHeight w:val="338"/>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Broker-Dealers</w:t>
            </w: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Each broker-dealer that receives new notes for its own account in exchange for old notes,</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where such old notes were acquired by such broker-dealer as a result of market-making</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activities or other trading activities, must acknowledge that it will deliver a prospectus in</w:t>
            </w:r>
          </w:p>
        </w:tc>
      </w:tr>
      <w:tr>
        <w:trPr>
          <w:trHeight w:val="176"/>
        </w:trPr>
        <w:tc>
          <w:tcPr>
            <w:tcW w:w="2780" w:type="dxa"/>
            <w:vAlign w:val="bottom"/>
            <w:tcBorders>
              <w:left w:val="single" w:sz="8" w:color="auto"/>
            </w:tcBorders>
          </w:tcPr>
          <w:p>
            <w:pPr>
              <w:spacing w:after="0"/>
              <w:rPr>
                <w:sz w:val="15"/>
                <w:szCs w:val="15"/>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connection with any resale of such new notes. See “Plan of Distribution.”</w:t>
            </w:r>
          </w:p>
        </w:tc>
      </w:tr>
      <w:tr>
        <w:trPr>
          <w:trHeight w:val="349"/>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We will not receive any proceeds from the exchange offer. See “Use of Proceeds.”</w:t>
            </w:r>
          </w:p>
        </w:tc>
      </w:tr>
      <w:tr>
        <w:trPr>
          <w:trHeight w:val="348"/>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Agent</w:t>
            </w: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U.S. Bank Trust Company, National Association (as successor to U.S. Bank National</w:t>
            </w:r>
          </w:p>
        </w:tc>
      </w:tr>
      <w:tr>
        <w:trPr>
          <w:trHeight w:val="176"/>
        </w:trPr>
        <w:tc>
          <w:tcPr>
            <w:tcW w:w="2780" w:type="dxa"/>
            <w:vAlign w:val="bottom"/>
            <w:tcBorders>
              <w:left w:val="single" w:sz="8" w:color="auto"/>
            </w:tcBorders>
          </w:tcPr>
          <w:p>
            <w:pPr>
              <w:spacing w:after="0"/>
              <w:rPr>
                <w:sz w:val="15"/>
                <w:szCs w:val="15"/>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Association) is serving as the exchange agent in connection with the exchange offer.</w:t>
            </w:r>
          </w:p>
        </w:tc>
      </w:tr>
      <w:tr>
        <w:trPr>
          <w:trHeight w:val="338"/>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 Federal Income Tax Consequences</w:t>
            </w: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The exchange of old notes for new notes pursuant to the exchange offer should not be a</w:t>
            </w:r>
          </w:p>
        </w:tc>
      </w:tr>
      <w:tr>
        <w:trPr>
          <w:trHeight w:val="164"/>
        </w:trPr>
        <w:tc>
          <w:tcPr>
            <w:tcW w:w="2780" w:type="dxa"/>
            <w:vAlign w:val="bottom"/>
            <w:tcBorders>
              <w:left w:val="single" w:sz="8" w:color="auto"/>
            </w:tcBorders>
          </w:tcPr>
          <w:p>
            <w:pPr>
              <w:spacing w:after="0"/>
              <w:rPr>
                <w:sz w:val="14"/>
                <w:szCs w:val="14"/>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taxable event for U.S. federal income tax purposes. See “Certain U.S. Federal Income Tax</w:t>
            </w:r>
          </w:p>
        </w:tc>
      </w:tr>
      <w:tr>
        <w:trPr>
          <w:trHeight w:val="176"/>
        </w:trPr>
        <w:tc>
          <w:tcPr>
            <w:tcW w:w="2780" w:type="dxa"/>
            <w:vAlign w:val="bottom"/>
            <w:tcBorders>
              <w:left w:val="single" w:sz="8" w:color="auto"/>
            </w:tcBorders>
          </w:tcPr>
          <w:p>
            <w:pPr>
              <w:spacing w:after="0"/>
              <w:rPr>
                <w:sz w:val="15"/>
                <w:szCs w:val="15"/>
                <w:color w:val="auto"/>
              </w:rPr>
            </w:pPr>
          </w:p>
        </w:tc>
        <w:tc>
          <w:tcPr>
            <w:tcW w:w="5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Considerations.”</w:t>
            </w:r>
          </w:p>
        </w:tc>
      </w:tr>
      <w:tr>
        <w:trPr>
          <w:trHeight w:val="130"/>
        </w:trPr>
        <w:tc>
          <w:tcPr>
            <w:tcW w:w="2780" w:type="dxa"/>
            <w:vAlign w:val="bottom"/>
            <w:tcBorders>
              <w:left w:val="single" w:sz="8" w:color="auto"/>
              <w:bottom w:val="single" w:sz="8" w:color="auto"/>
            </w:tcBorders>
          </w:tcPr>
          <w:p>
            <w:pPr>
              <w:spacing w:after="0"/>
              <w:rPr>
                <w:sz w:val="11"/>
                <w:szCs w:val="11"/>
                <w:color w:val="auto"/>
              </w:rPr>
            </w:pPr>
          </w:p>
        </w:tc>
        <w:tc>
          <w:tcPr>
            <w:tcW w:w="5620" w:type="dxa"/>
            <w:vAlign w:val="bottom"/>
            <w:tcBorders>
              <w:bottom w:val="single" w:sz="8" w:color="auto"/>
              <w:right w:val="single" w:sz="8" w:color="auto"/>
            </w:tcBorders>
          </w:tcPr>
          <w:p>
            <w:pPr>
              <w:spacing w:after="0"/>
              <w:rPr>
                <w:sz w:val="11"/>
                <w:szCs w:val="11"/>
                <w:color w:val="auto"/>
              </w:rPr>
            </w:pPr>
          </w:p>
        </w:tc>
      </w:tr>
      <w:tr>
        <w:trPr>
          <w:trHeight w:val="271"/>
        </w:trPr>
        <w:tc>
          <w:tcPr>
            <w:tcW w:w="2780" w:type="dxa"/>
            <w:vAlign w:val="bottom"/>
          </w:tcPr>
          <w:p>
            <w:pPr>
              <w:spacing w:after="0"/>
              <w:rPr>
                <w:sz w:val="23"/>
                <w:szCs w:val="23"/>
                <w:color w:val="auto"/>
              </w:rPr>
            </w:pPr>
          </w:p>
        </w:tc>
        <w:tc>
          <w:tcPr>
            <w:tcW w:w="562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3</w:t>
            </w:r>
          </w:p>
        </w:tc>
      </w:tr>
    </w:tbl>
    <w:p>
      <w:pPr>
        <w:sectPr>
          <w:pgSz w:w="11900" w:h="16838" w:orient="portrait"/>
          <w:cols w:equalWidth="0" w:num="1">
            <w:col w:w="10159"/>
          </w:cols>
          <w:pgMar w:left="300" w:top="38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4156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30825" cy="4156710"/>
                    </a:xfrm>
                    <a:prstGeom prst="rect">
                      <a:avLst/>
                    </a:prstGeom>
                    <a:noFill/>
                  </pic:spPr>
                </pic:pic>
              </a:graphicData>
            </a:graphic>
          </wp:anchor>
        </w:drawing>
      </w:r>
    </w:p>
    <w:p>
      <w:pPr>
        <w:spacing w:after="0" w:line="3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Consequences of Exchanging Old Notes Pursuant to the Exchange Offer</w:t>
      </w:r>
    </w:p>
    <w:p>
      <w:pPr>
        <w:spacing w:after="0" w:line="172" w:lineRule="exact"/>
        <w:rPr>
          <w:sz w:val="20"/>
          <w:szCs w:val="20"/>
          <w:color w:val="auto"/>
        </w:rPr>
      </w:pPr>
    </w:p>
    <w:p>
      <w:pPr>
        <w:ind w:left="1600" w:right="539"/>
        <w:spacing w:after="0" w:line="250" w:lineRule="auto"/>
        <w:rPr>
          <w:sz w:val="20"/>
          <w:szCs w:val="20"/>
          <w:color w:val="auto"/>
        </w:rPr>
      </w:pPr>
      <w:r>
        <w:rPr>
          <w:rFonts w:ascii="Times New Roman" w:cs="Times New Roman" w:eastAsia="Times New Roman" w:hAnsi="Times New Roman"/>
          <w:sz w:val="14"/>
          <w:szCs w:val="14"/>
          <w:color w:val="auto"/>
        </w:rPr>
        <w:t xml:space="preserve">Based on certain interpretive letters issued by the staff of the Securities and Exchange Commission to third parties in unrelated transactions, the Issuer is of the view that holders of old notes (other than any holder who is an “affiliate” of the Issuer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76" w:lineRule="exact"/>
        <w:rPr>
          <w:sz w:val="20"/>
          <w:szCs w:val="20"/>
          <w:color w:val="auto"/>
        </w:rPr>
      </w:pPr>
    </w:p>
    <w:p>
      <w:pPr>
        <w:ind w:left="1880" w:hanging="218"/>
        <w:spacing w:after="0"/>
        <w:tabs>
          <w:tab w:leader="none" w:pos="1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are acquired in the ordinary course of the holders’ business;</w:t>
      </w:r>
    </w:p>
    <w:p>
      <w:pPr>
        <w:spacing w:after="0" w:line="95" w:lineRule="exact"/>
        <w:rPr>
          <w:rFonts w:ascii="Times New Roman" w:cs="Times New Roman" w:eastAsia="Times New Roman" w:hAnsi="Times New Roman"/>
          <w:sz w:val="14"/>
          <w:szCs w:val="14"/>
          <w:color w:val="auto"/>
        </w:rPr>
      </w:pPr>
    </w:p>
    <w:p>
      <w:pPr>
        <w:ind w:left="1880" w:hanging="218"/>
        <w:spacing w:after="0"/>
        <w:tabs>
          <w:tab w:leader="none" w:pos="1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have no arrangement or understanding with any person to participate in a distribution of the new notes; and</w:t>
      </w:r>
    </w:p>
    <w:p>
      <w:pPr>
        <w:spacing w:after="0" w:line="95" w:lineRule="exact"/>
        <w:rPr>
          <w:rFonts w:ascii="Times New Roman" w:cs="Times New Roman" w:eastAsia="Times New Roman" w:hAnsi="Times New Roman"/>
          <w:sz w:val="14"/>
          <w:szCs w:val="14"/>
          <w:color w:val="auto"/>
        </w:rPr>
      </w:pPr>
    </w:p>
    <w:p>
      <w:pPr>
        <w:ind w:left="1880" w:hanging="218"/>
        <w:spacing w:after="0"/>
        <w:tabs>
          <w:tab w:leader="none" w:pos="18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holder nor any other person is engaging in or intends to engage in a distribution of the new notes.</w:t>
      </w:r>
    </w:p>
    <w:p>
      <w:pPr>
        <w:spacing w:after="0" w:line="168" w:lineRule="exact"/>
        <w:rPr>
          <w:sz w:val="20"/>
          <w:szCs w:val="20"/>
          <w:color w:val="auto"/>
        </w:rPr>
      </w:pPr>
    </w:p>
    <w:p>
      <w:pPr>
        <w:ind w:left="1600" w:right="459"/>
        <w:spacing w:after="0" w:line="248"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51" w:lineRule="exact"/>
        <w:rPr>
          <w:sz w:val="20"/>
          <w:szCs w:val="20"/>
          <w:color w:val="auto"/>
        </w:rPr>
      </w:pPr>
    </w:p>
    <w:p>
      <w:pPr>
        <w:ind w:left="1600" w:right="679"/>
        <w:spacing w:after="0" w:line="267" w:lineRule="auto"/>
        <w:rPr>
          <w:sz w:val="20"/>
          <w:szCs w:val="20"/>
          <w:color w:val="auto"/>
        </w:rPr>
      </w:pPr>
      <w:r>
        <w:rPr>
          <w:rFonts w:ascii="Times New Roman" w:cs="Times New Roman" w:eastAsia="Times New Roman" w:hAnsi="Times New Roman"/>
          <w:sz w:val="14"/>
          <w:szCs w:val="14"/>
          <w:color w:val="auto"/>
        </w:rPr>
        <w:t>Additionally, if you do not participate in the exchange offer, you will not be able to require us to register your old notes under the Securities Act except in limited circumstances. These circumstances are:</w:t>
      </w:r>
    </w:p>
    <w:p>
      <w:pPr>
        <w:spacing w:after="0" w:line="63" w:lineRule="exact"/>
        <w:rPr>
          <w:sz w:val="20"/>
          <w:szCs w:val="20"/>
          <w:color w:val="auto"/>
        </w:rPr>
      </w:pPr>
    </w:p>
    <w:p>
      <w:pPr>
        <w:ind w:left="1880" w:hanging="218"/>
        <w:spacing w:after="0"/>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is not permitted by applicable law or SEC policy,</w:t>
      </w:r>
    </w:p>
    <w:p>
      <w:pPr>
        <w:spacing w:after="0" w:line="95" w:lineRule="exact"/>
        <w:rPr>
          <w:rFonts w:ascii="Times New Roman" w:cs="Times New Roman" w:eastAsia="Times New Roman" w:hAnsi="Times New Roman"/>
          <w:sz w:val="14"/>
          <w:szCs w:val="14"/>
          <w:color w:val="auto"/>
        </w:rPr>
      </w:pPr>
    </w:p>
    <w:p>
      <w:pPr>
        <w:ind w:left="1880" w:hanging="218"/>
        <w:spacing w:after="0"/>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is not completed within 360 days of the issue date of the old notes, or</w:t>
      </w:r>
    </w:p>
    <w:p>
      <w:pPr>
        <w:spacing w:after="0" w:line="95" w:lineRule="exact"/>
        <w:rPr>
          <w:rFonts w:ascii="Times New Roman" w:cs="Times New Roman" w:eastAsia="Times New Roman" w:hAnsi="Times New Roman"/>
          <w:sz w:val="14"/>
          <w:szCs w:val="14"/>
          <w:color w:val="auto"/>
        </w:rPr>
      </w:pPr>
    </w:p>
    <w:p>
      <w:pPr>
        <w:ind w:left="1880" w:hanging="218"/>
        <w:spacing w:after="0"/>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20th day following consummation of the exchange offer:</w:t>
      </w:r>
    </w:p>
    <w:p>
      <w:pPr>
        <w:spacing w:after="0" w:line="95" w:lineRule="exact"/>
        <w:rPr>
          <w:rFonts w:ascii="Times New Roman" w:cs="Times New Roman" w:eastAsia="Times New Roman" w:hAnsi="Times New Roman"/>
          <w:sz w:val="14"/>
          <w:szCs w:val="14"/>
          <w:color w:val="auto"/>
        </w:rPr>
      </w:pPr>
    </w:p>
    <w:p>
      <w:pPr>
        <w:ind w:left="1880" w:right="579" w:hanging="218"/>
        <w:spacing w:after="0" w:line="267" w:lineRule="auto"/>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63" w:lineRule="exact"/>
        <w:rPr>
          <w:rFonts w:ascii="Times New Roman" w:cs="Times New Roman" w:eastAsia="Times New Roman" w:hAnsi="Times New Roman"/>
          <w:sz w:val="14"/>
          <w:szCs w:val="14"/>
          <w:color w:val="auto"/>
        </w:rPr>
      </w:pPr>
    </w:p>
    <w:p>
      <w:pPr>
        <w:ind w:left="1880" w:hanging="218"/>
        <w:spacing w:after="0"/>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holder of old notes notifies us that it is not eligible to participate in the exchange offer; or</w:t>
      </w:r>
    </w:p>
    <w:p>
      <w:pPr>
        <w:spacing w:after="0" w:line="95" w:lineRule="exact"/>
        <w:rPr>
          <w:rFonts w:ascii="Times New Roman" w:cs="Times New Roman" w:eastAsia="Times New Roman" w:hAnsi="Times New Roman"/>
          <w:sz w:val="14"/>
          <w:szCs w:val="14"/>
          <w:color w:val="auto"/>
        </w:rPr>
      </w:pPr>
    </w:p>
    <w:p>
      <w:pPr>
        <w:ind w:left="1880" w:right="679" w:hanging="218"/>
        <w:spacing w:after="0" w:line="267" w:lineRule="auto"/>
        <w:tabs>
          <w:tab w:leader="none" w:pos="18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purchaser of the old notes notifies us that it will not receive freely tradable new notes in exchange for old notes constituting any portion of an unsold allotment.</w:t>
      </w:r>
    </w:p>
    <w:p>
      <w:pPr>
        <w:spacing w:after="0" w:line="135" w:lineRule="exact"/>
        <w:rPr>
          <w:sz w:val="20"/>
          <w:szCs w:val="20"/>
          <w:color w:val="auto"/>
        </w:rPr>
      </w:pPr>
    </w:p>
    <w:p>
      <w:pPr>
        <w:ind w:left="1600" w:right="559"/>
        <w:spacing w:after="0" w:line="256" w:lineRule="auto"/>
        <w:rPr>
          <w:sz w:val="20"/>
          <w:szCs w:val="20"/>
          <w:color w:val="auto"/>
        </w:rPr>
      </w:pPr>
      <w:r>
        <w:rPr>
          <w:rFonts w:ascii="Times New Roman" w:cs="Times New Roman" w:eastAsia="Times New Roman" w:hAnsi="Times New Roman"/>
          <w:sz w:val="14"/>
          <w:szCs w:val="14"/>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160020</wp:posOffset>
            </wp:positionV>
            <wp:extent cx="5330825" cy="4913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30825" cy="4913630"/>
                    </a:xfrm>
                    <a:prstGeom prst="rect">
                      <a:avLst/>
                    </a:prstGeom>
                    <a:noFill/>
                  </pic:spPr>
                </pic:pic>
              </a:graphicData>
            </a:graphic>
          </wp:anchor>
        </w:drawing>
      </w: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New Notes</w:t>
      </w:r>
    </w:p>
    <w:p>
      <w:pPr>
        <w:spacing w:after="0" w:line="172" w:lineRule="exact"/>
        <w:rPr>
          <w:sz w:val="20"/>
          <w:szCs w:val="20"/>
          <w:color w:val="auto"/>
        </w:rPr>
      </w:pPr>
    </w:p>
    <w:p>
      <w:pPr>
        <w:ind w:left="1600" w:right="519"/>
        <w:spacing w:after="0" w:line="256" w:lineRule="auto"/>
        <w:rPr>
          <w:sz w:val="20"/>
          <w:szCs w:val="20"/>
          <w:color w:val="auto"/>
        </w:rPr>
      </w:pPr>
      <w:r>
        <w:rPr>
          <w:rFonts w:ascii="Times New Roman" w:cs="Times New Roman" w:eastAsia="Times New Roman" w:hAnsi="Times New Roman"/>
          <w:sz w:val="14"/>
          <w:szCs w:val="14"/>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76"/>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Crown Americas LLC, a Pennsylvania limited liability company.</w:t>
            </w:r>
          </w:p>
        </w:tc>
      </w:tr>
      <w:tr>
        <w:trPr>
          <w:trHeight w:val="360"/>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Notes Offered</w:t>
            </w: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$700,000,000 principal amount of 5.875% Senior Notes due 2033.</w:t>
            </w:r>
          </w:p>
        </w:tc>
      </w:tr>
      <w:tr>
        <w:trPr>
          <w:trHeight w:val="360"/>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Maturity</w:t>
            </w: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June 1, 2033.</w:t>
            </w:r>
          </w:p>
        </w:tc>
      </w:tr>
      <w:tr>
        <w:trPr>
          <w:trHeight w:val="348"/>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w:t>
            </w: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Interest on the new notes will accrue from and including the original issue date of the old</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notes and will be payable semi-annually on June 1 and December 1 of each year,</w:t>
            </w:r>
          </w:p>
        </w:tc>
      </w:tr>
      <w:tr>
        <w:trPr>
          <w:trHeight w:val="176"/>
        </w:trPr>
        <w:tc>
          <w:tcPr>
            <w:tcW w:w="2360" w:type="dxa"/>
            <w:vAlign w:val="bottom"/>
          </w:tcPr>
          <w:p>
            <w:pPr>
              <w:spacing w:after="0"/>
              <w:rPr>
                <w:sz w:val="15"/>
                <w:szCs w:val="15"/>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commencing on December 1, 2025.</w:t>
            </w:r>
          </w:p>
        </w:tc>
      </w:tr>
      <w:tr>
        <w:trPr>
          <w:trHeight w:val="338"/>
        </w:trPr>
        <w:tc>
          <w:tcPr>
            <w:tcW w:w="2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Ranking and Guarantees</w:t>
            </w: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new notes will be senior obligations of the Issuer, ranking senior in right of payment to</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all its subordinated indebtedness, and will be unconditionally guaranteed on an unsecured</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senior basis by Crown and each of Crown’s present and future U.S. subsidiaries (other than</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Issuer, Crown Americas Capital Corp., Crown Americas Capital Corp. V and Crown</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Americas Capital Corp. VI) that from time to time are obligors under or guarantee Crown’s</w:t>
            </w:r>
          </w:p>
        </w:tc>
      </w:tr>
      <w:tr>
        <w:trPr>
          <w:trHeight w:val="176"/>
        </w:trPr>
        <w:tc>
          <w:tcPr>
            <w:tcW w:w="2360" w:type="dxa"/>
            <w:vAlign w:val="bottom"/>
          </w:tcPr>
          <w:p>
            <w:pPr>
              <w:spacing w:after="0"/>
              <w:rPr>
                <w:sz w:val="15"/>
                <w:szCs w:val="15"/>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senior secured credit facilities.</w:t>
            </w:r>
          </w:p>
        </w:tc>
      </w:tr>
      <w:tr>
        <w:trPr>
          <w:trHeight w:val="338"/>
        </w:trPr>
        <w:tc>
          <w:tcPr>
            <w:tcW w:w="2360" w:type="dxa"/>
            <w:vAlign w:val="bottom"/>
          </w:tcPr>
          <w:p>
            <w:pPr>
              <w:spacing w:after="0"/>
              <w:rPr>
                <w:sz w:val="24"/>
                <w:szCs w:val="2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new notes and new note guarantees will be senior unsecured obligations of the Issuer</w:t>
            </w:r>
          </w:p>
        </w:tc>
      </w:tr>
      <w:tr>
        <w:trPr>
          <w:trHeight w:val="176"/>
        </w:trPr>
        <w:tc>
          <w:tcPr>
            <w:tcW w:w="2360" w:type="dxa"/>
            <w:vAlign w:val="bottom"/>
          </w:tcPr>
          <w:p>
            <w:pPr>
              <w:spacing w:after="0"/>
              <w:rPr>
                <w:sz w:val="15"/>
                <w:szCs w:val="15"/>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and the guarantors,</w:t>
            </w:r>
          </w:p>
        </w:tc>
      </w:tr>
      <w:tr>
        <w:trPr>
          <w:trHeight w:val="245"/>
        </w:trPr>
        <w:tc>
          <w:tcPr>
            <w:tcW w:w="2360" w:type="dxa"/>
            <w:vAlign w:val="bottom"/>
          </w:tcPr>
          <w:p>
            <w:pPr>
              <w:spacing w:after="0"/>
              <w:rPr>
                <w:sz w:val="21"/>
                <w:szCs w:val="21"/>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effectively subordinated to all existing and future secured indebtedness of the Issuer and</w:t>
            </w:r>
          </w:p>
        </w:tc>
      </w:tr>
      <w:tr>
        <w:trPr>
          <w:trHeight w:val="164"/>
        </w:trPr>
        <w:tc>
          <w:tcPr>
            <w:tcW w:w="2360" w:type="dxa"/>
            <w:vAlign w:val="bottom"/>
          </w:tcPr>
          <w:p>
            <w:pPr>
              <w:spacing w:after="0"/>
              <w:rPr>
                <w:sz w:val="14"/>
                <w:szCs w:val="14"/>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the guarantors to the extent of the value of the assets securing such indebtedness,</w:t>
            </w:r>
          </w:p>
        </w:tc>
      </w:tr>
      <w:tr>
        <w:trPr>
          <w:trHeight w:val="164"/>
        </w:trPr>
        <w:tc>
          <w:tcPr>
            <w:tcW w:w="2360" w:type="dxa"/>
            <w:vAlign w:val="bottom"/>
          </w:tcPr>
          <w:p>
            <w:pPr>
              <w:spacing w:after="0"/>
              <w:rPr>
                <w:sz w:val="14"/>
                <w:szCs w:val="14"/>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including any borrowings under Crown’s senior secured credit facilities, to the extent of</w:t>
            </w:r>
          </w:p>
        </w:tc>
      </w:tr>
      <w:tr>
        <w:trPr>
          <w:trHeight w:val="176"/>
        </w:trPr>
        <w:tc>
          <w:tcPr>
            <w:tcW w:w="2360" w:type="dxa"/>
            <w:vAlign w:val="bottom"/>
          </w:tcPr>
          <w:p>
            <w:pPr>
              <w:spacing w:after="0"/>
              <w:rPr>
                <w:sz w:val="15"/>
                <w:szCs w:val="15"/>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the value of the assets securing such indebtedness;</w:t>
            </w:r>
          </w:p>
        </w:tc>
      </w:tr>
      <w:tr>
        <w:trPr>
          <w:trHeight w:val="245"/>
        </w:trPr>
        <w:tc>
          <w:tcPr>
            <w:tcW w:w="2360" w:type="dxa"/>
            <w:vAlign w:val="bottom"/>
          </w:tcPr>
          <w:p>
            <w:pPr>
              <w:spacing w:after="0"/>
              <w:rPr>
                <w:sz w:val="21"/>
                <w:szCs w:val="21"/>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structurally subordinated to all indebtedness of subsidiaries of Crown that do not</w:t>
            </w:r>
          </w:p>
        </w:tc>
      </w:tr>
      <w:tr>
        <w:trPr>
          <w:trHeight w:val="164"/>
        </w:trPr>
        <w:tc>
          <w:tcPr>
            <w:tcW w:w="2360" w:type="dxa"/>
            <w:vAlign w:val="bottom"/>
          </w:tcPr>
          <w:p>
            <w:pPr>
              <w:spacing w:after="0"/>
              <w:rPr>
                <w:sz w:val="14"/>
                <w:szCs w:val="14"/>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guarantee the notes offered hereby which include all of Crown’s foreign subsidiaries,</w:t>
            </w:r>
          </w:p>
        </w:tc>
      </w:tr>
      <w:tr>
        <w:trPr>
          <w:trHeight w:val="164"/>
        </w:trPr>
        <w:tc>
          <w:tcPr>
            <w:tcW w:w="2360" w:type="dxa"/>
            <w:vAlign w:val="bottom"/>
          </w:tcPr>
          <w:p>
            <w:pPr>
              <w:spacing w:after="0"/>
              <w:rPr>
                <w:sz w:val="14"/>
                <w:szCs w:val="14"/>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and any U.S. subsidiaries that are neither obligors nor guarantors of Crown’s senior</w:t>
            </w:r>
          </w:p>
        </w:tc>
      </w:tr>
      <w:tr>
        <w:trPr>
          <w:trHeight w:val="176"/>
        </w:trPr>
        <w:tc>
          <w:tcPr>
            <w:tcW w:w="2360" w:type="dxa"/>
            <w:vAlign w:val="bottom"/>
          </w:tcPr>
          <w:p>
            <w:pPr>
              <w:spacing w:after="0"/>
              <w:rPr>
                <w:sz w:val="15"/>
                <w:szCs w:val="15"/>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secured credit facilities;</w:t>
            </w:r>
          </w:p>
        </w:tc>
      </w:tr>
      <w:tr>
        <w:trPr>
          <w:trHeight w:val="245"/>
        </w:trPr>
        <w:tc>
          <w:tcPr>
            <w:tcW w:w="2360" w:type="dxa"/>
            <w:vAlign w:val="bottom"/>
          </w:tcPr>
          <w:p>
            <w:pPr>
              <w:spacing w:after="0"/>
              <w:rPr>
                <w:sz w:val="21"/>
                <w:szCs w:val="21"/>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ranking equal in right of payment to any existing or future senior indebtedness of the</w:t>
            </w:r>
          </w:p>
        </w:tc>
      </w:tr>
      <w:tr>
        <w:trPr>
          <w:trHeight w:val="176"/>
        </w:trPr>
        <w:tc>
          <w:tcPr>
            <w:tcW w:w="2360" w:type="dxa"/>
            <w:vAlign w:val="bottom"/>
          </w:tcPr>
          <w:p>
            <w:pPr>
              <w:spacing w:after="0"/>
              <w:rPr>
                <w:sz w:val="15"/>
                <w:szCs w:val="15"/>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Issuer and the guarantors; and</w:t>
            </w:r>
          </w:p>
        </w:tc>
      </w:tr>
      <w:tr>
        <w:trPr>
          <w:trHeight w:val="245"/>
        </w:trPr>
        <w:tc>
          <w:tcPr>
            <w:tcW w:w="2360" w:type="dxa"/>
            <w:vAlign w:val="bottom"/>
          </w:tcPr>
          <w:p>
            <w:pPr>
              <w:spacing w:after="0"/>
              <w:rPr>
                <w:sz w:val="21"/>
                <w:szCs w:val="21"/>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  ranking senior in right of payment to all existing and future subordinated indebtedness of</w:t>
            </w:r>
          </w:p>
        </w:tc>
      </w:tr>
      <w:tr>
        <w:trPr>
          <w:trHeight w:val="176"/>
        </w:trPr>
        <w:tc>
          <w:tcPr>
            <w:tcW w:w="2360" w:type="dxa"/>
            <w:vAlign w:val="bottom"/>
          </w:tcPr>
          <w:p>
            <w:pPr>
              <w:spacing w:after="0"/>
              <w:rPr>
                <w:sz w:val="15"/>
                <w:szCs w:val="15"/>
                <w:color w:val="auto"/>
              </w:rPr>
            </w:pPr>
          </w:p>
        </w:tc>
        <w:tc>
          <w:tcPr>
            <w:tcW w:w="60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the Issuer and the guarantors.</w:t>
            </w:r>
          </w:p>
        </w:tc>
      </w:tr>
      <w:tr>
        <w:trPr>
          <w:trHeight w:val="338"/>
        </w:trPr>
        <w:tc>
          <w:tcPr>
            <w:tcW w:w="2360" w:type="dxa"/>
            <w:vAlign w:val="bottom"/>
          </w:tcPr>
          <w:p>
            <w:pPr>
              <w:spacing w:after="0"/>
              <w:rPr>
                <w:sz w:val="24"/>
                <w:szCs w:val="2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Upon the release of any new note guarantor from its obligations under Crown’s senior</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credit facilities, unless there is a default or event of default existing or continuing</w:t>
            </w:r>
          </w:p>
        </w:tc>
      </w:tr>
      <w:tr>
        <w:trPr>
          <w:trHeight w:val="164"/>
        </w:trPr>
        <w:tc>
          <w:tcPr>
            <w:tcW w:w="2360" w:type="dxa"/>
            <w:vAlign w:val="bottom"/>
          </w:tcPr>
          <w:p>
            <w:pPr>
              <w:spacing w:after="0"/>
              <w:rPr>
                <w:sz w:val="14"/>
                <w:szCs w:val="14"/>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under the indenture governing the new notes, the guarantee of such new notes by such new</w:t>
            </w:r>
          </w:p>
        </w:tc>
      </w:tr>
      <w:tr>
        <w:trPr>
          <w:trHeight w:val="176"/>
        </w:trPr>
        <w:tc>
          <w:tcPr>
            <w:tcW w:w="2360" w:type="dxa"/>
            <w:vAlign w:val="bottom"/>
          </w:tcPr>
          <w:p>
            <w:pPr>
              <w:spacing w:after="0"/>
              <w:rPr>
                <w:sz w:val="15"/>
                <w:szCs w:val="15"/>
                <w:color w:val="auto"/>
              </w:rPr>
            </w:pPr>
          </w:p>
        </w:tc>
        <w:tc>
          <w:tcPr>
            <w:tcW w:w="6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note guarantor will also be released.</w:t>
            </w:r>
          </w:p>
        </w:tc>
      </w:tr>
      <w:tr>
        <w:trPr>
          <w:trHeight w:val="130"/>
        </w:trPr>
        <w:tc>
          <w:tcPr>
            <w:tcW w:w="2360" w:type="dxa"/>
            <w:vAlign w:val="bottom"/>
            <w:tcBorders>
              <w:bottom w:val="single" w:sz="8" w:color="auto"/>
            </w:tcBorders>
          </w:tcPr>
          <w:p>
            <w:pPr>
              <w:spacing w:after="0"/>
              <w:rPr>
                <w:sz w:val="11"/>
                <w:szCs w:val="11"/>
                <w:color w:val="auto"/>
              </w:rPr>
            </w:pPr>
          </w:p>
        </w:tc>
        <w:tc>
          <w:tcPr>
            <w:tcW w:w="6040" w:type="dxa"/>
            <w:vAlign w:val="bottom"/>
            <w:tcBorders>
              <w:bottom w:val="single" w:sz="8" w:color="auto"/>
            </w:tcBorders>
          </w:tcPr>
          <w:p>
            <w:pPr>
              <w:spacing w:after="0"/>
              <w:rPr>
                <w:sz w:val="11"/>
                <w:szCs w:val="11"/>
                <w:color w:val="auto"/>
              </w:rPr>
            </w:pPr>
          </w:p>
        </w:tc>
      </w:tr>
      <w:tr>
        <w:trPr>
          <w:trHeight w:val="271"/>
        </w:trPr>
        <w:tc>
          <w:tcPr>
            <w:tcW w:w="2360" w:type="dxa"/>
            <w:vAlign w:val="bottom"/>
          </w:tcPr>
          <w:p>
            <w:pPr>
              <w:spacing w:after="0"/>
              <w:rPr>
                <w:sz w:val="23"/>
                <w:szCs w:val="23"/>
                <w:color w:val="auto"/>
              </w:rPr>
            </w:pPr>
          </w:p>
        </w:tc>
        <w:tc>
          <w:tcPr>
            <w:tcW w:w="60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5</w:t>
            </w:r>
          </w:p>
        </w:tc>
      </w:tr>
    </w:tbl>
    <w:p>
      <w:pPr>
        <w:sectPr>
          <w:pgSz w:w="11900" w:h="16838" w:orient="portrait"/>
          <w:cols w:equalWidth="0" w:num="1">
            <w:col w:w="10159"/>
          </w:cols>
          <w:pgMar w:left="300" w:top="38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167005</wp:posOffset>
            </wp:positionV>
            <wp:extent cx="5330825" cy="3888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30825" cy="3888740"/>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sectPr>
      </w:pPr>
    </w:p>
    <w:p>
      <w:pPr>
        <w:spacing w:after="0" w:line="38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3"/>
          <w:szCs w:val="13"/>
          <w:color w:val="auto"/>
        </w:rPr>
        <w:t>Additional Indebtedness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both"/>
        <w:ind w:right="499"/>
        <w:spacing w:after="0" w:line="256" w:lineRule="auto"/>
        <w:rPr>
          <w:sz w:val="20"/>
          <w:szCs w:val="20"/>
          <w:color w:val="auto"/>
        </w:rPr>
      </w:pPr>
      <w:r>
        <w:rPr>
          <w:rFonts w:ascii="Times New Roman" w:cs="Times New Roman" w:eastAsia="Times New Roman" w:hAnsi="Times New Roman"/>
          <w:sz w:val="14"/>
          <w:szCs w:val="14"/>
          <w:color w:val="auto"/>
        </w:rPr>
        <w:t>Crown and the Issuer may be able to incur additional debt in the future. Although Crown’s senior secured credit facilities contain restrictions on Crown’s ability to incur indebtedness, those restrictions are subject to a number of exceptions.</w:t>
      </w:r>
    </w:p>
    <w:p>
      <w:pPr>
        <w:spacing w:after="0" w:line="163" w:lineRule="exact"/>
        <w:rPr>
          <w:sz w:val="20"/>
          <w:szCs w:val="20"/>
          <w:color w:val="auto"/>
        </w:rPr>
      </w:pPr>
    </w:p>
    <w:p>
      <w:pPr>
        <w:sectPr>
          <w:pgSz w:w="11900" w:h="16838" w:orient="portrait"/>
          <w:cols w:equalWidth="0" w:num="2">
            <w:col w:w="3940" w:space="720"/>
            <w:col w:w="5499"/>
          </w:cols>
          <w:pgMar w:left="300" w:top="380"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3"/>
          <w:szCs w:val="13"/>
          <w:color w:val="auto"/>
        </w:rPr>
        <w:t>Optional Redemption</w:t>
      </w:r>
    </w:p>
    <w:p>
      <w:pPr>
        <w:spacing w:after="0" w:line="20" w:lineRule="exact"/>
        <w:rPr>
          <w:sz w:val="20"/>
          <w:szCs w:val="20"/>
          <w:color w:val="auto"/>
        </w:rPr>
      </w:pPr>
      <w:r>
        <w:rPr>
          <w:sz w:val="20"/>
          <w:szCs w:val="20"/>
          <w:color w:val="auto"/>
        </w:rPr>
        <w:br w:type="column"/>
      </w:r>
    </w:p>
    <w:p>
      <w:pPr>
        <w:ind w:right="499"/>
        <w:spacing w:after="0" w:line="247" w:lineRule="auto"/>
        <w:rPr>
          <w:sz w:val="20"/>
          <w:szCs w:val="20"/>
          <w:color w:val="auto"/>
        </w:rPr>
      </w:pPr>
      <w:r>
        <w:rPr>
          <w:rFonts w:ascii="Times New Roman" w:cs="Times New Roman" w:eastAsia="Times New Roman" w:hAnsi="Times New Roman"/>
          <w:sz w:val="14"/>
          <w:szCs w:val="14"/>
          <w:color w:val="auto"/>
        </w:rPr>
        <w:t>The Issuer may redeem some or all of the new notes prior to June 1, 2028 at a price equal to 100% of the principal amount of the notes redeemed, plus accrued and unpaid interest, if any, to, but excluding, the applicable redemption date and a “make-whole” premium, as described in this prospectus. Thereafter, the Issuer may redeem all or some of the notes at the redemption prices set forth in this prospectus. In addition, on or prior to June 1, 2028, the Issuer may redeem up to 40% of the notes with the net cash proceeds of certain equity offerings of capital stock of Crown that are contributed as capital or are used to subscribe for qualified capital stock of the Issuer. See “Description of the Notes—Optional Redemption.”</w:t>
      </w:r>
    </w:p>
    <w:p>
      <w:pPr>
        <w:spacing w:after="0" w:line="174" w:lineRule="exact"/>
        <w:rPr>
          <w:sz w:val="20"/>
          <w:szCs w:val="20"/>
          <w:color w:val="auto"/>
        </w:rPr>
      </w:pPr>
    </w:p>
    <w:p>
      <w:pPr>
        <w:sectPr>
          <w:pgSz w:w="11900" w:h="16838" w:orient="portrait"/>
          <w:cols w:equalWidth="0" w:num="2">
            <w:col w:w="3940" w:space="720"/>
            <w:col w:w="5499"/>
          </w:cols>
          <w:pgMar w:left="300" w:top="380"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3"/>
          <w:szCs w:val="13"/>
          <w:color w:val="auto"/>
        </w:rPr>
        <w:t>Change of Control</w:t>
      </w:r>
    </w:p>
    <w:p>
      <w:pPr>
        <w:spacing w:after="0" w:line="20" w:lineRule="exact"/>
        <w:rPr>
          <w:sz w:val="20"/>
          <w:szCs w:val="20"/>
          <w:color w:val="auto"/>
        </w:rPr>
      </w:pPr>
      <w:r>
        <w:rPr>
          <w:sz w:val="20"/>
          <w:szCs w:val="20"/>
          <w:color w:val="auto"/>
        </w:rPr>
        <w:br w:type="column"/>
      </w:r>
    </w:p>
    <w:p>
      <w:pPr>
        <w:ind w:right="559"/>
        <w:spacing w:after="0" w:line="270" w:lineRule="auto"/>
        <w:rPr>
          <w:sz w:val="20"/>
          <w:szCs w:val="20"/>
          <w:color w:val="auto"/>
        </w:rPr>
      </w:pPr>
      <w:r>
        <w:rPr>
          <w:rFonts w:ascii="Times New Roman" w:cs="Times New Roman" w:eastAsia="Times New Roman" w:hAnsi="Times New Roman"/>
          <w:sz w:val="13"/>
          <w:szCs w:val="13"/>
          <w:color w:val="auto"/>
        </w:rPr>
        <w:t>Upon a “change of control repurchase event” of Crown or the Issuer, as defined under the caption “Description of the Notes—Repurchase at the Option of Holders,” you will have the right, as a holder of new notes, to require the Issuer to repurchase all or part of your new notes at a repurchase price equal to 101% of their principal amount, plus accrued and unpaid interest, if any, to, but excluding,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pacing w:after="0" w:line="155" w:lineRule="exact"/>
        <w:rPr>
          <w:sz w:val="20"/>
          <w:szCs w:val="20"/>
          <w:color w:val="auto"/>
        </w:rPr>
      </w:pPr>
    </w:p>
    <w:p>
      <w:pPr>
        <w:sectPr>
          <w:pgSz w:w="11900" w:h="16838" w:orient="portrait"/>
          <w:cols w:equalWidth="0" w:num="2">
            <w:col w:w="3940" w:space="720"/>
            <w:col w:w="5499"/>
          </w:cols>
          <w:pgMar w:left="300" w:top="380"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3"/>
          <w:szCs w:val="13"/>
          <w:color w:val="auto"/>
        </w:rPr>
        <w:t>Restrictive Covenants</w:t>
      </w:r>
    </w:p>
    <w:p>
      <w:pPr>
        <w:spacing w:after="0" w:line="20" w:lineRule="exact"/>
        <w:rPr>
          <w:sz w:val="20"/>
          <w:szCs w:val="20"/>
          <w:color w:val="auto"/>
        </w:rPr>
      </w:pPr>
      <w:r>
        <w:rPr>
          <w:sz w:val="20"/>
          <w:szCs w:val="20"/>
          <w:color w:val="auto"/>
        </w:rPr>
        <w:br w:type="column"/>
      </w:r>
    </w:p>
    <w:p>
      <w:pPr>
        <w:jc w:val="both"/>
        <w:ind w:right="539"/>
        <w:spacing w:after="0" w:line="256" w:lineRule="auto"/>
        <w:rPr>
          <w:sz w:val="20"/>
          <w:szCs w:val="20"/>
          <w:color w:val="auto"/>
        </w:rPr>
      </w:pPr>
      <w:r>
        <w:rPr>
          <w:rFonts w:ascii="Times New Roman" w:cs="Times New Roman" w:eastAsia="Times New Roman" w:hAnsi="Times New Roman"/>
          <w:sz w:val="14"/>
          <w:szCs w:val="14"/>
          <w:color w:val="auto"/>
        </w:rPr>
        <w:t>The indenture governing the new notes will limit, among other things, Crown’s ability and the ability of certain of its subsidiaries (including the Issuer) to incur secured indebtedness and engage in certain sale and leaseback transactions.</w:t>
      </w:r>
    </w:p>
    <w:p>
      <w:pPr>
        <w:spacing w:after="0" w:line="163" w:lineRule="exact"/>
        <w:rPr>
          <w:sz w:val="20"/>
          <w:szCs w:val="20"/>
          <w:color w:val="auto"/>
        </w:rPr>
      </w:pPr>
    </w:p>
    <w:p>
      <w:pPr>
        <w:sectPr>
          <w:pgSz w:w="11900" w:h="16838" w:orient="portrait"/>
          <w:cols w:equalWidth="0" w:num="2">
            <w:col w:w="3940" w:space="720"/>
            <w:col w:w="5499"/>
          </w:cols>
          <w:pgMar w:left="300" w:top="380" w:right="1440"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3"/>
          <w:szCs w:val="13"/>
          <w:color w:val="auto"/>
        </w:rPr>
        <w:t>These covenants are subject to a number of important exceptions and limitations that are</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described under the caption “Description of the Notes—Certain Covenants.”</w:t>
      </w:r>
    </w:p>
    <w:p>
      <w:pPr>
        <w:sectPr>
          <w:pgSz w:w="11900" w:h="16838" w:orient="portrait"/>
          <w:cols w:equalWidth="0" w:num="1">
            <w:col w:w="10159"/>
          </w:cols>
          <w:pgMar w:left="300" w:top="380" w:right="1440" w:bottom="1440" w:gutter="0" w:footer="0" w:header="0"/>
          <w:type w:val="continuous"/>
        </w:sectPr>
      </w:pP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600" w:right="579"/>
        <w:spacing w:after="0" w:line="267" w:lineRule="auto"/>
        <w:rPr>
          <w:sz w:val="20"/>
          <w:szCs w:val="20"/>
          <w:color w:val="auto"/>
        </w:rPr>
      </w:pPr>
      <w:r>
        <w:rPr>
          <w:rFonts w:ascii="Times New Roman" w:cs="Times New Roman" w:eastAsia="Times New Roman" w:hAnsi="Times New Roman"/>
          <w:sz w:val="14"/>
          <w:szCs w:val="14"/>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0"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ind w:left="1460" w:right="679"/>
        <w:spacing w:after="0" w:line="280" w:lineRule="auto"/>
        <w:rPr>
          <w:sz w:val="20"/>
          <w:szCs w:val="20"/>
          <w:color w:val="auto"/>
        </w:rPr>
      </w:pPr>
      <w:r>
        <w:rPr>
          <w:rFonts w:ascii="Times New Roman" w:cs="Times New Roman" w:eastAsia="Times New Roman" w:hAnsi="Times New Roman"/>
          <w:sz w:val="13"/>
          <w:szCs w:val="13"/>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Risks Related to the Exchange Offer</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b w:val="1"/>
          <w:bCs w:val="1"/>
          <w:i w:val="1"/>
          <w:iCs w:val="1"/>
          <w:color w:val="auto"/>
        </w:rPr>
        <w:t>If you fail to exchange your old notes for new notes your old notes will continue to be subject to restrictions on transfer and may become less liquid.</w:t>
      </w:r>
    </w:p>
    <w:p>
      <w:pPr>
        <w:spacing w:after="0" w:line="101" w:lineRule="exact"/>
        <w:rPr>
          <w:sz w:val="20"/>
          <w:szCs w:val="20"/>
          <w:color w:val="auto"/>
        </w:rPr>
      </w:pPr>
    </w:p>
    <w:p>
      <w:pPr>
        <w:ind w:left="1460" w:right="339"/>
        <w:spacing w:after="0" w:line="278" w:lineRule="auto"/>
        <w:rPr>
          <w:sz w:val="20"/>
          <w:szCs w:val="20"/>
          <w:color w:val="auto"/>
        </w:rPr>
      </w:pPr>
      <w:r>
        <w:rPr>
          <w:rFonts w:ascii="Times New Roman" w:cs="Times New Roman" w:eastAsia="Times New Roman" w:hAnsi="Times New Roman"/>
          <w:sz w:val="13"/>
          <w:szCs w:val="13"/>
          <w:color w:val="auto"/>
        </w:rPr>
        <w:t>We did not register the old notes under the Securities Act or any state securities laws, nor do we intend to do so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29" w:lineRule="exact"/>
        <w:rPr>
          <w:sz w:val="20"/>
          <w:szCs w:val="20"/>
          <w:color w:val="auto"/>
        </w:rPr>
      </w:pPr>
    </w:p>
    <w:p>
      <w:pPr>
        <w:ind w:left="1460" w:right="379"/>
        <w:spacing w:after="0" w:line="250" w:lineRule="auto"/>
        <w:rPr>
          <w:sz w:val="20"/>
          <w:szCs w:val="20"/>
          <w:color w:val="auto"/>
        </w:rPr>
      </w:pPr>
      <w:r>
        <w:rPr>
          <w:rFonts w:ascii="Times New Roman" w:cs="Times New Roman" w:eastAsia="Times New Roman" w:hAnsi="Times New Roman"/>
          <w:sz w:val="14"/>
          <w:szCs w:val="14"/>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If an active trading market for the new notes does not develop, the liquidity and value of the new notes could be harmed.</w:t>
      </w:r>
    </w:p>
    <w:p>
      <w:pPr>
        <w:spacing w:after="0" w:line="90" w:lineRule="exact"/>
        <w:rPr>
          <w:sz w:val="20"/>
          <w:szCs w:val="20"/>
          <w:color w:val="auto"/>
        </w:rPr>
      </w:pPr>
    </w:p>
    <w:p>
      <w:pPr>
        <w:ind w:left="1460" w:right="339"/>
        <w:spacing w:after="0" w:line="248" w:lineRule="auto"/>
        <w:rPr>
          <w:sz w:val="20"/>
          <w:szCs w:val="20"/>
          <w:color w:val="auto"/>
        </w:rPr>
      </w:pPr>
      <w:r>
        <w:rPr>
          <w:rFonts w:ascii="Times New Roman" w:cs="Times New Roman" w:eastAsia="Times New Roman" w:hAnsi="Times New Roman"/>
          <w:sz w:val="14"/>
          <w:szCs w:val="14"/>
          <w:color w:val="auto"/>
        </w:rPr>
        <w:t>There is no existing market for the new notes, and the Issuer cannot assure you that an active trading market will develop for the new notes. If no active trading market develops, you may not be able to resell your new notes at their fair market value or at all. Even if a public market for the new notes develops, trading prices of the new notes will depend on many factors, including, among other things, the Issuer’s prevailing interest rates, demand for high yield debt securities generally, general economic conditions, the Issuer and Crown’s financial performance or prospects or the prospects of the companies in their industry and the market for similar securities. The liquidity of a trading market for the new notes may be adversely affected by a general decline in the market for similar securities. Historically, the market for non-investment grade securities has been subject to disruptions that have caused substantial volatility in the prices of securities similar to the new notes. Any such disruption may have a negative effect on you, as a holder of the new notes, regardless of our prospects and financial performance.</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You must comply with the exchange offer procedures in order to receive new notes.</w:t>
      </w:r>
    </w:p>
    <w:p>
      <w:pPr>
        <w:spacing w:after="0" w:line="90" w:lineRule="exact"/>
        <w:rPr>
          <w:sz w:val="20"/>
          <w:szCs w:val="20"/>
          <w:color w:val="auto"/>
        </w:rPr>
      </w:pPr>
    </w:p>
    <w:p>
      <w:pPr>
        <w:ind w:left="1460" w:right="339"/>
        <w:spacing w:after="0" w:line="249" w:lineRule="auto"/>
        <w:rPr>
          <w:sz w:val="20"/>
          <w:szCs w:val="20"/>
          <w:color w:val="auto"/>
        </w:rPr>
      </w:pPr>
      <w:r>
        <w:rPr>
          <w:rFonts w:ascii="Times New Roman" w:cs="Times New Roman" w:eastAsia="Times New Roman" w:hAnsi="Times New Roman"/>
          <w:sz w:val="14"/>
          <w:szCs w:val="14"/>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w:t>
      </w:r>
    </w:p>
    <w:p>
      <w:pPr>
        <w:spacing w:after="0" w:line="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39"/>
        <w:spacing w:after="0" w:line="256" w:lineRule="auto"/>
        <w:rPr>
          <w:sz w:val="20"/>
          <w:szCs w:val="20"/>
          <w:color w:val="auto"/>
        </w:rPr>
      </w:pPr>
      <w:r>
        <w:rPr>
          <w:rFonts w:ascii="Times New Roman" w:cs="Times New Roman" w:eastAsia="Times New Roman" w:hAnsi="Times New Roman"/>
          <w:sz w:val="14"/>
          <w:szCs w:val="14"/>
          <w:color w:val="auto"/>
        </w:rPr>
        <w:t>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Some persons who participate in the exchange offer must deliver a prospectus in connection with resales of the new notes.</w:t>
      </w:r>
    </w:p>
    <w:p>
      <w:pPr>
        <w:spacing w:after="0" w:line="90" w:lineRule="exact"/>
        <w:rPr>
          <w:sz w:val="20"/>
          <w:szCs w:val="20"/>
          <w:color w:val="auto"/>
        </w:rPr>
      </w:pPr>
    </w:p>
    <w:p>
      <w:pPr>
        <w:ind w:left="1460" w:right="359"/>
        <w:spacing w:after="0" w:line="247" w:lineRule="auto"/>
        <w:rPr>
          <w:sz w:val="20"/>
          <w:szCs w:val="20"/>
          <w:color w:val="auto"/>
        </w:rPr>
      </w:pPr>
      <w:r>
        <w:rPr>
          <w:rFonts w:ascii="Times New Roman" w:cs="Times New Roman" w:eastAsia="Times New Roman" w:hAnsi="Times New Roman"/>
          <w:sz w:val="14"/>
          <w:szCs w:val="14"/>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 Furthermore, we will not seek our own interpretive letter. As a result, we cannot assure you that the staff will take the same position on this exchange offer as it did in interpretive letters to other parties in similar transactions.</w:t>
      </w:r>
    </w:p>
    <w:p>
      <w:pPr>
        <w:spacing w:after="0" w:line="2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Risks Related to the New Notes</w:t>
      </w:r>
    </w:p>
    <w:p>
      <w:pPr>
        <w:spacing w:after="0" w:line="86" w:lineRule="exact"/>
        <w:rPr>
          <w:sz w:val="20"/>
          <w:szCs w:val="20"/>
          <w:color w:val="auto"/>
        </w:rPr>
      </w:pPr>
    </w:p>
    <w:p>
      <w:pPr>
        <w:ind w:left="1460" w:right="5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Crown and the Issuer are holding companies with no direct operations and the new notes will be structurally subordinated to all indebtedness of Crown’s subsidiaries that are not guarantors of the new notes.</w:t>
      </w:r>
    </w:p>
    <w:p>
      <w:pPr>
        <w:spacing w:after="0" w:line="49" w:lineRule="exact"/>
        <w:rPr>
          <w:sz w:val="20"/>
          <w:szCs w:val="20"/>
          <w:color w:val="auto"/>
        </w:rPr>
      </w:pPr>
    </w:p>
    <w:p>
      <w:pPr>
        <w:ind w:left="1460" w:right="359"/>
        <w:spacing w:after="0" w:line="248" w:lineRule="auto"/>
        <w:rPr>
          <w:sz w:val="20"/>
          <w:szCs w:val="20"/>
          <w:color w:val="auto"/>
        </w:rPr>
      </w:pPr>
      <w:r>
        <w:rPr>
          <w:rFonts w:ascii="Times New Roman" w:cs="Times New Roman" w:eastAsia="Times New Roman" w:hAnsi="Times New Roman"/>
          <w:sz w:val="14"/>
          <w:szCs w:val="14"/>
          <w:color w:val="auto"/>
        </w:rPr>
        <w:t>Crown and the Issuer are holding companies with no direct operations. The principal assets of Crown and the Issuer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the Issuer’s subsidiaries will guarantee the new notes. Specifically, none of Crown’s or the Issuer’s foreign subsidiaries are expected to guarantee the new notes. A holder of new notes will not have any claim as a creditor against subsidiaries of Crown or the Issuer that are not guarantors of the new notes, and the indebtedness and other liabilities, including trade payables, whether secured or unsecured, of those non-guarantor subsidiaries will be effectively senior to your claims.</w:t>
      </w:r>
    </w:p>
    <w:p>
      <w:pPr>
        <w:spacing w:after="0" w:line="227" w:lineRule="exact"/>
        <w:rPr>
          <w:sz w:val="20"/>
          <w:szCs w:val="20"/>
          <w:color w:val="auto"/>
        </w:rPr>
      </w:pPr>
    </w:p>
    <w:p>
      <w:pPr>
        <w:ind w:left="1460" w:right="5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49" w:lineRule="exact"/>
        <w:rPr>
          <w:sz w:val="20"/>
          <w:szCs w:val="20"/>
          <w:color w:val="auto"/>
        </w:rPr>
      </w:pPr>
    </w:p>
    <w:p>
      <w:pPr>
        <w:ind w:left="1460" w:right="319"/>
        <w:spacing w:after="0" w:line="248" w:lineRule="auto"/>
        <w:rPr>
          <w:sz w:val="20"/>
          <w:szCs w:val="20"/>
          <w:color w:val="auto"/>
        </w:rPr>
      </w:pPr>
      <w:r>
        <w:rPr>
          <w:rFonts w:ascii="Times New Roman" w:cs="Times New Roman" w:eastAsia="Times New Roman" w:hAnsi="Times New Roman"/>
          <w:sz w:val="14"/>
          <w:szCs w:val="14"/>
          <w:color w:val="auto"/>
        </w:rPr>
        <w:t>The new notes and the new note guarantees will be effectively subordinated to the prior payment in full of Crown’s, the Issuer’s and the guarantors’ current and future secured indebtedness to the extent of the value of the assets securing such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w:t>
      </w: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49" w:lineRule="auto"/>
        <w:rPr>
          <w:sz w:val="20"/>
          <w:szCs w:val="20"/>
          <w:color w:val="auto"/>
        </w:rPr>
      </w:pPr>
      <w:r>
        <w:rPr>
          <w:rFonts w:ascii="Times New Roman" w:cs="Times New Roman" w:eastAsia="Times New Roman" w:hAnsi="Times New Roman"/>
          <w:sz w:val="14"/>
          <w:szCs w:val="14"/>
          <w:color w:val="auto"/>
        </w:rPr>
        <w:t>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w:t>
      </w:r>
    </w:p>
    <w:p>
      <w:pPr>
        <w:spacing w:after="0" w:line="227" w:lineRule="exact"/>
        <w:rPr>
          <w:sz w:val="20"/>
          <w:szCs w:val="20"/>
          <w:color w:val="auto"/>
        </w:rPr>
      </w:pPr>
    </w:p>
    <w:p>
      <w:pPr>
        <w:ind w:left="1460" w:right="59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49" w:lineRule="exact"/>
        <w:rPr>
          <w:sz w:val="20"/>
          <w:szCs w:val="20"/>
          <w:color w:val="auto"/>
        </w:rPr>
      </w:pPr>
    </w:p>
    <w:p>
      <w:pPr>
        <w:ind w:left="1460" w:right="439"/>
        <w:spacing w:after="0" w:line="256" w:lineRule="auto"/>
        <w:rPr>
          <w:sz w:val="20"/>
          <w:szCs w:val="20"/>
          <w:color w:val="auto"/>
        </w:rPr>
      </w:pPr>
      <w:r>
        <w:rPr>
          <w:rFonts w:ascii="Times New Roman" w:cs="Times New Roman" w:eastAsia="Times New Roman" w:hAnsi="Times New Roman"/>
          <w:sz w:val="14"/>
          <w:szCs w:val="14"/>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43" w:lineRule="exact"/>
        <w:rPr>
          <w:sz w:val="20"/>
          <w:szCs w:val="20"/>
          <w:color w:val="auto"/>
        </w:rPr>
      </w:pPr>
    </w:p>
    <w:p>
      <w:pPr>
        <w:ind w:left="1460" w:right="419"/>
        <w:spacing w:after="0" w:line="248" w:lineRule="auto"/>
        <w:rPr>
          <w:sz w:val="20"/>
          <w:szCs w:val="20"/>
          <w:color w:val="auto"/>
        </w:rPr>
      </w:pPr>
      <w:r>
        <w:rPr>
          <w:rFonts w:ascii="Times New Roman" w:cs="Times New Roman" w:eastAsia="Times New Roman" w:hAnsi="Times New Roman"/>
          <w:sz w:val="14"/>
          <w:szCs w:val="14"/>
          <w:color w:val="auto"/>
        </w:rPr>
        <w:t>We cannot assure you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229" w:lineRule="exact"/>
        <w:rPr>
          <w:sz w:val="20"/>
          <w:szCs w:val="20"/>
          <w:color w:val="auto"/>
        </w:rPr>
      </w:pPr>
    </w:p>
    <w:p>
      <w:pPr>
        <w:ind w:left="1460" w:right="4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49" w:lineRule="exact"/>
        <w:rPr>
          <w:sz w:val="20"/>
          <w:szCs w:val="20"/>
          <w:color w:val="auto"/>
        </w:rPr>
      </w:pPr>
    </w:p>
    <w:p>
      <w:pPr>
        <w:ind w:left="1460" w:right="359"/>
        <w:spacing w:after="0" w:line="249" w:lineRule="auto"/>
        <w:rPr>
          <w:sz w:val="20"/>
          <w:szCs w:val="20"/>
          <w:color w:val="auto"/>
        </w:rPr>
      </w:pPr>
      <w:r>
        <w:rPr>
          <w:rFonts w:ascii="Times New Roman" w:cs="Times New Roman" w:eastAsia="Times New Roman" w:hAnsi="Times New Roman"/>
          <w:sz w:val="14"/>
          <w:szCs w:val="14"/>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227" w:lineRule="exact"/>
        <w:rPr>
          <w:sz w:val="20"/>
          <w:szCs w:val="20"/>
          <w:color w:val="auto"/>
        </w:rPr>
      </w:pPr>
    </w:p>
    <w:p>
      <w:pPr>
        <w:ind w:left="1460" w:right="51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The new notes and the new note guarantees may be voidable, subordinated or limited in scope under insolvency, fraudulent transfer, corporate or other laws.</w:t>
      </w:r>
    </w:p>
    <w:p>
      <w:pPr>
        <w:spacing w:after="0" w:line="49"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Fraudulent transfer and insolvency laws may void, subordinate or limit the new notes and the new note guarantees. See “Description of the Notes— Certain Bankruptcy and Fraudulent Transfer Limitations.”</w:t>
      </w:r>
    </w:p>
    <w:p>
      <w:pPr>
        <w:spacing w:after="0" w:line="135" w:lineRule="exact"/>
        <w:rPr>
          <w:sz w:val="20"/>
          <w:szCs w:val="20"/>
          <w:color w:val="auto"/>
        </w:rPr>
      </w:pPr>
    </w:p>
    <w:p>
      <w:pPr>
        <w:ind w:left="1460" w:right="459"/>
        <w:spacing w:after="0" w:line="252" w:lineRule="auto"/>
        <w:rPr>
          <w:sz w:val="20"/>
          <w:szCs w:val="20"/>
          <w:color w:val="auto"/>
        </w:rPr>
      </w:pPr>
      <w:r>
        <w:rPr>
          <w:rFonts w:ascii="Times New Roman" w:cs="Times New Roman" w:eastAsia="Times New Roman" w:hAnsi="Times New Roman"/>
          <w:sz w:val="14"/>
          <w:szCs w:val="14"/>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future creditor, or received less than reasonably equivalent value or fair consideration for the incurrence of such indebtedness and either:</w:t>
      </w:r>
    </w:p>
    <w:p>
      <w:pPr>
        <w:spacing w:after="0" w:line="96" w:lineRule="exact"/>
        <w:rPr>
          <w:sz w:val="20"/>
          <w:szCs w:val="20"/>
          <w:color w:val="auto"/>
        </w:rPr>
      </w:pPr>
    </w:p>
    <w:p>
      <w:pPr>
        <w:ind w:left="1780" w:hanging="247"/>
        <w:spacing w:after="0"/>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insolvent or rendered insolvent by reason of such incurrence;</w:t>
      </w:r>
    </w:p>
    <w:p>
      <w:pPr>
        <w:spacing w:after="0" w:line="95" w:lineRule="exact"/>
        <w:rPr>
          <w:rFonts w:ascii="Times New Roman" w:cs="Times New Roman" w:eastAsia="Times New Roman" w:hAnsi="Times New Roman"/>
          <w:sz w:val="14"/>
          <w:szCs w:val="14"/>
          <w:color w:val="auto"/>
        </w:rPr>
      </w:pPr>
    </w:p>
    <w:p>
      <w:pPr>
        <w:ind w:left="1780" w:right="739" w:hanging="247"/>
        <w:spacing w:after="0" w:line="267" w:lineRule="auto"/>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engaged in a business or transaction for which Crown’s or such subsidiary guarantor’s remaining assets constituted unreasonably small capital; or</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incur, or believed that it would incur, debts beyond its ability to pay such debts as they mature.</w:t>
      </w:r>
    </w:p>
    <w:p>
      <w:pPr>
        <w:spacing w:after="0" w:line="168" w:lineRule="exact"/>
        <w:rPr>
          <w:sz w:val="20"/>
          <w:szCs w:val="20"/>
          <w:color w:val="auto"/>
        </w:rPr>
      </w:pPr>
    </w:p>
    <w:p>
      <w:pPr>
        <w:ind w:left="1460" w:right="379"/>
        <w:spacing w:after="0" w:line="267" w:lineRule="auto"/>
        <w:rPr>
          <w:sz w:val="20"/>
          <w:szCs w:val="20"/>
          <w:color w:val="auto"/>
        </w:rPr>
      </w:pPr>
      <w:r>
        <w:rPr>
          <w:rFonts w:ascii="Times New Roman" w:cs="Times New Roman" w:eastAsia="Times New Roman" w:hAnsi="Times New Roman"/>
          <w:sz w:val="14"/>
          <w:szCs w:val="14"/>
          <w:color w:val="auto"/>
        </w:rPr>
        <w:t>By its terms, the new note guarantee of each guarantor will limit the liability of each such guarantor to the maximum amount it can pay without the new note guarantee being deemed a fraudulent transfer.</w:t>
      </w:r>
    </w:p>
    <w:p>
      <w:pPr>
        <w:spacing w:after="0" w:line="213" w:lineRule="exact"/>
        <w:rPr>
          <w:sz w:val="20"/>
          <w:szCs w:val="20"/>
          <w:color w:val="auto"/>
        </w:rPr>
      </w:pPr>
    </w:p>
    <w:p>
      <w:pPr>
        <w:ind w:left="1460" w:right="35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Crown’s senior secured credit facilities, the notes and other indebtedness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58" w:lineRule="exact"/>
        <w:rPr>
          <w:sz w:val="20"/>
          <w:szCs w:val="20"/>
          <w:color w:val="auto"/>
        </w:rPr>
      </w:pPr>
    </w:p>
    <w:p>
      <w:pPr>
        <w:ind w:left="1460" w:right="399"/>
        <w:spacing w:after="0" w:line="248" w:lineRule="auto"/>
        <w:rPr>
          <w:sz w:val="20"/>
          <w:szCs w:val="20"/>
          <w:color w:val="auto"/>
        </w:rPr>
      </w:pPr>
      <w:r>
        <w:rPr>
          <w:rFonts w:ascii="Times New Roman" w:cs="Times New Roman" w:eastAsia="Times New Roman" w:hAnsi="Times New Roman"/>
          <w:sz w:val="14"/>
          <w:szCs w:val="14"/>
          <w:color w:val="auto"/>
        </w:rPr>
        <w:t>Crown, the Issuer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the Issuer experiences a change of control repurchase event, the Issuer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51" w:lineRule="exact"/>
        <w:rPr>
          <w:sz w:val="20"/>
          <w:szCs w:val="20"/>
          <w:color w:val="auto"/>
        </w:rPr>
      </w:pPr>
    </w:p>
    <w:p>
      <w:pPr>
        <w:ind w:left="1460" w:right="339"/>
        <w:spacing w:after="0" w:line="248" w:lineRule="auto"/>
        <w:rPr>
          <w:sz w:val="20"/>
          <w:szCs w:val="20"/>
          <w:color w:val="auto"/>
        </w:rPr>
      </w:pPr>
      <w:r>
        <w:rPr>
          <w:rFonts w:ascii="Times New Roman" w:cs="Times New Roman" w:eastAsia="Times New Roman" w:hAnsi="Times New Roman"/>
          <w:sz w:val="14"/>
          <w:szCs w:val="14"/>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 could seek consent to offer to purchase the new notes or attempt to refinance the borrowings that contain such a prohibition. If it does not obtain the consent or refinance the borrowings, the Issuer would remain prohibited from offering to purchase the new notes. In such case, the failure by the Issuer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 and the holders of the new notes.</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Any decline in the ratings of Crown’s corporate credit could adversely affect the trading price of the new notes.</w:t>
      </w:r>
    </w:p>
    <w:p>
      <w:pPr>
        <w:spacing w:after="0" w:line="90" w:lineRule="exact"/>
        <w:rPr>
          <w:sz w:val="20"/>
          <w:szCs w:val="20"/>
          <w:color w:val="auto"/>
        </w:rPr>
      </w:pPr>
    </w:p>
    <w:p>
      <w:pPr>
        <w:jc w:val="both"/>
        <w:ind w:left="1460" w:right="599"/>
        <w:spacing w:after="0" w:line="256" w:lineRule="auto"/>
        <w:rPr>
          <w:sz w:val="20"/>
          <w:szCs w:val="20"/>
          <w:color w:val="auto"/>
        </w:rPr>
      </w:pPr>
      <w:r>
        <w:rPr>
          <w:rFonts w:ascii="Times New Roman" w:cs="Times New Roman" w:eastAsia="Times New Roman" w:hAnsi="Times New Roman"/>
          <w:sz w:val="14"/>
          <w:szCs w:val="14"/>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Risks Related to Crown’s Business</w:t>
      </w:r>
    </w:p>
    <w:p>
      <w:pPr>
        <w:spacing w:after="0" w:line="90" w:lineRule="exact"/>
        <w:rPr>
          <w:sz w:val="20"/>
          <w:szCs w:val="20"/>
          <w:color w:val="auto"/>
        </w:rPr>
      </w:pPr>
    </w:p>
    <w:p>
      <w:pPr>
        <w:ind w:left="1460" w:right="539"/>
        <w:spacing w:after="0" w:line="267" w:lineRule="auto"/>
        <w:rPr>
          <w:sz w:val="20"/>
          <w:szCs w:val="20"/>
          <w:color w:val="auto"/>
        </w:rPr>
      </w:pPr>
      <w:r>
        <w:rPr>
          <w:rFonts w:ascii="Times New Roman" w:cs="Times New Roman" w:eastAsia="Times New Roman" w:hAnsi="Times New Roman"/>
          <w:sz w:val="14"/>
          <w:szCs w:val="14"/>
          <w:color w:val="auto"/>
        </w:rPr>
        <w:t>For a discussion of certain risks applicable to our business and operations, see “Risk Factors” in our Annual Report on Form 10-K for the year ended December 31, 2024, as updated by our subsequently filed Quarterly Reports on Form 10-Q and Current Reports on Form 8-K.</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2" w:lineRule="exact"/>
        <w:rPr>
          <w:sz w:val="20"/>
          <w:szCs w:val="20"/>
          <w:color w:val="auto"/>
        </w:rPr>
      </w:pPr>
    </w:p>
    <w:p>
      <w:pPr>
        <w:ind w:left="1460" w:right="339"/>
        <w:spacing w:after="0" w:line="278" w:lineRule="auto"/>
        <w:rPr>
          <w:sz w:val="20"/>
          <w:szCs w:val="20"/>
          <w:color w:val="auto"/>
        </w:rPr>
      </w:pPr>
      <w:r>
        <w:rPr>
          <w:rFonts w:ascii="Times New Roman" w:cs="Times New Roman" w:eastAsia="Times New Roman" w:hAnsi="Times New Roman"/>
          <w:sz w:val="13"/>
          <w:szCs w:val="13"/>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58" w:lineRule="exact"/>
        <w:rPr>
          <w:sz w:val="20"/>
          <w:szCs w:val="20"/>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plans or objectives for future operations, products or financial performance;</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indebtedness and other contractual obligations;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 economic downturn or growth in particular regions;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uses of cash;</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reduction efforts and expected savings;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policies with respect to executive compensation;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progress on sustainability and environmental matters; and</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outcome of contingencies, including with respect to asbestos-related litigation and pension and postretirement liabilities.</w:t>
      </w:r>
    </w:p>
    <w:p>
      <w:pPr>
        <w:spacing w:after="0" w:line="168" w:lineRule="exact"/>
        <w:rPr>
          <w:sz w:val="20"/>
          <w:szCs w:val="20"/>
          <w:color w:val="auto"/>
        </w:rPr>
      </w:pPr>
    </w:p>
    <w:p>
      <w:pPr>
        <w:jc w:val="both"/>
        <w:ind w:left="1460" w:right="339"/>
        <w:spacing w:after="0" w:line="256" w:lineRule="auto"/>
        <w:rPr>
          <w:sz w:val="20"/>
          <w:szCs w:val="20"/>
          <w:color w:val="auto"/>
        </w:rPr>
      </w:pPr>
      <w:r>
        <w:rPr>
          <w:rFonts w:ascii="Times New Roman" w:cs="Times New Roman" w:eastAsia="Times New Roman" w:hAnsi="Times New Roman"/>
          <w:sz w:val="14"/>
          <w:szCs w:val="14"/>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Important factors that could cause the actual results of operations or financial condition of Crown to differ include, but are not necessarily limited to:</w:t>
      </w:r>
    </w:p>
    <w:p>
      <w:pPr>
        <w:spacing w:after="0" w:line="96" w:lineRule="exact"/>
        <w:rPr>
          <w:sz w:val="20"/>
          <w:szCs w:val="20"/>
          <w:color w:val="auto"/>
        </w:rPr>
      </w:pPr>
    </w:p>
    <w:p>
      <w:pPr>
        <w:ind w:left="1780" w:hanging="247"/>
        <w:spacing w:after="0"/>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Crown to expand successfully in international and emerging markets;</w:t>
      </w:r>
    </w:p>
    <w:p>
      <w:pPr>
        <w:spacing w:after="0" w:line="95" w:lineRule="exact"/>
        <w:rPr>
          <w:rFonts w:ascii="Times New Roman" w:cs="Times New Roman" w:eastAsia="Times New Roman" w:hAnsi="Times New Roman"/>
          <w:sz w:val="14"/>
          <w:szCs w:val="14"/>
          <w:color w:val="auto"/>
        </w:rPr>
      </w:pPr>
    </w:p>
    <w:p>
      <w:pPr>
        <w:ind w:left="1780" w:right="459" w:hanging="247"/>
        <w:spacing w:after="0" w:line="267"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Crown to repay, refinance or restructure its short and long-term indebtedness on adequate terms and to comply with the terms of its agreements relating to debt;</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generate significant cash to meet its obligations and invest in its business and to maintain appropriate debt levels;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Crown’s use of available cash under its debt agreements;</w:t>
      </w:r>
    </w:p>
    <w:p>
      <w:pPr>
        <w:spacing w:after="0" w:line="95" w:lineRule="exact"/>
        <w:rPr>
          <w:rFonts w:ascii="Times New Roman" w:cs="Times New Roman" w:eastAsia="Times New Roman" w:hAnsi="Times New Roman"/>
          <w:sz w:val="14"/>
          <w:szCs w:val="14"/>
          <w:color w:val="auto"/>
        </w:rPr>
      </w:pPr>
    </w:p>
    <w:p>
      <w:pPr>
        <w:ind w:left="1780" w:right="419" w:hanging="247"/>
        <w:spacing w:after="0" w:line="256"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differences in U.S. or international economic or political conditions,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w:t>
      </w:r>
    </w:p>
    <w:p>
      <w:pPr>
        <w:spacing w:after="0" w:line="70"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foreign trade laws and practices, including tariffs, retaliatory trade measures and further trade restrictions;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collectability of receivables;</w:t>
      </w:r>
    </w:p>
    <w:p>
      <w:pPr>
        <w:spacing w:after="0" w:line="95" w:lineRule="exact"/>
        <w:rPr>
          <w:rFonts w:ascii="Times New Roman" w:cs="Times New Roman" w:eastAsia="Times New Roman" w:hAnsi="Times New Roman"/>
          <w:sz w:val="14"/>
          <w:szCs w:val="14"/>
          <w:color w:val="auto"/>
        </w:rPr>
      </w:pPr>
    </w:p>
    <w:p>
      <w:pPr>
        <w:jc w:val="both"/>
        <w:ind w:left="1780" w:right="359" w:hanging="247"/>
        <w:spacing w:after="0" w:line="256"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 including the ongoing conflicts between Russia and Ukraine and in the Middle East, or acts of terrorism that may disrupt Crown’s production or the supply or pricing of raw materials impact the financial condition of customers or adversely affect Crown’s ability to refinance or restructure its remaining indebtedness;</w:t>
      </w:r>
    </w:p>
    <w:p>
      <w:pPr>
        <w:spacing w:after="0" w:line="70" w:lineRule="exact"/>
        <w:rPr>
          <w:rFonts w:ascii="Times New Roman" w:cs="Times New Roman" w:eastAsia="Times New Roman" w:hAnsi="Times New Roman"/>
          <w:sz w:val="14"/>
          <w:szCs w:val="14"/>
          <w:color w:val="auto"/>
        </w:rPr>
      </w:pPr>
    </w:p>
    <w:p>
      <w:pPr>
        <w:ind w:left="1780" w:right="639" w:hanging="247"/>
        <w:spacing w:after="0" w:line="256"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419" w:hanging="247"/>
        <w:spacing w:after="0" w:line="267"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obtain and maintain adequate pricing for its products, including the impact on Crown’s revenue, margins and market share and the ongoing impact of price increases;</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and natural resource costs;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other effects of legal and administrative cases and proceedings, settlements and investigations;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asbestos-related litigation;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realize deferred tax benefits;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Crown’s critical or other accounting policies or the assumptions underlying those policies;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relations and workforce and social costs, including Crown’s pension and postretirement obligations and other employee or retiree costs;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performance of Crown’s pension plans;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difficulties related to the acquisition of a business and integration of acquired businesses;</w:t>
      </w:r>
    </w:p>
    <w:p>
      <w:pPr>
        <w:spacing w:after="0" w:line="95" w:lineRule="exact"/>
        <w:rPr>
          <w:rFonts w:ascii="Times New Roman" w:cs="Times New Roman" w:eastAsia="Times New Roman" w:hAnsi="Times New Roman"/>
          <w:sz w:val="14"/>
          <w:szCs w:val="14"/>
          <w:color w:val="auto"/>
        </w:rPr>
      </w:pPr>
    </w:p>
    <w:p>
      <w:pPr>
        <w:ind w:left="1780" w:right="559" w:hanging="247"/>
        <w:spacing w:after="0" w:line="267"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actual or any potential dispositions, acquisitions or other strategic realignments, which may impact Crown’s operations, financial profile, investments or levels of indebtedness;</w:t>
      </w:r>
    </w:p>
    <w:p>
      <w:pPr>
        <w:spacing w:after="0" w:line="63" w:lineRule="exact"/>
        <w:rPr>
          <w:rFonts w:ascii="Times New Roman" w:cs="Times New Roman" w:eastAsia="Times New Roman" w:hAnsi="Times New Roman"/>
          <w:sz w:val="14"/>
          <w:szCs w:val="14"/>
          <w:color w:val="auto"/>
        </w:rPr>
      </w:pPr>
    </w:p>
    <w:p>
      <w:pPr>
        <w:ind w:left="1780" w:right="339" w:hanging="247"/>
        <w:spacing w:after="0" w:line="267"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realize efficient capacity utilization and inventory levels and to innovate new designs and technologies for its products in a cost-effective manner;</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pressures, including new product developments, industry overcapacity, or changes in competitors’ pricing for products;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achieve high capacity utilization rates for its equipment;</w:t>
      </w:r>
    </w:p>
    <w:p>
      <w:pPr>
        <w:spacing w:after="0" w:line="95" w:lineRule="exact"/>
        <w:rPr>
          <w:rFonts w:ascii="Times New Roman" w:cs="Times New Roman" w:eastAsia="Times New Roman" w:hAnsi="Times New Roman"/>
          <w:sz w:val="14"/>
          <w:szCs w:val="14"/>
          <w:color w:val="auto"/>
        </w:rPr>
      </w:pPr>
    </w:p>
    <w:p>
      <w:pPr>
        <w:ind w:left="1780" w:right="679" w:hanging="247"/>
        <w:spacing w:after="0" w:line="267"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maintain, develop and capitalize on competitive technologies for the design and manufacture of products and to withstand competitive and legal challenges to the proprietary nature of such technology;</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protect its information technology systems from attacks or catastrophic failure;</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Crown’s cyber-security (including with respect to human vulnerabilities associated with cyber-security risks);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generate sufficient production capacity;</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improve and expand its existing product and product lines;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overcapacity on the end-markets Crown serves;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customers, including the loss of any significant customers;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for different packaging products;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of Crown’s vendors and customers;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including their effect on demand for beverages and on crop yields for fruits and vegetables stored in food containers;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natural disasters, including in emerging markets;</w:t>
      </w:r>
    </w:p>
    <w:p>
      <w:pPr>
        <w:spacing w:after="0" w:line="95" w:lineRule="exact"/>
        <w:rPr>
          <w:rFonts w:ascii="Times New Roman" w:cs="Times New Roman" w:eastAsia="Times New Roman" w:hAnsi="Times New Roman"/>
          <w:sz w:val="14"/>
          <w:szCs w:val="14"/>
          <w:color w:val="auto"/>
        </w:rPr>
      </w:pPr>
    </w:p>
    <w:p>
      <w:pPr>
        <w:ind w:left="1780" w:right="419" w:hanging="247"/>
        <w:spacing w:after="0" w:line="267"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enforcement practices, including with respect to environmental, health and safety matters and restrictions as to foreign investment or operation;</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increased governmental regulation on Crown and its products, including the regulation or restriction of the use of bisphenol-A;</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Crown’s initiatives to generate additional cash, including the reduction of working capital levels and capital spending;</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hanging="247"/>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Crown to realize cost savings from its restructuring programs;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Crown’s ability to maintain adequate sources of capital and liquidity;</w:t>
      </w:r>
    </w:p>
    <w:p>
      <w:pPr>
        <w:spacing w:after="0" w:line="95" w:lineRule="exact"/>
        <w:rPr>
          <w:rFonts w:ascii="Times New Roman" w:cs="Times New Roman" w:eastAsia="Times New Roman" w:hAnsi="Times New Roman"/>
          <w:sz w:val="14"/>
          <w:szCs w:val="14"/>
          <w:color w:val="auto"/>
        </w:rPr>
      </w:pPr>
    </w:p>
    <w:p>
      <w:pPr>
        <w:ind w:left="1780" w:right="339" w:hanging="247"/>
        <w:spacing w:after="0" w:line="267"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payments to certain of Crown’s executive officers in connection with any termination of such executive officers or a change in control of Crown;</w:t>
      </w:r>
    </w:p>
    <w:p>
      <w:pPr>
        <w:spacing w:after="0" w:line="63" w:lineRule="exact"/>
        <w:rPr>
          <w:rFonts w:ascii="Times New Roman" w:cs="Times New Roman" w:eastAsia="Times New Roman" w:hAnsi="Times New Roman"/>
          <w:sz w:val="14"/>
          <w:szCs w:val="14"/>
          <w:color w:val="auto"/>
        </w:rPr>
      </w:pPr>
    </w:p>
    <w:p>
      <w:pPr>
        <w:ind w:left="1780" w:right="379" w:hanging="247"/>
        <w:spacing w:after="0" w:line="267"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existing and future legislation regarding refundable mandatory deposit laws in Europe for non-refillable beverage containers and the implementation of an effective return system; and</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Crown’s strategic areas of focus, which may impact Crown’s operations, financial profile or levels of indebtedness.</w:t>
      </w:r>
    </w:p>
    <w:p>
      <w:pPr>
        <w:spacing w:after="0" w:line="168" w:lineRule="exact"/>
        <w:rPr>
          <w:sz w:val="20"/>
          <w:szCs w:val="20"/>
          <w:color w:val="auto"/>
        </w:rPr>
      </w:pPr>
    </w:p>
    <w:p>
      <w:pPr>
        <w:ind w:left="1460" w:right="459"/>
        <w:spacing w:after="0" w:line="256" w:lineRule="auto"/>
        <w:rPr>
          <w:sz w:val="20"/>
          <w:szCs w:val="20"/>
          <w:color w:val="auto"/>
        </w:rPr>
      </w:pPr>
      <w:r>
        <w:rPr>
          <w:rFonts w:ascii="Times New Roman" w:cs="Times New Roman" w:eastAsia="Times New Roman" w:hAnsi="Times New Roman"/>
          <w:sz w:val="14"/>
          <w:szCs w:val="14"/>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43" w:lineRule="exact"/>
        <w:rPr>
          <w:sz w:val="20"/>
          <w:szCs w:val="20"/>
          <w:color w:val="auto"/>
        </w:rPr>
      </w:pPr>
    </w:p>
    <w:p>
      <w:pPr>
        <w:ind w:left="1460" w:right="439"/>
        <w:spacing w:after="0" w:line="252" w:lineRule="auto"/>
        <w:rPr>
          <w:sz w:val="20"/>
          <w:szCs w:val="20"/>
          <w:color w:val="auto"/>
        </w:rPr>
      </w:pPr>
      <w:r>
        <w:rPr>
          <w:rFonts w:ascii="Times New Roman" w:cs="Times New Roman" w:eastAsia="Times New Roman" w:hAnsi="Times New Roman"/>
          <w:sz w:val="14"/>
          <w:szCs w:val="14"/>
          <w:color w:val="auto"/>
        </w:rPr>
        <w:t>New risk factors emerge from time to time and it is not possible for us to predict all such risk factors. We cannot assess the impact of all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spacing w:after="0" w:line="146" w:lineRule="exact"/>
        <w:rPr>
          <w:sz w:val="20"/>
          <w:szCs w:val="20"/>
          <w:color w:val="auto"/>
        </w:rPr>
      </w:pPr>
    </w:p>
    <w:p>
      <w:pPr>
        <w:ind w:left="1460" w:right="499"/>
        <w:spacing w:after="0" w:line="252" w:lineRule="auto"/>
        <w:rPr>
          <w:sz w:val="20"/>
          <w:szCs w:val="20"/>
          <w:color w:val="auto"/>
        </w:rPr>
      </w:pPr>
      <w:r>
        <w:rPr>
          <w:rFonts w:ascii="Times New Roman" w:cs="Times New Roman" w:eastAsia="Times New Roman" w:hAnsi="Times New Roman"/>
          <w:sz w:val="14"/>
          <w:szCs w:val="14"/>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ind w:left="1460" w:right="319"/>
        <w:spacing w:after="0" w:line="256" w:lineRule="auto"/>
        <w:rPr>
          <w:sz w:val="20"/>
          <w:szCs w:val="20"/>
          <w:color w:val="auto"/>
        </w:rPr>
      </w:pPr>
      <w:r>
        <w:rPr>
          <w:rFonts w:ascii="Times New Roman" w:cs="Times New Roman" w:eastAsia="Times New Roman" w:hAnsi="Times New Roman"/>
          <w:sz w:val="14"/>
          <w:szCs w:val="14"/>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43" w:lineRule="exact"/>
        <w:rPr>
          <w:sz w:val="20"/>
          <w:szCs w:val="20"/>
          <w:color w:val="auto"/>
        </w:rPr>
      </w:pPr>
    </w:p>
    <w:p>
      <w:pPr>
        <w:ind w:left="1460" w:right="439"/>
        <w:spacing w:after="0" w:line="267" w:lineRule="auto"/>
        <w:rPr>
          <w:sz w:val="20"/>
          <w:szCs w:val="20"/>
          <w:color w:val="auto"/>
        </w:rPr>
      </w:pPr>
      <w:r>
        <w:rPr>
          <w:rFonts w:ascii="Times New Roman" w:cs="Times New Roman" w:eastAsia="Times New Roman" w:hAnsi="Times New Roman"/>
          <w:sz w:val="14"/>
          <w:szCs w:val="14"/>
          <w:color w:val="auto"/>
        </w:rPr>
        <w:t>Net proceeds from the offering of the old notes were approximately $690 million, before deducting the initial purchasers’ discount. These net proceeds were used, together with cash on hand, to repay the 4.750% senior notes due 2026, and to pay related fees and expenses.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Purpose and Effect of the Exchange Offer</w:t>
      </w:r>
    </w:p>
    <w:p>
      <w:pPr>
        <w:spacing w:after="0" w:line="90" w:lineRule="exact"/>
        <w:rPr>
          <w:sz w:val="20"/>
          <w:szCs w:val="20"/>
          <w:color w:val="auto"/>
        </w:rPr>
      </w:pPr>
    </w:p>
    <w:p>
      <w:pPr>
        <w:ind w:left="1460" w:right="339"/>
        <w:spacing w:after="0" w:line="252" w:lineRule="auto"/>
        <w:rPr>
          <w:sz w:val="20"/>
          <w:szCs w:val="20"/>
          <w:color w:val="auto"/>
        </w:rPr>
      </w:pPr>
      <w:r>
        <w:rPr>
          <w:rFonts w:ascii="Times New Roman" w:cs="Times New Roman" w:eastAsia="Times New Roman" w:hAnsi="Times New Roman"/>
          <w:sz w:val="14"/>
          <w:szCs w:val="14"/>
          <w:color w:val="auto"/>
        </w:rPr>
        <w:t>On May 27, 2025,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74" w:lineRule="exact"/>
        <w:rPr>
          <w:sz w:val="20"/>
          <w:szCs w:val="20"/>
          <w:color w:val="auto"/>
        </w:rPr>
      </w:pPr>
    </w:p>
    <w:p>
      <w:pPr>
        <w:ind w:left="1780" w:hanging="247"/>
        <w:spacing w:after="0"/>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the registration statement of which this prospectus is a part;</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registration statement to become effective;</w:t>
      </w:r>
    </w:p>
    <w:p>
      <w:pPr>
        <w:spacing w:after="0" w:line="95" w:lineRule="exact"/>
        <w:rPr>
          <w:rFonts w:ascii="Times New Roman" w:cs="Times New Roman" w:eastAsia="Times New Roman" w:hAnsi="Times New Roman"/>
          <w:sz w:val="14"/>
          <w:szCs w:val="14"/>
          <w:color w:val="auto"/>
        </w:rPr>
      </w:pPr>
    </w:p>
    <w:p>
      <w:pPr>
        <w:ind w:left="1780" w:right="639" w:hanging="247"/>
        <w:spacing w:after="0" w:line="267"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the exchange offer by 360 days from the issue date of the old notes (or if such 360th day is not a Business Day, the next succeeding Business Day); and</w:t>
      </w:r>
    </w:p>
    <w:p>
      <w:pPr>
        <w:spacing w:after="0" w:line="63" w:lineRule="exact"/>
        <w:rPr>
          <w:rFonts w:ascii="Times New Roman" w:cs="Times New Roman" w:eastAsia="Times New Roman" w:hAnsi="Times New Roman"/>
          <w:sz w:val="14"/>
          <w:szCs w:val="14"/>
          <w:color w:val="auto"/>
        </w:rPr>
      </w:pPr>
    </w:p>
    <w:p>
      <w:pPr>
        <w:ind w:left="1780" w:right="579" w:hanging="247"/>
        <w:spacing w:after="0" w:line="267"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 shelf registration statement for the resale of the old notes if we cannot effect an exchange offer within the time period listed above and in certain other circumstances.</w:t>
      </w:r>
    </w:p>
    <w:p>
      <w:pPr>
        <w:spacing w:after="0" w:line="1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registration statement is intended to satisfy our exchange offer obligations under the registration rights agreement.</w:t>
      </w:r>
    </w:p>
    <w:p>
      <w:pPr>
        <w:spacing w:after="0" w:line="168" w:lineRule="exact"/>
        <w:rPr>
          <w:sz w:val="20"/>
          <w:szCs w:val="20"/>
          <w:color w:val="auto"/>
        </w:rPr>
      </w:pPr>
    </w:p>
    <w:p>
      <w:pPr>
        <w:ind w:left="1460" w:right="339"/>
        <w:spacing w:after="0" w:line="267" w:lineRule="auto"/>
        <w:rPr>
          <w:sz w:val="20"/>
          <w:szCs w:val="20"/>
          <w:color w:val="auto"/>
        </w:rPr>
      </w:pPr>
      <w:r>
        <w:rPr>
          <w:rFonts w:ascii="Times New Roman" w:cs="Times New Roman" w:eastAsia="Times New Roman" w:hAnsi="Times New Roman"/>
          <w:sz w:val="14"/>
          <w:szCs w:val="14"/>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63" w:lineRule="exact"/>
        <w:rPr>
          <w:sz w:val="20"/>
          <w:szCs w:val="20"/>
          <w:color w:val="auto"/>
        </w:rPr>
      </w:pPr>
    </w:p>
    <w:p>
      <w:pPr>
        <w:ind w:left="1780" w:hanging="247"/>
        <w:spacing w:after="0"/>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acquiring the new notes in the ordinary course of its business;</w:t>
      </w:r>
    </w:p>
    <w:p>
      <w:pPr>
        <w:spacing w:after="0" w:line="95" w:lineRule="exact"/>
        <w:rPr>
          <w:rFonts w:ascii="Times New Roman" w:cs="Times New Roman" w:eastAsia="Times New Roman" w:hAnsi="Times New Roman"/>
          <w:sz w:val="14"/>
          <w:szCs w:val="14"/>
          <w:color w:val="auto"/>
        </w:rPr>
      </w:pPr>
    </w:p>
    <w:p>
      <w:pPr>
        <w:ind w:left="1780" w:right="439" w:hanging="247"/>
        <w:spacing w:after="0" w:line="267" w:lineRule="auto"/>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no arrangement or understanding with any person to participate in the distribution of the new notes and is not participating in, and does not intend to participate in, the distribution of such new notes;</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an affiliate of us, as that term is interpreted by the SEC; and</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engaged in, and does not intend to engage in, a distribution of the new notes.</w:t>
      </w:r>
    </w:p>
    <w:p>
      <w:pPr>
        <w:spacing w:after="0" w:line="168" w:lineRule="exact"/>
        <w:rPr>
          <w:sz w:val="20"/>
          <w:szCs w:val="20"/>
          <w:color w:val="auto"/>
        </w:rPr>
      </w:pPr>
    </w:p>
    <w:p>
      <w:pPr>
        <w:ind w:left="1460" w:right="399"/>
        <w:spacing w:after="0" w:line="249" w:lineRule="auto"/>
        <w:rPr>
          <w:sz w:val="20"/>
          <w:szCs w:val="20"/>
          <w:color w:val="auto"/>
        </w:rPr>
      </w:pPr>
      <w:r>
        <w:rPr>
          <w:rFonts w:ascii="Times New Roman" w:cs="Times New Roman" w:eastAsia="Times New Roman" w:hAnsi="Times New Roman"/>
          <w:sz w:val="14"/>
          <w:szCs w:val="14"/>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49" w:lineRule="exact"/>
        <w:rPr>
          <w:sz w:val="20"/>
          <w:szCs w:val="20"/>
          <w:color w:val="auto"/>
        </w:rPr>
      </w:pPr>
    </w:p>
    <w:p>
      <w:pPr>
        <w:ind w:left="1460" w:right="359"/>
        <w:spacing w:after="0" w:line="250" w:lineRule="auto"/>
        <w:rPr>
          <w:sz w:val="20"/>
          <w:szCs w:val="20"/>
          <w:color w:val="auto"/>
        </w:rPr>
      </w:pPr>
      <w:r>
        <w:rPr>
          <w:rFonts w:ascii="Times New Roman" w:cs="Times New Roman" w:eastAsia="Times New Roman" w:hAnsi="Times New Roman"/>
          <w:sz w:val="14"/>
          <w:szCs w:val="14"/>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 The previously disclosed financial information for the Issuer and guarantors is materially consistent with the financial information for the Issuer and guarantors under this offering.</w:t>
      </w:r>
    </w:p>
    <w:p>
      <w:pPr>
        <w:spacing w:after="0" w:line="148" w:lineRule="exact"/>
        <w:rPr>
          <w:sz w:val="20"/>
          <w:szCs w:val="20"/>
          <w:color w:val="auto"/>
        </w:rPr>
      </w:pPr>
    </w:p>
    <w:p>
      <w:pPr>
        <w:ind w:left="1460" w:right="519"/>
        <w:spacing w:after="0" w:line="267" w:lineRule="auto"/>
        <w:rPr>
          <w:sz w:val="20"/>
          <w:szCs w:val="20"/>
          <w:color w:val="auto"/>
        </w:rPr>
      </w:pPr>
      <w:r>
        <w:rPr>
          <w:rFonts w:ascii="Times New Roman" w:cs="Times New Roman" w:eastAsia="Times New Roman" w:hAnsi="Times New Roman"/>
          <w:sz w:val="14"/>
          <w:szCs w:val="14"/>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If we and the guarantors fail to meet certain specified deadlines under the registration rights agreement, we will be obligated to pay an increased interest rate on the old notes.</w:t>
      </w:r>
    </w:p>
    <w:p>
      <w:pPr>
        <w:spacing w:after="0" w:line="135" w:lineRule="exact"/>
        <w:rPr>
          <w:sz w:val="20"/>
          <w:szCs w:val="20"/>
          <w:color w:val="auto"/>
        </w:rPr>
      </w:pPr>
    </w:p>
    <w:p>
      <w:pPr>
        <w:ind w:left="1460" w:right="499"/>
        <w:spacing w:after="0" w:line="267" w:lineRule="auto"/>
        <w:rPr>
          <w:sz w:val="20"/>
          <w:szCs w:val="20"/>
          <w:color w:val="auto"/>
        </w:rPr>
      </w:pPr>
      <w:r>
        <w:rPr>
          <w:rFonts w:ascii="Times New Roman" w:cs="Times New Roman" w:eastAsia="Times New Roman" w:hAnsi="Times New Roman"/>
          <w:sz w:val="14"/>
          <w:szCs w:val="14"/>
          <w:color w:val="auto"/>
        </w:rPr>
        <w:t>A copy of the registration rights agreement has been filed with the SEC as Exhibit 4.2 of the Registrant’s Current Report on Form 8-K, dated May 28, 2025, and is incorporated by reference as an exhibit to the registration statement of which this prospectus is a part.</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Terms of the Exchange Offer</w:t>
      </w:r>
    </w:p>
    <w:p>
      <w:pPr>
        <w:spacing w:after="0" w:line="90" w:lineRule="exact"/>
        <w:rPr>
          <w:sz w:val="20"/>
          <w:szCs w:val="20"/>
          <w:color w:val="auto"/>
        </w:rPr>
      </w:pPr>
    </w:p>
    <w:p>
      <w:pPr>
        <w:ind w:left="1460" w:right="339"/>
        <w:spacing w:after="0" w:line="252" w:lineRule="auto"/>
        <w:rPr>
          <w:sz w:val="20"/>
          <w:szCs w:val="20"/>
          <w:color w:val="auto"/>
        </w:rPr>
      </w:pPr>
      <w:r>
        <w:rPr>
          <w:rFonts w:ascii="Times New Roman" w:cs="Times New Roman" w:eastAsia="Times New Roman" w:hAnsi="Times New Roman"/>
          <w:sz w:val="14"/>
          <w:szCs w:val="14"/>
          <w:color w:val="auto"/>
        </w:rPr>
        <w:t>We are offering to exchange an aggregate principal amount of up to $700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46" w:lineRule="exact"/>
        <w:rPr>
          <w:sz w:val="20"/>
          <w:szCs w:val="20"/>
          <w:color w:val="auto"/>
        </w:rPr>
      </w:pPr>
    </w:p>
    <w:p>
      <w:pPr>
        <w:ind w:left="1460" w:right="659"/>
        <w:spacing w:after="0" w:line="267" w:lineRule="auto"/>
        <w:rPr>
          <w:sz w:val="20"/>
          <w:szCs w:val="20"/>
          <w:color w:val="auto"/>
        </w:rPr>
      </w:pPr>
      <w:r>
        <w:rPr>
          <w:rFonts w:ascii="Times New Roman" w:cs="Times New Roman" w:eastAsia="Times New Roman" w:hAnsi="Times New Roman"/>
          <w:sz w:val="14"/>
          <w:szCs w:val="14"/>
          <w:color w:val="auto"/>
        </w:rPr>
        <w:t>Old notes tendered in the exchange offer must be in denominations of the principal amount of $2,000 and any integral multiple of $1,000 in excess thereof.</w:t>
      </w:r>
    </w:p>
    <w:p>
      <w:pPr>
        <w:spacing w:after="0" w:line="135"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(as applicable).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48" w:lineRule="exact"/>
        <w:rPr>
          <w:sz w:val="20"/>
          <w:szCs w:val="20"/>
          <w:color w:val="auto"/>
        </w:rPr>
      </w:pPr>
    </w:p>
    <w:p>
      <w:pPr>
        <w:ind w:left="1460" w:right="399"/>
        <w:spacing w:after="0" w:line="256" w:lineRule="auto"/>
        <w:rPr>
          <w:sz w:val="20"/>
          <w:szCs w:val="20"/>
          <w:color w:val="auto"/>
        </w:rPr>
      </w:pPr>
      <w:r>
        <w:rPr>
          <w:rFonts w:ascii="Times New Roman" w:cs="Times New Roman" w:eastAsia="Times New Roman" w:hAnsi="Times New Roman"/>
          <w:sz w:val="14"/>
          <w:szCs w:val="14"/>
          <w:color w:val="auto"/>
        </w:rPr>
        <w:t>Neither Crown, the Issuer, any of the guarantors, nor any of their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expiration date is 5:00 p.m., New York City time, on , 2025, or such later date and time to which the exchange offer is extended.</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We have the right, in accordance with applicable law, at any time:</w:t>
      </w:r>
    </w:p>
    <w:p>
      <w:pPr>
        <w:spacing w:after="0" w:line="96" w:lineRule="exact"/>
        <w:rPr>
          <w:sz w:val="20"/>
          <w:szCs w:val="20"/>
          <w:color w:val="auto"/>
        </w:rPr>
      </w:pPr>
    </w:p>
    <w:p>
      <w:pPr>
        <w:ind w:left="1780" w:hanging="247"/>
        <w:spacing w:after="0"/>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delay the acceptance of the old notes;</w:t>
      </w:r>
    </w:p>
    <w:p>
      <w:pPr>
        <w:spacing w:after="0" w:line="95" w:lineRule="exact"/>
        <w:rPr>
          <w:rFonts w:ascii="Times New Roman" w:cs="Times New Roman" w:eastAsia="Times New Roman" w:hAnsi="Times New Roman"/>
          <w:sz w:val="14"/>
          <w:szCs w:val="14"/>
          <w:color w:val="auto"/>
        </w:rPr>
      </w:pPr>
    </w:p>
    <w:p>
      <w:pPr>
        <w:ind w:left="1780" w:right="539" w:hanging="247"/>
        <w:spacing w:after="0" w:line="267" w:lineRule="auto"/>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terminate the exchange offer and not accept any old notes for exchange if we determine that any of the conditions to the exchange offer have not occurred or have not been satisfied;</w:t>
      </w:r>
    </w:p>
    <w:p>
      <w:pPr>
        <w:spacing w:after="0" w:line="63" w:lineRule="exact"/>
        <w:rPr>
          <w:rFonts w:ascii="Times New Roman" w:cs="Times New Roman" w:eastAsia="Times New Roman" w:hAnsi="Times New Roman"/>
          <w:sz w:val="14"/>
          <w:szCs w:val="14"/>
          <w:color w:val="auto"/>
        </w:rPr>
      </w:pPr>
    </w:p>
    <w:p>
      <w:pPr>
        <w:ind w:left="1780" w:right="919" w:hanging="247"/>
        <w:spacing w:after="0" w:line="267" w:lineRule="auto"/>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extend the expiration date of the exchange offer and retain all old notes tendered in the exchange offer other than those notes properly withdrawn; and</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waive any condition or amend the terms of the exchange offer in any manner.</w:t>
      </w:r>
    </w:p>
    <w:p>
      <w:pPr>
        <w:spacing w:after="0" w:line="168" w:lineRule="exact"/>
        <w:rPr>
          <w:sz w:val="20"/>
          <w:szCs w:val="20"/>
          <w:color w:val="auto"/>
        </w:rPr>
      </w:pPr>
    </w:p>
    <w:p>
      <w:pPr>
        <w:ind w:left="1460" w:right="319"/>
        <w:spacing w:after="0" w:line="285" w:lineRule="auto"/>
        <w:rPr>
          <w:sz w:val="20"/>
          <w:szCs w:val="20"/>
          <w:color w:val="auto"/>
        </w:rPr>
      </w:pPr>
      <w:r>
        <w:rPr>
          <w:rFonts w:ascii="Times New Roman" w:cs="Times New Roman" w:eastAsia="Times New Roman" w:hAnsi="Times New Roman"/>
          <w:sz w:val="13"/>
          <w:szCs w:val="13"/>
          <w:color w:val="auto"/>
        </w:rPr>
        <w:t>If we materially amend the exchange offer, we will as promptly as practicable distribute a prospectus supplement to the holders of the old notes disclosing the change and extend the exchange offer for a period of five (5) to ten (10) business days, depending upon the significance of the amendment and the manner of disclosure to the registered holders, if the exchange offer would otherwise expire during the five (5) to ten (10) business day period.</w:t>
      </w:r>
    </w:p>
    <w:p>
      <w:pPr>
        <w:spacing w:after="0" w:line="125" w:lineRule="exact"/>
        <w:rPr>
          <w:sz w:val="20"/>
          <w:szCs w:val="20"/>
          <w:color w:val="auto"/>
        </w:rPr>
      </w:pPr>
    </w:p>
    <w:p>
      <w:pPr>
        <w:ind w:left="1460" w:right="499"/>
        <w:spacing w:after="0" w:line="267" w:lineRule="auto"/>
        <w:rPr>
          <w:sz w:val="20"/>
          <w:szCs w:val="20"/>
          <w:color w:val="auto"/>
        </w:rPr>
      </w:pPr>
      <w:r>
        <w:rPr>
          <w:rFonts w:ascii="Times New Roman" w:cs="Times New Roman" w:eastAsia="Times New Roman" w:hAnsi="Times New Roman"/>
          <w:sz w:val="14"/>
          <w:szCs w:val="14"/>
          <w:color w:val="auto"/>
        </w:rPr>
        <w:t>If we exercise any of the rights listed above, we will as promptly as practicable give oral or written notice of the action to the exchange agent and will make a public announcement of such action. In the case of an extension, an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19"/>
        <w:spacing w:after="0" w:line="252" w:lineRule="auto"/>
        <w:rPr>
          <w:sz w:val="20"/>
          <w:szCs w:val="20"/>
          <w:color w:val="auto"/>
        </w:rPr>
      </w:pPr>
      <w:r>
        <w:rPr>
          <w:rFonts w:ascii="Times New Roman" w:cs="Times New Roman" w:eastAsia="Times New Roman" w:hAnsi="Times New Roman"/>
          <w:sz w:val="14"/>
          <w:szCs w:val="14"/>
          <w:color w:val="auto"/>
        </w:rPr>
        <w:t>announcement will be made no later than 9:00 a.m., New York City time on the next business day after the previously scheduled expiration date. Without limiting the manner in which we may choose to make public 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46" w:lineRule="exact"/>
        <w:rPr>
          <w:sz w:val="20"/>
          <w:szCs w:val="20"/>
          <w:color w:val="auto"/>
        </w:rPr>
      </w:pPr>
    </w:p>
    <w:p>
      <w:pPr>
        <w:ind w:left="1460" w:right="379"/>
        <w:spacing w:after="0" w:line="256" w:lineRule="auto"/>
        <w:rPr>
          <w:sz w:val="20"/>
          <w:szCs w:val="20"/>
          <w:color w:val="auto"/>
        </w:rPr>
      </w:pPr>
      <w:r>
        <w:rPr>
          <w:rFonts w:ascii="Times New Roman" w:cs="Times New Roman" w:eastAsia="Times New Roman" w:hAnsi="Times New Roman"/>
          <w:sz w:val="14"/>
          <w:szCs w:val="14"/>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43" w:lineRule="exact"/>
        <w:rPr>
          <w:sz w:val="20"/>
          <w:szCs w:val="20"/>
          <w:color w:val="auto"/>
        </w:rPr>
      </w:pPr>
    </w:p>
    <w:p>
      <w:pPr>
        <w:ind w:left="1460" w:right="799"/>
        <w:spacing w:after="0" w:line="267" w:lineRule="auto"/>
        <w:rPr>
          <w:sz w:val="20"/>
          <w:szCs w:val="20"/>
          <w:color w:val="auto"/>
        </w:rPr>
      </w:pPr>
      <w:r>
        <w:rPr>
          <w:rFonts w:ascii="Times New Roman" w:cs="Times New Roman" w:eastAsia="Times New Roman" w:hAnsi="Times New Roman"/>
          <w:sz w:val="14"/>
          <w:szCs w:val="14"/>
          <w:color w:val="auto"/>
        </w:rPr>
        <w:t>We will accept all old notes validly tendered and not withdrawn. Promptly after the expiration date, we will issue new notes registered under the Securities Act to the exchange agent.</w:t>
      </w:r>
    </w:p>
    <w:p>
      <w:pPr>
        <w:spacing w:after="0" w:line="135" w:lineRule="exact"/>
        <w:rPr>
          <w:sz w:val="20"/>
          <w:szCs w:val="20"/>
          <w:color w:val="auto"/>
        </w:rPr>
      </w:pPr>
    </w:p>
    <w:p>
      <w:pPr>
        <w:ind w:left="1460" w:right="439"/>
        <w:spacing w:after="0" w:line="267" w:lineRule="auto"/>
        <w:rPr>
          <w:sz w:val="20"/>
          <w:szCs w:val="20"/>
          <w:color w:val="auto"/>
        </w:rPr>
      </w:pPr>
      <w:r>
        <w:rPr>
          <w:rFonts w:ascii="Times New Roman" w:cs="Times New Roman" w:eastAsia="Times New Roman" w:hAnsi="Times New Roman"/>
          <w:sz w:val="14"/>
          <w:szCs w:val="14"/>
          <w:color w:val="auto"/>
        </w:rPr>
        <w:t>The exchange agent might not deliver the new notes to all tendering holders at the same time. The timing of delivery depends upon when the exchange agent receives and processes the required documents.</w:t>
      </w:r>
    </w:p>
    <w:p>
      <w:pPr>
        <w:spacing w:after="0" w:line="135" w:lineRule="exact"/>
        <w:rPr>
          <w:sz w:val="20"/>
          <w:szCs w:val="20"/>
          <w:color w:val="auto"/>
        </w:rPr>
      </w:pPr>
    </w:p>
    <w:p>
      <w:pPr>
        <w:jc w:val="both"/>
        <w:ind w:left="1460" w:right="479"/>
        <w:spacing w:after="0" w:line="256" w:lineRule="auto"/>
        <w:rPr>
          <w:sz w:val="20"/>
          <w:szCs w:val="20"/>
          <w:color w:val="auto"/>
        </w:rPr>
      </w:pPr>
      <w:r>
        <w:rPr>
          <w:rFonts w:ascii="Times New Roman" w:cs="Times New Roman" w:eastAsia="Times New Roman" w:hAnsi="Times New Roman"/>
          <w:sz w:val="14"/>
          <w:szCs w:val="14"/>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In tendering old notes, you must warrant in the letter of transmittal or in an agent’s message (described below) that:</w:t>
      </w:r>
    </w:p>
    <w:p>
      <w:pPr>
        <w:spacing w:after="0" w:line="96" w:lineRule="exact"/>
        <w:rPr>
          <w:sz w:val="20"/>
          <w:szCs w:val="20"/>
          <w:color w:val="auto"/>
        </w:rPr>
      </w:pPr>
    </w:p>
    <w:p>
      <w:pPr>
        <w:ind w:left="1780" w:hanging="247"/>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have full power and authority to tender, exchange, sell, assign and transfer old notes;</w:t>
      </w:r>
    </w:p>
    <w:p>
      <w:pPr>
        <w:spacing w:after="0" w:line="95" w:lineRule="exact"/>
        <w:rPr>
          <w:rFonts w:ascii="Times New Roman" w:cs="Times New Roman" w:eastAsia="Times New Roman" w:hAnsi="Times New Roman"/>
          <w:sz w:val="14"/>
          <w:szCs w:val="14"/>
          <w:color w:val="auto"/>
        </w:rPr>
      </w:pPr>
    </w:p>
    <w:p>
      <w:pPr>
        <w:ind w:left="1780" w:right="719" w:hanging="247"/>
        <w:spacing w:after="0" w:line="267" w:lineRule="auto"/>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acquire good, marketable and unencumbered title to the tendered old notes, free and clear of all liens, restrictions, charges and other encumbrances; and</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old notes tendered for exchange are not subject to any adverse claims or proxies.</w:t>
      </w:r>
    </w:p>
    <w:p>
      <w:pPr>
        <w:spacing w:after="0" w:line="168" w:lineRule="exact"/>
        <w:rPr>
          <w:sz w:val="20"/>
          <w:szCs w:val="20"/>
          <w:color w:val="auto"/>
        </w:rPr>
      </w:pPr>
    </w:p>
    <w:p>
      <w:pPr>
        <w:ind w:left="1460" w:right="579"/>
        <w:spacing w:after="0" w:line="267" w:lineRule="auto"/>
        <w:rPr>
          <w:sz w:val="20"/>
          <w:szCs w:val="20"/>
          <w:color w:val="auto"/>
        </w:rPr>
      </w:pPr>
      <w:r>
        <w:rPr>
          <w:rFonts w:ascii="Times New Roman" w:cs="Times New Roman" w:eastAsia="Times New Roman" w:hAnsi="Times New Roman"/>
          <w:sz w:val="14"/>
          <w:szCs w:val="14"/>
          <w:color w:val="auto"/>
        </w:rPr>
        <w:t>You also must warrant and agree that you will, upon request, execute and deliver any additional documents requested by us or the exchange agent to complete the exchange, sale, assignment and transfer of the old notes.</w:t>
      </w:r>
    </w:p>
    <w:p>
      <w:pPr>
        <w:spacing w:after="0" w:line="135" w:lineRule="exact"/>
        <w:rPr>
          <w:sz w:val="20"/>
          <w:szCs w:val="20"/>
          <w:color w:val="auto"/>
        </w:rPr>
      </w:pPr>
    </w:p>
    <w:p>
      <w:pPr>
        <w:ind w:left="1460" w:right="319"/>
        <w:spacing w:after="0" w:line="256" w:lineRule="auto"/>
        <w:rPr>
          <w:sz w:val="20"/>
          <w:szCs w:val="20"/>
          <w:color w:val="auto"/>
        </w:rPr>
      </w:pPr>
      <w:r>
        <w:rPr>
          <w:rFonts w:ascii="Times New Roman" w:cs="Times New Roman" w:eastAsia="Times New Roman" w:hAnsi="Times New Roman"/>
          <w:sz w:val="14"/>
          <w:szCs w:val="14"/>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Procedures for Tendering Old Notes</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Valid Tender</w:t>
      </w:r>
    </w:p>
    <w:p>
      <w:pPr>
        <w:spacing w:after="0" w:line="90" w:lineRule="exact"/>
        <w:rPr>
          <w:sz w:val="20"/>
          <w:szCs w:val="20"/>
          <w:color w:val="auto"/>
        </w:rPr>
      </w:pPr>
    </w:p>
    <w:p>
      <w:pPr>
        <w:ind w:left="1460" w:right="479"/>
        <w:spacing w:after="0" w:line="256" w:lineRule="auto"/>
        <w:rPr>
          <w:sz w:val="20"/>
          <w:szCs w:val="20"/>
          <w:color w:val="auto"/>
        </w:rPr>
      </w:pPr>
      <w:r>
        <w:rPr>
          <w:rFonts w:ascii="Times New Roman" w:cs="Times New Roman" w:eastAsia="Times New Roman" w:hAnsi="Times New Roman"/>
          <w:sz w:val="14"/>
          <w:szCs w:val="14"/>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43" w:lineRule="exact"/>
        <w:rPr>
          <w:sz w:val="20"/>
          <w:szCs w:val="20"/>
          <w:color w:val="auto"/>
        </w:rPr>
      </w:pPr>
    </w:p>
    <w:p>
      <w:pPr>
        <w:ind w:left="1460" w:right="859"/>
        <w:spacing w:after="0" w:line="267" w:lineRule="auto"/>
        <w:rPr>
          <w:sz w:val="20"/>
          <w:szCs w:val="20"/>
          <w:color w:val="auto"/>
        </w:rPr>
      </w:pPr>
      <w:r>
        <w:rPr>
          <w:rFonts w:ascii="Times New Roman" w:cs="Times New Roman" w:eastAsia="Times New Roman" w:hAnsi="Times New Roman"/>
          <w:sz w:val="14"/>
          <w:szCs w:val="14"/>
          <w:color w:val="auto"/>
        </w:rPr>
        <w:t>Only a holder of record of old notes may tender old notes in the exchange offer. To tender in the exchange offer, a holder must comply with the procedures of DTC and:</w:t>
      </w:r>
    </w:p>
    <w:p>
      <w:pPr>
        <w:spacing w:after="0" w:line="63" w:lineRule="exact"/>
        <w:rPr>
          <w:sz w:val="20"/>
          <w:szCs w:val="20"/>
          <w:color w:val="auto"/>
        </w:rPr>
      </w:pPr>
    </w:p>
    <w:p>
      <w:pPr>
        <w:ind w:left="1780" w:right="399" w:hanging="247"/>
        <w:spacing w:after="0" w:line="306" w:lineRule="auto"/>
        <w:tabs>
          <w:tab w:leader="none" w:pos="17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39" w:hanging="247"/>
        <w:spacing w:after="0" w:line="252"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lieu of delivering a letter of transmittal, instruct DTC to transmit on behalf of the holder a computer-generated message to the exchange agent in which the holder of the old notes acknowledges and agrees 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In addition, either:</w:t>
      </w:r>
    </w:p>
    <w:p>
      <w:pPr>
        <w:spacing w:after="0" w:line="96" w:lineRule="exact"/>
        <w:rPr>
          <w:sz w:val="20"/>
          <w:szCs w:val="20"/>
          <w:color w:val="auto"/>
        </w:rPr>
      </w:pPr>
    </w:p>
    <w:p>
      <w:pPr>
        <w:ind w:left="1780" w:hanging="247"/>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must receive old notes along with the letter of transmittal; or</w:t>
      </w:r>
    </w:p>
    <w:p>
      <w:pPr>
        <w:spacing w:after="0" w:line="95" w:lineRule="exact"/>
        <w:rPr>
          <w:rFonts w:ascii="Times New Roman" w:cs="Times New Roman" w:eastAsia="Times New Roman" w:hAnsi="Times New Roman"/>
          <w:sz w:val="14"/>
          <w:szCs w:val="14"/>
          <w:color w:val="auto"/>
        </w:rPr>
      </w:pPr>
    </w:p>
    <w:p>
      <w:pPr>
        <w:ind w:left="1780" w:right="579" w:hanging="247"/>
        <w:spacing w:after="0" w:line="267" w:lineRule="auto"/>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35" w:lineRule="exact"/>
        <w:rPr>
          <w:sz w:val="20"/>
          <w:szCs w:val="20"/>
          <w:color w:val="auto"/>
        </w:rPr>
      </w:pPr>
    </w:p>
    <w:p>
      <w:pPr>
        <w:ind w:left="1460" w:right="359"/>
        <w:spacing w:after="0" w:line="256" w:lineRule="auto"/>
        <w:rPr>
          <w:sz w:val="20"/>
          <w:szCs w:val="20"/>
          <w:color w:val="auto"/>
        </w:rPr>
      </w:pPr>
      <w:r>
        <w:rPr>
          <w:rFonts w:ascii="Times New Roman" w:cs="Times New Roman" w:eastAsia="Times New Roman" w:hAnsi="Times New Roman"/>
          <w:sz w:val="14"/>
          <w:szCs w:val="14"/>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43" w:lineRule="exact"/>
        <w:rPr>
          <w:sz w:val="20"/>
          <w:szCs w:val="20"/>
          <w:color w:val="auto"/>
        </w:rPr>
      </w:pPr>
    </w:p>
    <w:p>
      <w:pPr>
        <w:ind w:left="1460" w:right="439"/>
        <w:spacing w:after="0" w:line="250" w:lineRule="auto"/>
        <w:rPr>
          <w:sz w:val="20"/>
          <w:szCs w:val="20"/>
          <w:color w:val="auto"/>
        </w:rPr>
      </w:pPr>
      <w:r>
        <w:rPr>
          <w:rFonts w:ascii="Times New Roman" w:cs="Times New Roman" w:eastAsia="Times New Roman" w:hAnsi="Times New Roman"/>
          <w:sz w:val="14"/>
          <w:szCs w:val="14"/>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48"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48" w:lineRule="exact"/>
        <w:rPr>
          <w:sz w:val="20"/>
          <w:szCs w:val="20"/>
          <w:color w:val="auto"/>
        </w:rPr>
      </w:pPr>
    </w:p>
    <w:p>
      <w:pPr>
        <w:ind w:left="1460" w:right="559"/>
        <w:spacing w:after="0" w:line="256" w:lineRule="auto"/>
        <w:rPr>
          <w:sz w:val="20"/>
          <w:szCs w:val="20"/>
          <w:color w:val="auto"/>
        </w:rPr>
      </w:pPr>
      <w:r>
        <w:rPr>
          <w:rFonts w:ascii="Times New Roman" w:cs="Times New Roman" w:eastAsia="Times New Roman" w:hAnsi="Times New Roman"/>
          <w:sz w:val="14"/>
          <w:szCs w:val="14"/>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43" w:lineRule="exact"/>
        <w:rPr>
          <w:sz w:val="20"/>
          <w:szCs w:val="20"/>
          <w:color w:val="auto"/>
        </w:rPr>
      </w:pPr>
    </w:p>
    <w:p>
      <w:pPr>
        <w:jc w:val="both"/>
        <w:ind w:left="1460" w:right="459"/>
        <w:spacing w:after="0" w:line="256" w:lineRule="auto"/>
        <w:rPr>
          <w:sz w:val="20"/>
          <w:szCs w:val="20"/>
          <w:color w:val="auto"/>
        </w:rPr>
      </w:pPr>
      <w:r>
        <w:rPr>
          <w:rFonts w:ascii="Times New Roman" w:cs="Times New Roman" w:eastAsia="Times New Roman" w:hAnsi="Times New Roman"/>
          <w:sz w:val="14"/>
          <w:szCs w:val="14"/>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43" w:lineRule="exact"/>
        <w:rPr>
          <w:sz w:val="20"/>
          <w:szCs w:val="20"/>
          <w:color w:val="auto"/>
        </w:rPr>
      </w:pPr>
    </w:p>
    <w:p>
      <w:pPr>
        <w:ind w:left="1460" w:right="339"/>
        <w:spacing w:after="0" w:line="252" w:lineRule="auto"/>
        <w:rPr>
          <w:sz w:val="20"/>
          <w:szCs w:val="20"/>
          <w:color w:val="auto"/>
        </w:rPr>
      </w:pPr>
      <w:r>
        <w:rPr>
          <w:rFonts w:ascii="Times New Roman" w:cs="Times New Roman" w:eastAsia="Times New Roman" w:hAnsi="Times New Roman"/>
          <w:sz w:val="14"/>
          <w:szCs w:val="14"/>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46" w:lineRule="exact"/>
        <w:rPr>
          <w:sz w:val="20"/>
          <w:szCs w:val="20"/>
          <w:color w:val="auto"/>
        </w:rPr>
      </w:pPr>
    </w:p>
    <w:p>
      <w:pPr>
        <w:ind w:left="1460" w:right="319"/>
        <w:spacing w:after="0" w:line="267" w:lineRule="auto"/>
        <w:rPr>
          <w:sz w:val="20"/>
          <w:szCs w:val="20"/>
          <w:color w:val="auto"/>
        </w:rPr>
      </w:pPr>
      <w:r>
        <w:rPr>
          <w:rFonts w:ascii="Times New Roman" w:cs="Times New Roman" w:eastAsia="Times New Roman" w:hAnsi="Times New Roman"/>
          <w:sz w:val="14"/>
          <w:szCs w:val="14"/>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Signature Guarantees</w:t>
      </w:r>
    </w:p>
    <w:p>
      <w:pPr>
        <w:spacing w:after="0" w:line="90" w:lineRule="exact"/>
        <w:rPr>
          <w:sz w:val="20"/>
          <w:szCs w:val="20"/>
          <w:color w:val="auto"/>
        </w:rPr>
      </w:pPr>
    </w:p>
    <w:p>
      <w:pPr>
        <w:ind w:left="1460" w:right="659"/>
        <w:spacing w:after="0" w:line="267" w:lineRule="auto"/>
        <w:rPr>
          <w:sz w:val="20"/>
          <w:szCs w:val="20"/>
          <w:color w:val="auto"/>
        </w:rPr>
      </w:pPr>
      <w:r>
        <w:rPr>
          <w:rFonts w:ascii="Times New Roman" w:cs="Times New Roman" w:eastAsia="Times New Roman" w:hAnsi="Times New Roman"/>
          <w:sz w:val="14"/>
          <w:szCs w:val="14"/>
          <w:color w:val="auto"/>
        </w:rPr>
        <w:t>Signatures on a letter of transmittal or a notice of withdrawal, as the case may be, must be guaranteed by an eligible institution unless the old notes surrendered for exchange are tendered:</w:t>
      </w:r>
    </w:p>
    <w:p>
      <w:pPr>
        <w:spacing w:after="0" w:line="63" w:lineRule="exact"/>
        <w:rPr>
          <w:sz w:val="20"/>
          <w:szCs w:val="20"/>
          <w:color w:val="auto"/>
        </w:rPr>
      </w:pPr>
    </w:p>
    <w:p>
      <w:pPr>
        <w:ind w:left="1780" w:right="499" w:hanging="247"/>
        <w:spacing w:after="0" w:line="267"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registered holder of old notes who has not completed the box entitled “Special Issuance Instructions” or “Special Delivery Instructions” on the letter of transmittal; or</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account of an eligible institution.</w:t>
      </w:r>
    </w:p>
    <w:p>
      <w:pPr>
        <w:spacing w:after="0" w:line="168"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An “eligible institution” is a firm or other entity which is identified as an “Eligible Guarantor Institution” in Rule 17Ad-15 under the Exchange Act, including:</w:t>
      </w:r>
    </w:p>
    <w:p>
      <w:pPr>
        <w:spacing w:after="0" w:line="63" w:lineRule="exact"/>
        <w:rPr>
          <w:sz w:val="20"/>
          <w:szCs w:val="20"/>
          <w:color w:val="auto"/>
        </w:rPr>
      </w:pPr>
    </w:p>
    <w:p>
      <w:pPr>
        <w:ind w:left="1780" w:hanging="2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broker, dealer, municipal securities broker or dealer or government securities broker or dealer;</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credit union;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national securities exchange, registered securities association or clearing agency; or</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savings association.</w:t>
      </w:r>
    </w:p>
    <w:p>
      <w:pPr>
        <w:spacing w:after="0" w:line="168" w:lineRule="exact"/>
        <w:rPr>
          <w:sz w:val="20"/>
          <w:szCs w:val="20"/>
          <w:color w:val="auto"/>
        </w:rPr>
      </w:pPr>
    </w:p>
    <w:p>
      <w:pPr>
        <w:ind w:left="1460" w:right="399"/>
        <w:spacing w:after="0" w:line="256" w:lineRule="auto"/>
        <w:rPr>
          <w:sz w:val="20"/>
          <w:szCs w:val="20"/>
          <w:color w:val="auto"/>
        </w:rPr>
      </w:pPr>
      <w:r>
        <w:rPr>
          <w:rFonts w:ascii="Times New Roman" w:cs="Times New Roman" w:eastAsia="Times New Roman" w:hAnsi="Times New Roman"/>
          <w:sz w:val="14"/>
          <w:szCs w:val="14"/>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DTC Book-Entry Transfers</w:t>
      </w:r>
    </w:p>
    <w:p>
      <w:pPr>
        <w:spacing w:after="0" w:line="90" w:lineRule="exact"/>
        <w:rPr>
          <w:sz w:val="20"/>
          <w:szCs w:val="20"/>
          <w:color w:val="auto"/>
        </w:rPr>
      </w:pPr>
    </w:p>
    <w:p>
      <w:pPr>
        <w:ind w:left="1460" w:right="499"/>
        <w:spacing w:after="0" w:line="249" w:lineRule="auto"/>
        <w:rPr>
          <w:sz w:val="20"/>
          <w:szCs w:val="20"/>
          <w:color w:val="auto"/>
        </w:rPr>
      </w:pPr>
      <w:r>
        <w:rPr>
          <w:rFonts w:ascii="Times New Roman" w:cs="Times New Roman" w:eastAsia="Times New Roman" w:hAnsi="Times New Roman"/>
          <w:sz w:val="14"/>
          <w:szCs w:val="14"/>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49" w:lineRule="exact"/>
        <w:rPr>
          <w:sz w:val="20"/>
          <w:szCs w:val="20"/>
          <w:color w:val="auto"/>
        </w:rPr>
      </w:pPr>
    </w:p>
    <w:p>
      <w:pPr>
        <w:ind w:left="1460" w:right="559"/>
        <w:spacing w:after="0" w:line="248" w:lineRule="auto"/>
        <w:rPr>
          <w:sz w:val="20"/>
          <w:szCs w:val="20"/>
          <w:color w:val="auto"/>
        </w:rPr>
      </w:pPr>
      <w:r>
        <w:rPr>
          <w:rFonts w:ascii="Times New Roman" w:cs="Times New Roman" w:eastAsia="Times New Roman" w:hAnsi="Times New Roman"/>
          <w:sz w:val="14"/>
          <w:szCs w:val="14"/>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Determination of Validity</w:t>
      </w:r>
    </w:p>
    <w:p>
      <w:pPr>
        <w:spacing w:after="0" w:line="90" w:lineRule="exact"/>
        <w:rPr>
          <w:sz w:val="20"/>
          <w:szCs w:val="20"/>
          <w:color w:val="auto"/>
        </w:rPr>
      </w:pPr>
    </w:p>
    <w:p>
      <w:pPr>
        <w:ind w:left="1460" w:right="519"/>
        <w:spacing w:after="0" w:line="252" w:lineRule="auto"/>
        <w:rPr>
          <w:sz w:val="20"/>
          <w:szCs w:val="20"/>
          <w:color w:val="auto"/>
        </w:rPr>
      </w:pPr>
      <w:r>
        <w:rPr>
          <w:rFonts w:ascii="Times New Roman" w:cs="Times New Roman" w:eastAsia="Times New Roman" w:hAnsi="Times New Roman"/>
          <w:sz w:val="14"/>
          <w:szCs w:val="14"/>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spacing w:after="0" w:line="256" w:lineRule="auto"/>
        <w:rPr>
          <w:sz w:val="20"/>
          <w:szCs w:val="20"/>
          <w:color w:val="auto"/>
        </w:rPr>
      </w:pPr>
      <w:r>
        <w:rPr>
          <w:rFonts w:ascii="Times New Roman" w:cs="Times New Roman" w:eastAsia="Times New Roman" w:hAnsi="Times New Roman"/>
          <w:sz w:val="14"/>
          <w:szCs w:val="14"/>
          <w:color w:val="auto"/>
        </w:rPr>
        <w:t>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We reserve the absolute right, in our sole and absolute discretion:</w:t>
      </w:r>
    </w:p>
    <w:p>
      <w:pPr>
        <w:spacing w:after="0" w:line="96" w:lineRule="exact"/>
        <w:rPr>
          <w:sz w:val="20"/>
          <w:szCs w:val="20"/>
          <w:color w:val="auto"/>
        </w:rPr>
      </w:pPr>
    </w:p>
    <w:p>
      <w:pPr>
        <w:ind w:left="1780" w:hanging="247"/>
        <w:spacing w:after="0"/>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reject any tenders determined to be in improper form or unlawful;</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waive any of the conditions of the exchange offer; and</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waive any condition or irregularity in the tender of old notes by any holder.</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Any waiver to the exchange offer will apply to all old notes tendered.</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Resales of New Notes</w:t>
      </w:r>
    </w:p>
    <w:p>
      <w:pPr>
        <w:spacing w:after="0" w:line="90" w:lineRule="exact"/>
        <w:rPr>
          <w:sz w:val="20"/>
          <w:szCs w:val="20"/>
          <w:color w:val="auto"/>
        </w:rPr>
      </w:pPr>
    </w:p>
    <w:p>
      <w:pPr>
        <w:ind w:left="1460" w:right="379"/>
        <w:spacing w:after="0" w:line="269" w:lineRule="auto"/>
        <w:rPr>
          <w:sz w:val="20"/>
          <w:szCs w:val="20"/>
          <w:color w:val="auto"/>
        </w:rPr>
      </w:pPr>
      <w:r>
        <w:rPr>
          <w:rFonts w:ascii="Times New Roman" w:cs="Times New Roman" w:eastAsia="Times New Roman" w:hAnsi="Times New Roman"/>
          <w:sz w:val="13"/>
          <w:szCs w:val="13"/>
          <w:color w:val="auto"/>
        </w:rPr>
        <w:t xml:space="preserve">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36" w:lineRule="exact"/>
        <w:rPr>
          <w:sz w:val="20"/>
          <w:szCs w:val="20"/>
          <w:color w:val="auto"/>
        </w:rPr>
      </w:pPr>
    </w:p>
    <w:p>
      <w:pPr>
        <w:ind w:left="1460" w:right="579"/>
        <w:spacing w:after="0" w:line="267" w:lineRule="auto"/>
        <w:rPr>
          <w:sz w:val="20"/>
          <w:szCs w:val="20"/>
          <w:color w:val="auto"/>
        </w:rPr>
      </w:pPr>
      <w:r>
        <w:rPr>
          <w:rFonts w:ascii="Times New Roman" w:cs="Times New Roman" w:eastAsia="Times New Roman" w:hAnsi="Times New Roman"/>
          <w:sz w:val="14"/>
          <w:szCs w:val="14"/>
          <w:color w:val="auto"/>
        </w:rPr>
        <w:t>By tendering old notes, the holder, other than participating broker-dealers, as defined below, of those old notes will represent to us that, among other things:</w:t>
      </w:r>
    </w:p>
    <w:p>
      <w:pPr>
        <w:spacing w:after="0" w:line="63" w:lineRule="exact"/>
        <w:rPr>
          <w:sz w:val="20"/>
          <w:szCs w:val="20"/>
          <w:color w:val="auto"/>
        </w:rPr>
      </w:pPr>
    </w:p>
    <w:p>
      <w:pPr>
        <w:ind w:left="1780" w:right="419" w:hanging="247"/>
        <w:spacing w:after="0" w:line="267"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acquired in the exchange offer are being obtained in the ordinary course of business of the person receiving the new notes, whether or not that person is the holder;</w:t>
      </w:r>
    </w:p>
    <w:p>
      <w:pPr>
        <w:spacing w:after="0" w:line="63" w:lineRule="exact"/>
        <w:rPr>
          <w:rFonts w:ascii="Times New Roman" w:cs="Times New Roman" w:eastAsia="Times New Roman" w:hAnsi="Times New Roman"/>
          <w:sz w:val="14"/>
          <w:szCs w:val="14"/>
          <w:color w:val="auto"/>
        </w:rPr>
      </w:pPr>
    </w:p>
    <w:p>
      <w:pPr>
        <w:ind w:left="1780" w:right="519" w:hanging="247"/>
        <w:spacing w:after="0" w:line="267"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holder nor any other person receiving the new notes is an “affiliate” (as defined under the Securities Act) of us.</w:t>
      </w:r>
    </w:p>
    <w:p>
      <w:pPr>
        <w:spacing w:after="0" w:line="168" w:lineRule="exact"/>
        <w:rPr>
          <w:sz w:val="20"/>
          <w:szCs w:val="20"/>
          <w:color w:val="auto"/>
        </w:rPr>
      </w:pPr>
    </w:p>
    <w:p>
      <w:pPr>
        <w:ind w:left="1460" w:right="659"/>
        <w:spacing w:after="0" w:line="267" w:lineRule="auto"/>
        <w:rPr>
          <w:sz w:val="20"/>
          <w:szCs w:val="20"/>
          <w:color w:val="auto"/>
        </w:rPr>
      </w:pPr>
      <w:r>
        <w:rPr>
          <w:rFonts w:ascii="Times New Roman" w:cs="Times New Roman" w:eastAsia="Times New Roman" w:hAnsi="Times New Roman"/>
          <w:sz w:val="14"/>
          <w:szCs w:val="14"/>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63" w:lineRule="exact"/>
        <w:rPr>
          <w:sz w:val="20"/>
          <w:szCs w:val="20"/>
          <w:color w:val="auto"/>
        </w:rPr>
      </w:pPr>
    </w:p>
    <w:p>
      <w:pPr>
        <w:ind w:left="1780" w:hanging="247"/>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rely on the applicable interpretations of the staff of the SEC referred to above; and</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comply with the registration and prospectus delivery requirements of the Securities Act in connection with any resale transaction.</w:t>
      </w:r>
    </w:p>
    <w:p>
      <w:pPr>
        <w:spacing w:after="0" w:line="168" w:lineRule="exact"/>
        <w:rPr>
          <w:sz w:val="20"/>
          <w:szCs w:val="20"/>
          <w:color w:val="auto"/>
        </w:rPr>
      </w:pPr>
    </w:p>
    <w:p>
      <w:pPr>
        <w:ind w:left="1460" w:right="339"/>
        <w:spacing w:after="0" w:line="285" w:lineRule="auto"/>
        <w:rPr>
          <w:sz w:val="20"/>
          <w:szCs w:val="20"/>
          <w:color w:val="auto"/>
        </w:rPr>
      </w:pPr>
      <w:r>
        <w:rPr>
          <w:rFonts w:ascii="Times New Roman" w:cs="Times New Roman" w:eastAsia="Times New Roman" w:hAnsi="Times New Roman"/>
          <w:sz w:val="13"/>
          <w:szCs w:val="13"/>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Any such broker-dealer is referred to</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72" w:lineRule="auto"/>
        <w:rPr>
          <w:sz w:val="20"/>
          <w:szCs w:val="20"/>
          <w:color w:val="auto"/>
        </w:rPr>
      </w:pPr>
      <w:r>
        <w:rPr>
          <w:rFonts w:ascii="Times New Roman" w:cs="Times New Roman" w:eastAsia="Times New Roman" w:hAnsi="Times New Roman"/>
          <w:sz w:val="13"/>
          <w:szCs w:val="13"/>
          <w:color w:val="auto"/>
        </w:rPr>
        <w:t>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Withdrawal Rights</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You can withdraw tenders of old notes at any time prior to 5:00 p.m., New York City time, on the expiration date.</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For a withdrawal to be effective, you must deliver a written notice of withdrawal to the exchange agent. The notice of withdrawal must:</w:t>
      </w:r>
    </w:p>
    <w:p>
      <w:pPr>
        <w:spacing w:after="0" w:line="96" w:lineRule="exact"/>
        <w:rPr>
          <w:sz w:val="20"/>
          <w:szCs w:val="20"/>
          <w:color w:val="auto"/>
        </w:rPr>
      </w:pPr>
    </w:p>
    <w:p>
      <w:pPr>
        <w:ind w:left="1780" w:hanging="247"/>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of the person tendering the old notes to be withdrawn;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old notes to be withdrawn, including the total principal amount of old notes to be withdrawn; and</w:t>
      </w:r>
    </w:p>
    <w:p>
      <w:pPr>
        <w:spacing w:after="0" w:line="95" w:lineRule="exact"/>
        <w:rPr>
          <w:rFonts w:ascii="Times New Roman" w:cs="Times New Roman" w:eastAsia="Times New Roman" w:hAnsi="Times New Roman"/>
          <w:sz w:val="14"/>
          <w:szCs w:val="14"/>
          <w:color w:val="auto"/>
        </w:rPr>
      </w:pPr>
    </w:p>
    <w:p>
      <w:pPr>
        <w:ind w:left="1780" w:right="419" w:hanging="247"/>
        <w:spacing w:after="0" w:line="267"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certificates for old notes are transmitted, the name of the registered holder of the old notes if different from the person withdrawing the old notes.</w:t>
      </w:r>
    </w:p>
    <w:p>
      <w:pPr>
        <w:spacing w:after="0" w:line="135" w:lineRule="exact"/>
        <w:rPr>
          <w:sz w:val="20"/>
          <w:szCs w:val="20"/>
          <w:color w:val="auto"/>
        </w:rPr>
      </w:pPr>
    </w:p>
    <w:p>
      <w:pPr>
        <w:ind w:left="1460" w:right="339"/>
        <w:spacing w:after="0" w:line="272" w:lineRule="auto"/>
        <w:rPr>
          <w:sz w:val="20"/>
          <w:szCs w:val="20"/>
          <w:color w:val="auto"/>
        </w:rPr>
      </w:pPr>
      <w:r>
        <w:rPr>
          <w:rFonts w:ascii="Times New Roman" w:cs="Times New Roman" w:eastAsia="Times New Roman" w:hAnsi="Times New Roman"/>
          <w:sz w:val="13"/>
          <w:szCs w:val="13"/>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34" w:lineRule="exact"/>
        <w:rPr>
          <w:sz w:val="20"/>
          <w:szCs w:val="20"/>
          <w:color w:val="auto"/>
        </w:rPr>
      </w:pPr>
    </w:p>
    <w:p>
      <w:pPr>
        <w:ind w:left="1460" w:right="479"/>
        <w:spacing w:after="0" w:line="252" w:lineRule="auto"/>
        <w:rPr>
          <w:sz w:val="20"/>
          <w:szCs w:val="20"/>
          <w:color w:val="auto"/>
        </w:rPr>
      </w:pPr>
      <w:r>
        <w:rPr>
          <w:rFonts w:ascii="Times New Roman" w:cs="Times New Roman" w:eastAsia="Times New Roman" w:hAnsi="Times New Roman"/>
          <w:sz w:val="14"/>
          <w:szCs w:val="14"/>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46" w:lineRule="exact"/>
        <w:rPr>
          <w:sz w:val="20"/>
          <w:szCs w:val="20"/>
          <w:color w:val="auto"/>
        </w:rPr>
      </w:pPr>
    </w:p>
    <w:p>
      <w:pPr>
        <w:ind w:left="1460" w:right="359"/>
        <w:spacing w:after="0" w:line="256" w:lineRule="auto"/>
        <w:rPr>
          <w:sz w:val="20"/>
          <w:szCs w:val="20"/>
          <w:color w:val="auto"/>
        </w:rPr>
      </w:pPr>
      <w:r>
        <w:rPr>
          <w:rFonts w:ascii="Times New Roman" w:cs="Times New Roman" w:eastAsia="Times New Roman" w:hAnsi="Times New Roman"/>
          <w:sz w:val="14"/>
          <w:szCs w:val="14"/>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Conditions to the Exchange Offer</w:t>
      </w:r>
    </w:p>
    <w:p>
      <w:pPr>
        <w:spacing w:after="0" w:line="90" w:lineRule="exact"/>
        <w:rPr>
          <w:sz w:val="20"/>
          <w:szCs w:val="20"/>
          <w:color w:val="auto"/>
        </w:rPr>
      </w:pPr>
    </w:p>
    <w:p>
      <w:pPr>
        <w:jc w:val="both"/>
        <w:ind w:left="1460" w:right="499"/>
        <w:spacing w:after="0" w:line="256" w:lineRule="auto"/>
        <w:rPr>
          <w:sz w:val="20"/>
          <w:szCs w:val="20"/>
          <w:color w:val="auto"/>
        </w:rPr>
      </w:pPr>
      <w:r>
        <w:rPr>
          <w:rFonts w:ascii="Times New Roman" w:cs="Times New Roman" w:eastAsia="Times New Roman" w:hAnsi="Times New Roman"/>
          <w:sz w:val="14"/>
          <w:szCs w:val="14"/>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71" w:lineRule="exact"/>
        <w:rPr>
          <w:sz w:val="20"/>
          <w:szCs w:val="20"/>
          <w:color w:val="auto"/>
        </w:rPr>
      </w:pPr>
    </w:p>
    <w:p>
      <w:pPr>
        <w:ind w:left="5580" w:right="1299" w:hanging="4047"/>
        <w:spacing w:after="0" w:line="436" w:lineRule="auto"/>
        <w:tabs>
          <w:tab w:leader="none" w:pos="178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to be received will not be tradable by the holder without restriction under the Securities Act and the Exchange Act; 21</w:t>
      </w:r>
    </w:p>
    <w:p>
      <w:pPr>
        <w:sectPr>
          <w:pgSz w:w="11900" w:h="16838" w:orient="portrait"/>
          <w:cols w:equalWidth="0" w:num="1">
            <w:col w:w="10159"/>
          </w:cols>
          <w:pgMar w:left="300" w:top="38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hanging="247"/>
        <w:spacing w:after="0"/>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received all applicable governmental approvals;</w:t>
      </w:r>
    </w:p>
    <w:p>
      <w:pPr>
        <w:spacing w:after="0" w:line="95" w:lineRule="exact"/>
        <w:rPr>
          <w:rFonts w:ascii="Times New Roman" w:cs="Times New Roman" w:eastAsia="Times New Roman" w:hAnsi="Times New Roman"/>
          <w:sz w:val="14"/>
          <w:szCs w:val="14"/>
          <w:color w:val="auto"/>
        </w:rPr>
      </w:pPr>
    </w:p>
    <w:p>
      <w:pPr>
        <w:ind w:left="1780" w:right="359" w:hanging="247"/>
        <w:spacing w:after="0" w:line="267"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or the making of any exchange by a holder of old notes, would violate applicable law or any applicable interpretation or policy of the staff of the SEC; or</w:t>
      </w:r>
    </w:p>
    <w:p>
      <w:pPr>
        <w:spacing w:after="0" w:line="63" w:lineRule="exact"/>
        <w:rPr>
          <w:rFonts w:ascii="Times New Roman" w:cs="Times New Roman" w:eastAsia="Times New Roman" w:hAnsi="Times New Roman"/>
          <w:sz w:val="14"/>
          <w:szCs w:val="14"/>
          <w:color w:val="auto"/>
        </w:rPr>
      </w:pPr>
    </w:p>
    <w:p>
      <w:pPr>
        <w:ind w:left="1780" w:right="339" w:hanging="247"/>
        <w:spacing w:after="0" w:line="267"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135" w:lineRule="exact"/>
        <w:rPr>
          <w:sz w:val="20"/>
          <w:szCs w:val="20"/>
          <w:color w:val="auto"/>
        </w:rPr>
      </w:pPr>
    </w:p>
    <w:p>
      <w:pPr>
        <w:ind w:left="1460" w:right="439"/>
        <w:spacing w:after="0" w:line="249" w:lineRule="auto"/>
        <w:rPr>
          <w:sz w:val="20"/>
          <w:szCs w:val="20"/>
          <w:color w:val="auto"/>
        </w:rPr>
      </w:pPr>
      <w:r>
        <w:rPr>
          <w:rFonts w:ascii="Times New Roman" w:cs="Times New Roman" w:eastAsia="Times New Roman" w:hAnsi="Times New Roman"/>
          <w:sz w:val="14"/>
          <w:szCs w:val="14"/>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49" w:lineRule="exact"/>
        <w:rPr>
          <w:sz w:val="20"/>
          <w:szCs w:val="20"/>
          <w:color w:val="auto"/>
        </w:rPr>
      </w:pPr>
    </w:p>
    <w:p>
      <w:pPr>
        <w:jc w:val="both"/>
        <w:ind w:left="1460" w:right="459"/>
        <w:spacing w:after="0" w:line="256" w:lineRule="auto"/>
        <w:rPr>
          <w:sz w:val="20"/>
          <w:szCs w:val="20"/>
          <w:color w:val="auto"/>
        </w:rPr>
      </w:pPr>
      <w:r>
        <w:rPr>
          <w:rFonts w:ascii="Times New Roman" w:cs="Times New Roman" w:eastAsia="Times New Roman" w:hAnsi="Times New Roman"/>
          <w:sz w:val="14"/>
          <w:szCs w:val="14"/>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43" w:lineRule="exact"/>
        <w:rPr>
          <w:sz w:val="20"/>
          <w:szCs w:val="20"/>
          <w:color w:val="auto"/>
        </w:rPr>
      </w:pPr>
    </w:p>
    <w:p>
      <w:pPr>
        <w:ind w:left="1460" w:right="439"/>
        <w:spacing w:after="0" w:line="250" w:lineRule="auto"/>
        <w:rPr>
          <w:sz w:val="20"/>
          <w:szCs w:val="20"/>
          <w:color w:val="auto"/>
        </w:rPr>
      </w:pPr>
      <w:r>
        <w:rPr>
          <w:rFonts w:ascii="Times New Roman" w:cs="Times New Roman" w:eastAsia="Times New Roman" w:hAnsi="Times New Roman"/>
          <w:sz w:val="14"/>
          <w:szCs w:val="14"/>
          <w:color w:val="auto"/>
        </w:rPr>
        <w:t>If we terminate or suspend the exchange offer based on a determination that the exchange offer violates applicable law or SEC policy, the registration rights agreement requires that we, as promptly as practicable after such determination (but in no event more than 60 days after so required or requested pursuant to the registration rights agreement), file a shelf registration statement covering the resale of the old notes, and thereafter use our reasonable best efforts to cause such shelf registration statement to be declared effective by the SEC within 60 days after the filing thereof. See “—Registration Rights and Additional Interest on the Old Notes.”</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90" w:lineRule="exact"/>
        <w:rPr>
          <w:sz w:val="20"/>
          <w:szCs w:val="20"/>
          <w:color w:val="auto"/>
        </w:rPr>
      </w:pPr>
    </w:p>
    <w:p>
      <w:pPr>
        <w:ind w:left="1460" w:right="499"/>
        <w:spacing w:after="0" w:line="256" w:lineRule="auto"/>
        <w:rPr>
          <w:sz w:val="20"/>
          <w:szCs w:val="20"/>
          <w:color w:val="auto"/>
        </w:rPr>
      </w:pPr>
      <w:r>
        <w:rPr>
          <w:rFonts w:ascii="Times New Roman" w:cs="Times New Roman" w:eastAsia="Times New Roman" w:hAnsi="Times New Roman"/>
          <w:sz w:val="14"/>
          <w:szCs w:val="14"/>
          <w:color w:val="auto"/>
        </w:rPr>
        <w:t>We have appointed U.S. Bank Trust Company, National Association (as successor to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4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By Mail, Overnight Courier or Hand:</w:t>
      </w:r>
    </w:p>
    <w:p>
      <w:pPr>
        <w:spacing w:after="0" w:line="16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111 Fillmore Avenue</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St. Paul, MN 55107-1402</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Specialized Finance</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Fax: (651) 466-7367</w:t>
      </w:r>
    </w:p>
    <w:p>
      <w:pPr>
        <w:spacing w:after="0" w:line="156" w:lineRule="exact"/>
        <w:rPr>
          <w:sz w:val="20"/>
          <w:szCs w:val="20"/>
          <w:color w:val="auto"/>
        </w:rPr>
      </w:pPr>
    </w:p>
    <w:p>
      <w:pPr>
        <w:ind w:left="1460" w:right="619"/>
        <w:spacing w:after="0" w:line="267" w:lineRule="auto"/>
        <w:rPr>
          <w:sz w:val="20"/>
          <w:szCs w:val="20"/>
          <w:color w:val="auto"/>
        </w:rPr>
      </w:pPr>
      <w:r>
        <w:rPr>
          <w:rFonts w:ascii="Times New Roman" w:cs="Times New Roman" w:eastAsia="Times New Roman" w:hAnsi="Times New Roman"/>
          <w:sz w:val="14"/>
          <w:szCs w:val="14"/>
          <w:color w:val="auto"/>
        </w:rPr>
        <w:t>If you deliver letters of transmittal and any other required documents to an address or facsimile number other than those listed above, your tender is invalid.</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0" w:lineRule="exact"/>
        <w:rPr>
          <w:sz w:val="20"/>
          <w:szCs w:val="20"/>
          <w:color w:val="auto"/>
        </w:rPr>
      </w:pPr>
    </w:p>
    <w:p>
      <w:pPr>
        <w:ind w:left="1460" w:right="539"/>
        <w:spacing w:after="0" w:line="256" w:lineRule="auto"/>
        <w:rPr>
          <w:sz w:val="20"/>
          <w:szCs w:val="20"/>
          <w:color w:val="auto"/>
        </w:rPr>
      </w:pPr>
      <w:r>
        <w:rPr>
          <w:rFonts w:ascii="Times New Roman" w:cs="Times New Roman" w:eastAsia="Times New Roman" w:hAnsi="Times New Roman"/>
          <w:sz w:val="14"/>
          <w:szCs w:val="14"/>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jc w:val="both"/>
        <w:ind w:left="1460" w:right="379"/>
        <w:spacing w:after="0" w:line="256" w:lineRule="auto"/>
        <w:rPr>
          <w:sz w:val="20"/>
          <w:szCs w:val="20"/>
          <w:color w:val="auto"/>
        </w:rPr>
      </w:pPr>
      <w:r>
        <w:rPr>
          <w:rFonts w:ascii="Times New Roman" w:cs="Times New Roman" w:eastAsia="Times New Roman" w:hAnsi="Times New Roman"/>
          <w:sz w:val="14"/>
          <w:szCs w:val="14"/>
          <w:color w:val="auto"/>
        </w:rPr>
        <w:t>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43" w:lineRule="exact"/>
        <w:rPr>
          <w:sz w:val="20"/>
          <w:szCs w:val="20"/>
          <w:color w:val="auto"/>
        </w:rPr>
      </w:pPr>
    </w:p>
    <w:p>
      <w:pPr>
        <w:ind w:left="1460" w:right="439"/>
        <w:spacing w:after="0" w:line="267" w:lineRule="auto"/>
        <w:rPr>
          <w:sz w:val="20"/>
          <w:szCs w:val="20"/>
          <w:color w:val="auto"/>
        </w:rPr>
      </w:pPr>
      <w:r>
        <w:rPr>
          <w:rFonts w:ascii="Times New Roman" w:cs="Times New Roman" w:eastAsia="Times New Roman" w:hAnsi="Times New Roman"/>
          <w:sz w:val="14"/>
          <w:szCs w:val="14"/>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Transfer Taxes</w:t>
      </w:r>
    </w:p>
    <w:p>
      <w:pPr>
        <w:spacing w:after="0" w:line="90" w:lineRule="exact"/>
        <w:rPr>
          <w:sz w:val="20"/>
          <w:szCs w:val="20"/>
          <w:color w:val="auto"/>
        </w:rPr>
      </w:pPr>
    </w:p>
    <w:p>
      <w:pPr>
        <w:ind w:left="1460" w:right="399"/>
        <w:spacing w:after="0" w:line="252" w:lineRule="auto"/>
        <w:rPr>
          <w:sz w:val="20"/>
          <w:szCs w:val="20"/>
          <w:color w:val="auto"/>
        </w:rPr>
      </w:pPr>
      <w:r>
        <w:rPr>
          <w:rFonts w:ascii="Times New Roman" w:cs="Times New Roman" w:eastAsia="Times New Roman" w:hAnsi="Times New Roman"/>
          <w:sz w:val="14"/>
          <w:szCs w:val="14"/>
          <w:color w:val="auto"/>
        </w:rPr>
        <w:t>Holders who tender their old notes for exchange will not be obligated to pay any transfer taxes in connection with the exchange. If, however, new notes issued in the exchange offer are to be delivered to, or are to be issued 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90" w:lineRule="exact"/>
        <w:rPr>
          <w:sz w:val="20"/>
          <w:szCs w:val="20"/>
          <w:color w:val="auto"/>
        </w:rPr>
      </w:pPr>
    </w:p>
    <w:p>
      <w:pPr>
        <w:ind w:left="1460" w:right="439"/>
        <w:spacing w:after="0" w:line="256" w:lineRule="auto"/>
        <w:rPr>
          <w:sz w:val="20"/>
          <w:szCs w:val="20"/>
          <w:color w:val="auto"/>
        </w:rPr>
      </w:pPr>
      <w:r>
        <w:rPr>
          <w:rFonts w:ascii="Times New Roman" w:cs="Times New Roman" w:eastAsia="Times New Roman" w:hAnsi="Times New Roman"/>
          <w:sz w:val="14"/>
          <w:szCs w:val="14"/>
          <w:color w:val="auto"/>
        </w:rPr>
        <w:t>The new notes will be recorded at the same carrying value as the old notes with the exception of any incremental deferred costs. Accordingly, Crown will not recognize any gain or loss for accounting purposes for the exchange transaction. Crown intends to amortize the expenses of the exchange offer and issuance of the old notes over the term of the new notes.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Registration Rights and Additional Interest on the Old Notes</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If:</w:t>
      </w:r>
    </w:p>
    <w:p>
      <w:pPr>
        <w:spacing w:after="0" w:line="96" w:lineRule="exact"/>
        <w:rPr>
          <w:sz w:val="20"/>
          <w:szCs w:val="20"/>
          <w:color w:val="auto"/>
        </w:rPr>
      </w:pPr>
    </w:p>
    <w:p>
      <w:pPr>
        <w:ind w:left="1780" w:hanging="247"/>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interpretations of the staff of the SEC do not permit us to effect the exchange offer contemplated by this prospectus; or</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other reason this exchange offer is not completed within 360 days from the issue date of the old notes; or</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20th day following consummation of this exchange offer:</w:t>
      </w:r>
    </w:p>
    <w:p>
      <w:pPr>
        <w:spacing w:after="0" w:line="95" w:lineRule="exact"/>
        <w:rPr>
          <w:rFonts w:ascii="Times New Roman" w:cs="Times New Roman" w:eastAsia="Times New Roman" w:hAnsi="Times New Roman"/>
          <w:sz w:val="14"/>
          <w:szCs w:val="14"/>
          <w:color w:val="auto"/>
        </w:rPr>
      </w:pPr>
    </w:p>
    <w:p>
      <w:pPr>
        <w:ind w:left="1780" w:right="439" w:hanging="247"/>
        <w:spacing w:after="0" w:line="267"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purchaser so requests with respect to old notes not eligible to be exchanged for new notes in this exchange offer and that are held by it following consummation of this exchange offer;</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holder of old notes notifies us that it is not eligible to participate in this exchange offer; or</w:t>
      </w:r>
    </w:p>
    <w:p>
      <w:pPr>
        <w:spacing w:after="0" w:line="95" w:lineRule="exact"/>
        <w:rPr>
          <w:rFonts w:ascii="Times New Roman" w:cs="Times New Roman" w:eastAsia="Times New Roman" w:hAnsi="Times New Roman"/>
          <w:sz w:val="14"/>
          <w:szCs w:val="14"/>
          <w:color w:val="auto"/>
        </w:rPr>
      </w:pPr>
    </w:p>
    <w:p>
      <w:pPr>
        <w:ind w:left="1780" w:right="439" w:hanging="247"/>
        <w:spacing w:after="0" w:line="267"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initial purchaser notifies us that it will not or did not receive freely tradable new notes in exchange for old notes constituting any portion of an unsold allotment,</w:t>
      </w:r>
    </w:p>
    <w:p>
      <w:pPr>
        <w:spacing w:after="0" w:line="1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we will, subject to certain conditions, at our cost:</w:t>
      </w:r>
    </w:p>
    <w:p>
      <w:pPr>
        <w:spacing w:after="0" w:line="96" w:lineRule="exact"/>
        <w:rPr>
          <w:sz w:val="20"/>
          <w:szCs w:val="20"/>
          <w:color w:val="auto"/>
        </w:rPr>
      </w:pPr>
    </w:p>
    <w:p>
      <w:pPr>
        <w:ind w:left="1780" w:right="779" w:hanging="247"/>
        <w:spacing w:after="0" w:line="267"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but no later than the deadline provided for in the registration rights agreement, file a shelf registration statement covering resales of the old notes or the new notes, as the case may be;</w:t>
      </w:r>
    </w:p>
    <w:p>
      <w:pPr>
        <w:spacing w:after="0" w:line="63" w:lineRule="exact"/>
        <w:rPr>
          <w:rFonts w:ascii="Times New Roman" w:cs="Times New Roman" w:eastAsia="Times New Roman" w:hAnsi="Times New Roman"/>
          <w:sz w:val="14"/>
          <w:szCs w:val="14"/>
          <w:color w:val="auto"/>
        </w:rPr>
      </w:pPr>
    </w:p>
    <w:p>
      <w:pPr>
        <w:ind w:left="1780" w:right="439" w:hanging="247"/>
        <w:spacing w:after="0" w:line="267"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our reasonable best efforts to cause the shelf registration statement to be declared effective under the Securities Act no later than the deadline provided for in the registration rights agreement; and</w:t>
      </w:r>
    </w:p>
    <w:p>
      <w:pPr>
        <w:spacing w:after="0" w:line="63" w:lineRule="exact"/>
        <w:rPr>
          <w:rFonts w:ascii="Times New Roman" w:cs="Times New Roman" w:eastAsia="Times New Roman" w:hAnsi="Times New Roman"/>
          <w:sz w:val="14"/>
          <w:szCs w:val="14"/>
          <w:color w:val="auto"/>
        </w:rPr>
      </w:pPr>
    </w:p>
    <w:p>
      <w:pPr>
        <w:ind w:left="1780" w:right="359" w:hanging="247"/>
        <w:spacing w:after="0" w:line="267"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keep the shelf registration statement effective until the earliest of (1) one year from the effective date of the shelf registration statement and (2) the date on which all notes registered thereunder have been sold in accordance therewith.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If:</w:t>
      </w:r>
    </w:p>
    <w:p>
      <w:pPr>
        <w:spacing w:after="0" w:line="96" w:lineRule="exact"/>
        <w:rPr>
          <w:sz w:val="20"/>
          <w:szCs w:val="20"/>
          <w:color w:val="auto"/>
        </w:rPr>
      </w:pPr>
    </w:p>
    <w:p>
      <w:pPr>
        <w:ind w:left="1780" w:hanging="247"/>
        <w:spacing w:after="0"/>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360 days from the issue date of the old notes, this exchange offer has not been completed; or</w:t>
      </w:r>
    </w:p>
    <w:p>
      <w:pPr>
        <w:spacing w:after="0" w:line="95" w:lineRule="exact"/>
        <w:rPr>
          <w:rFonts w:ascii="Times New Roman" w:cs="Times New Roman" w:eastAsia="Times New Roman" w:hAnsi="Times New Roman"/>
          <w:sz w:val="14"/>
          <w:szCs w:val="14"/>
          <w:color w:val="auto"/>
        </w:rPr>
      </w:pPr>
    </w:p>
    <w:p>
      <w:pPr>
        <w:ind w:left="1780" w:right="579" w:hanging="247"/>
        <w:spacing w:after="0" w:line="267"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shelf registration statement (if required) has not been filed by the deadline provided for in the registration rights agreement or has not been declared effective by the deadline provided for in the registration rights agreement; or</w:t>
      </w:r>
    </w:p>
    <w:p>
      <w:pPr>
        <w:spacing w:after="0" w:line="63" w:lineRule="exact"/>
        <w:rPr>
          <w:rFonts w:ascii="Times New Roman" w:cs="Times New Roman" w:eastAsia="Times New Roman" w:hAnsi="Times New Roman"/>
          <w:sz w:val="14"/>
          <w:szCs w:val="14"/>
          <w:color w:val="auto"/>
        </w:rPr>
      </w:pPr>
    </w:p>
    <w:p>
      <w:pPr>
        <w:ind w:left="1780" w:right="319" w:hanging="247"/>
        <w:spacing w:after="0" w:line="256"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43" w:lineRule="exact"/>
        <w:rPr>
          <w:sz w:val="20"/>
          <w:szCs w:val="20"/>
          <w:color w:val="auto"/>
        </w:rPr>
      </w:pPr>
    </w:p>
    <w:p>
      <w:pPr>
        <w:ind w:left="1460" w:right="439"/>
        <w:spacing w:after="0" w:line="250" w:lineRule="auto"/>
        <w:rPr>
          <w:sz w:val="20"/>
          <w:szCs w:val="20"/>
          <w:color w:val="auto"/>
        </w:rPr>
      </w:pPr>
      <w:r>
        <w:rPr>
          <w:rFonts w:ascii="Times New Roman" w:cs="Times New Roman" w:eastAsia="Times New Roman" w:hAnsi="Times New Roman"/>
          <w:sz w:val="14"/>
          <w:szCs w:val="14"/>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1460" w:right="579"/>
        <w:spacing w:after="0" w:line="256" w:lineRule="auto"/>
        <w:rPr>
          <w:sz w:val="20"/>
          <w:szCs w:val="20"/>
          <w:color w:val="auto"/>
        </w:rPr>
      </w:pPr>
      <w:r>
        <w:rPr>
          <w:rFonts w:ascii="Times New Roman" w:cs="Times New Roman" w:eastAsia="Times New Roman" w:hAnsi="Times New Roman"/>
          <w:sz w:val="14"/>
          <w:szCs w:val="14"/>
          <w:color w:val="auto"/>
        </w:rPr>
        <w:t>Crown Americas LLC (“Crown Americas” and the “Issuer”) issued the old notes and will issue the new notes (collectively, the “Notes”) under an indenture (the “Indenture”), dated as of May 27, 2025, among the Issuer, the Guarantors (as defined below) and U.S. Bank Trust Company, National Association (as successor to U.S. Bank National Association) as trustee (the “Trustee”).</w:t>
      </w:r>
    </w:p>
    <w:p>
      <w:pPr>
        <w:spacing w:after="0" w:line="143" w:lineRule="exact"/>
        <w:rPr>
          <w:sz w:val="20"/>
          <w:szCs w:val="20"/>
          <w:color w:val="auto"/>
        </w:rPr>
      </w:pPr>
    </w:p>
    <w:p>
      <w:pPr>
        <w:ind w:left="1460" w:right="339"/>
        <w:spacing w:after="0" w:line="267" w:lineRule="auto"/>
        <w:rPr>
          <w:sz w:val="20"/>
          <w:szCs w:val="20"/>
          <w:color w:val="auto"/>
        </w:rPr>
      </w:pPr>
      <w:r>
        <w:rPr>
          <w:rFonts w:ascii="Times New Roman" w:cs="Times New Roman" w:eastAsia="Times New Roman" w:hAnsi="Times New Roman"/>
          <w:sz w:val="14"/>
          <w:szCs w:val="14"/>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terms of the new notes are the same as the terms of the old notes, except that:</w:t>
      </w:r>
    </w:p>
    <w:p>
      <w:pPr>
        <w:spacing w:after="0" w:line="96" w:lineRule="exact"/>
        <w:rPr>
          <w:sz w:val="20"/>
          <w:szCs w:val="20"/>
          <w:color w:val="auto"/>
        </w:rPr>
      </w:pPr>
    </w:p>
    <w:p>
      <w:pPr>
        <w:ind w:left="1780" w:hanging="247"/>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will be registered under the Securities Act of 1933, as amended;</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will not bear restrictive legends restricting their transfer under the Securities Act;</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the new notes are not entitled to certain rights under the registration rights agreement; and</w:t>
      </w:r>
    </w:p>
    <w:p>
      <w:pPr>
        <w:spacing w:after="0" w:line="95" w:lineRule="exact"/>
        <w:rPr>
          <w:rFonts w:ascii="Times New Roman" w:cs="Times New Roman" w:eastAsia="Times New Roman" w:hAnsi="Times New Roman"/>
          <w:sz w:val="14"/>
          <w:szCs w:val="14"/>
          <w:color w:val="auto"/>
        </w:rPr>
      </w:pPr>
    </w:p>
    <w:p>
      <w:pPr>
        <w:ind w:left="1780" w:right="359" w:hanging="247"/>
        <w:spacing w:after="0" w:line="267"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will not contain provisions relating to increased interest rates in connection with the old notes under circumstances related to timing of the exchange offer.</w:t>
      </w:r>
    </w:p>
    <w:p>
      <w:pPr>
        <w:spacing w:after="0" w:line="135" w:lineRule="exact"/>
        <w:rPr>
          <w:sz w:val="20"/>
          <w:szCs w:val="20"/>
          <w:color w:val="auto"/>
        </w:rPr>
      </w:pPr>
    </w:p>
    <w:p>
      <w:pPr>
        <w:ind w:left="1460" w:right="319"/>
        <w:spacing w:after="0" w:line="278" w:lineRule="auto"/>
        <w:rPr>
          <w:sz w:val="20"/>
          <w:szCs w:val="20"/>
          <w:color w:val="auto"/>
        </w:rPr>
      </w:pPr>
      <w:r>
        <w:rPr>
          <w:rFonts w:ascii="Times New Roman" w:cs="Times New Roman" w:eastAsia="Times New Roman" w:hAnsi="Times New Roman"/>
          <w:sz w:val="13"/>
          <w:szCs w:val="13"/>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4.1 of the Registrant’s Current Report on Form 8-K, dated May 28, 2025, and is incorporated by reference as an exhibit to the registration statement of which this prospectus is a part.</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Principal, Maturity and Interest</w:t>
      </w:r>
    </w:p>
    <w:p>
      <w:pPr>
        <w:spacing w:after="0" w:line="90" w:lineRule="exact"/>
        <w:rPr>
          <w:sz w:val="20"/>
          <w:szCs w:val="20"/>
          <w:color w:val="auto"/>
        </w:rPr>
      </w:pPr>
    </w:p>
    <w:p>
      <w:pPr>
        <w:ind w:left="1460" w:right="459"/>
        <w:spacing w:after="0" w:line="252" w:lineRule="auto"/>
        <w:rPr>
          <w:sz w:val="20"/>
          <w:szCs w:val="20"/>
          <w:color w:val="auto"/>
        </w:rPr>
      </w:pPr>
      <w:r>
        <w:rPr>
          <w:rFonts w:ascii="Times New Roman" w:cs="Times New Roman" w:eastAsia="Times New Roman" w:hAnsi="Times New Roman"/>
          <w:sz w:val="14"/>
          <w:szCs w:val="14"/>
          <w:color w:val="auto"/>
        </w:rPr>
        <w:t>In the exchange offer contemplated by this prospectus (the “Offering”), the Issuer will issue up to $700 million aggregate principal amount of Notes under the Indenture. The Issuer may issue additional Notes in an unlimited amount (the “Additional Notes”)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46" w:lineRule="exact"/>
        <w:rPr>
          <w:sz w:val="20"/>
          <w:szCs w:val="20"/>
          <w:color w:val="auto"/>
        </w:rPr>
      </w:pPr>
    </w:p>
    <w:p>
      <w:pPr>
        <w:ind w:left="1460" w:right="359"/>
        <w:spacing w:after="0" w:line="274" w:lineRule="auto"/>
        <w:rPr>
          <w:sz w:val="20"/>
          <w:szCs w:val="20"/>
          <w:color w:val="auto"/>
        </w:rPr>
      </w:pPr>
      <w:r>
        <w:rPr>
          <w:rFonts w:ascii="Times New Roman" w:cs="Times New Roman" w:eastAsia="Times New Roman" w:hAnsi="Times New Roman"/>
          <w:sz w:val="13"/>
          <w:szCs w:val="13"/>
          <w:color w:val="auto"/>
        </w:rPr>
        <w:t>The Notes will mature on June 1, 2033. Interest on the Notes will accrue at the rate of 5.875% per annum. Interest on the Notes will be payable in cash semi-annually in arrears on June 1 and December 1 of each year, commencing on December 1, 2025, to Holders of record on the immediately preceding May 15 and November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33" w:lineRule="exact"/>
        <w:rPr>
          <w:sz w:val="20"/>
          <w:szCs w:val="20"/>
          <w:color w:val="auto"/>
        </w:rPr>
      </w:pPr>
    </w:p>
    <w:p>
      <w:pPr>
        <w:ind w:left="1460" w:right="379"/>
        <w:spacing w:after="0" w:line="250" w:lineRule="auto"/>
        <w:rPr>
          <w:sz w:val="20"/>
          <w:szCs w:val="20"/>
          <w:color w:val="auto"/>
        </w:rPr>
      </w:pPr>
      <w:r>
        <w:rPr>
          <w:rFonts w:ascii="Times New Roman" w:cs="Times New Roman" w:eastAsia="Times New Roman" w:hAnsi="Times New Roman"/>
          <w:sz w:val="14"/>
          <w:szCs w:val="14"/>
          <w:color w:val="auto"/>
        </w:rPr>
        <w:t xml:space="preserve">Principal of and premium, if any, and interest on the Notes will be payable at the office or agency of the Issuer maintained for such purpose in the Borough of Manhattan, The City of New York, the State of New York (the “Paying Agent”) or St. Paul, Minnesota, or such other corporate office of the Trustee that has been designated for such purpose, at the option of the Issuer, payment of interest may be made by check mailed to the Holders of the Notes at their respective addresses set forth in the register of Holders of Notes;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Holder has given wire transfer instructions to the Issuer or the Paying Agent at least 15 days prior to the payment date, all</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0"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52" w:lineRule="auto"/>
        <w:rPr>
          <w:sz w:val="20"/>
          <w:szCs w:val="20"/>
          <w:color w:val="auto"/>
        </w:rPr>
      </w:pPr>
      <w:r>
        <w:rPr>
          <w:rFonts w:ascii="Times New Roman" w:cs="Times New Roman" w:eastAsia="Times New Roman" w:hAnsi="Times New Roman"/>
          <w:sz w:val="14"/>
          <w:szCs w:val="14"/>
          <w:color w:val="auto"/>
        </w:rPr>
        <w:t>payments of principal, premium, if any, and interest with respect to the Notes held by such Holder will be made by wire transfer of immediately available funds to the account specified by such Holder. Corporate Trust Office of the Trustee, or its Agent, in the Borough of Manhattan, The City of New York, is designated as such office or agency of the Issuer. The Issuer may change the Paying Agent or registrar without prior notice to the Holders, and Parent or any of the Subsidiaries may act as a Paying Agent or registrar.</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Notes will be issued in denominations of $2,000 and any integral multiple of $1,000 in excess thereof.</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Ranking and Guarantees</w:t>
      </w:r>
    </w:p>
    <w:p>
      <w:pPr>
        <w:spacing w:after="0" w:line="86" w:lineRule="exact"/>
        <w:rPr>
          <w:sz w:val="20"/>
          <w:szCs w:val="20"/>
          <w:color w:val="auto"/>
        </w:rPr>
      </w:pPr>
    </w:p>
    <w:p>
      <w:pPr>
        <w:ind w:left="1460" w:right="439"/>
        <w:spacing w:after="0" w:line="252" w:lineRule="auto"/>
        <w:rPr>
          <w:sz w:val="20"/>
          <w:szCs w:val="20"/>
          <w:color w:val="auto"/>
        </w:rPr>
      </w:pPr>
      <w:r>
        <w:rPr>
          <w:rFonts w:ascii="Times New Roman" w:cs="Times New Roman" w:eastAsia="Times New Roman" w:hAnsi="Times New Roman"/>
          <w:sz w:val="14"/>
          <w:szCs w:val="14"/>
          <w:color w:val="auto"/>
        </w:rPr>
        <w:t xml:space="preserve">The Notes will be the senior obligations of the Issuer,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all other existing and future senior obligations of the Issuer, including obligations under other unsubordinated Indebtedness. The Notes will be effectively subordinated to all existing and future obligations of the Issuer that are secured by Liens on any property or assets of the Issuer, to the extent of the value of the collateral securing such obligations, and will rank senior in right of payment to all existing and future obligations of the Issuer that are, by their terms, subordinated in right of payment to the Notes.</w:t>
      </w:r>
    </w:p>
    <w:p>
      <w:pPr>
        <w:spacing w:after="0" w:line="145" w:lineRule="exact"/>
        <w:rPr>
          <w:sz w:val="20"/>
          <w:szCs w:val="20"/>
          <w:color w:val="auto"/>
        </w:rPr>
      </w:pPr>
    </w:p>
    <w:p>
      <w:pPr>
        <w:jc w:val="both"/>
        <w:ind w:left="1460" w:right="599"/>
        <w:spacing w:after="0" w:line="256" w:lineRule="auto"/>
        <w:rPr>
          <w:sz w:val="20"/>
          <w:szCs w:val="20"/>
          <w:color w:val="auto"/>
        </w:rPr>
      </w:pPr>
      <w:r>
        <w:rPr>
          <w:rFonts w:ascii="Times New Roman" w:cs="Times New Roman" w:eastAsia="Times New Roman" w:hAnsi="Times New Roman"/>
          <w:sz w:val="14"/>
          <w:szCs w:val="14"/>
          <w:color w:val="auto"/>
        </w:rPr>
        <w:t>The Issuer’s obligations under the Notes and the Indenture will be unconditionally Guaranteed, jointly and severally, by Parent and each of Parent’s present and future Domestic Subsidiaries (other than the Issuer and the Subsidiaries identified in the following paragraph) that from time to time are obligors under or Guarantee any Credit Facility including, without limitation, the Existing Credit Facility.</w:t>
      </w:r>
    </w:p>
    <w:p>
      <w:pPr>
        <w:spacing w:after="0" w:line="143" w:lineRule="exact"/>
        <w:rPr>
          <w:sz w:val="20"/>
          <w:szCs w:val="20"/>
          <w:color w:val="auto"/>
        </w:rPr>
      </w:pPr>
    </w:p>
    <w:p>
      <w:pPr>
        <w:jc w:val="both"/>
        <w:ind w:left="1460" w:right="419"/>
        <w:spacing w:after="0" w:line="256" w:lineRule="auto"/>
        <w:rPr>
          <w:sz w:val="20"/>
          <w:szCs w:val="20"/>
          <w:color w:val="auto"/>
        </w:rPr>
      </w:pPr>
      <w:r>
        <w:rPr>
          <w:rFonts w:ascii="Times New Roman" w:cs="Times New Roman" w:eastAsia="Times New Roman" w:hAnsi="Times New Roman"/>
          <w:sz w:val="14"/>
          <w:szCs w:val="14"/>
          <w:color w:val="auto"/>
        </w:rPr>
        <w:t>The old notes are, and the new notes will be, Guaranteed by Parent and each of Parent’s Domestic Subsidiaries, (other than the Issuer, Crown Americas Capital Corp., Crown Americas Capital Corp. V and Crown Americas Capital Corp. VI). The Notes will not be Guaranteed by any of Parent’s Foreign Subsidiaries.</w:t>
      </w:r>
    </w:p>
    <w:p>
      <w:pPr>
        <w:spacing w:after="0" w:line="139" w:lineRule="exact"/>
        <w:rPr>
          <w:sz w:val="20"/>
          <w:szCs w:val="20"/>
          <w:color w:val="auto"/>
        </w:rPr>
      </w:pPr>
    </w:p>
    <w:p>
      <w:pPr>
        <w:ind w:left="1460" w:right="339"/>
        <w:spacing w:after="0" w:line="252" w:lineRule="auto"/>
        <w:rPr>
          <w:sz w:val="20"/>
          <w:szCs w:val="20"/>
          <w:color w:val="auto"/>
        </w:rPr>
      </w:pPr>
      <w:r>
        <w:rPr>
          <w:rFonts w:ascii="Times New Roman" w:cs="Times New Roman" w:eastAsia="Times New Roman" w:hAnsi="Times New Roman"/>
          <w:sz w:val="14"/>
          <w:szCs w:val="14"/>
          <w:color w:val="auto"/>
        </w:rPr>
        <w:t xml:space="preserve">Each Note Guarantee will be a senior obligation of the respective Guarantor,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Notes will be effectively subordinated to the obligations of non-Guarantor Subsidiaries.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Guarantors will Guarantee the Notes on the terms and conditions set forth in the Indenture.</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 Note Guarantee of a Guarantor (other than Parent) will be unconditionally released and discharged upon any of the following:</w:t>
      </w:r>
    </w:p>
    <w:p>
      <w:pPr>
        <w:spacing w:after="0" w:line="96" w:lineRule="exact"/>
        <w:rPr>
          <w:sz w:val="20"/>
          <w:szCs w:val="20"/>
          <w:color w:val="auto"/>
        </w:rPr>
      </w:pPr>
    </w:p>
    <w:p>
      <w:pPr>
        <w:ind w:left="1780" w:right="499" w:hanging="247"/>
        <w:spacing w:after="0" w:line="267"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63" w:lineRule="exact"/>
        <w:rPr>
          <w:rFonts w:ascii="Times New Roman" w:cs="Times New Roman" w:eastAsia="Times New Roman" w:hAnsi="Times New Roman"/>
          <w:sz w:val="14"/>
          <w:szCs w:val="14"/>
          <w:color w:val="auto"/>
        </w:rPr>
      </w:pPr>
    </w:p>
    <w:p>
      <w:pPr>
        <w:ind w:left="1780" w:right="539" w:hanging="247"/>
        <w:spacing w:after="0" w:line="252"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Guarantor is also released from all of its obligations in respect of Indebtedness under each Credit Facility;</w:t>
      </w:r>
    </w:p>
    <w:p>
      <w:pPr>
        <w:spacing w:after="0" w:line="74" w:lineRule="exact"/>
        <w:rPr>
          <w:rFonts w:ascii="Times New Roman" w:cs="Times New Roman" w:eastAsia="Times New Roman" w:hAnsi="Times New Roman"/>
          <w:sz w:val="14"/>
          <w:szCs w:val="14"/>
          <w:color w:val="auto"/>
        </w:rPr>
      </w:pPr>
    </w:p>
    <w:p>
      <w:pPr>
        <w:ind w:left="1780" w:right="519" w:hanging="247"/>
        <w:spacing w:after="0" w:line="256"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Covenants—Additional Note Guarantees”; 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459" w:hanging="247"/>
        <w:spacing w:after="0" w:line="267"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35" w:lineRule="exact"/>
        <w:rPr>
          <w:sz w:val="20"/>
          <w:szCs w:val="20"/>
          <w:color w:val="auto"/>
        </w:rPr>
      </w:pPr>
    </w:p>
    <w:p>
      <w:pPr>
        <w:ind w:left="1460" w:right="339"/>
        <w:spacing w:after="0" w:line="267" w:lineRule="auto"/>
        <w:rPr>
          <w:sz w:val="20"/>
          <w:szCs w:val="20"/>
          <w:color w:val="auto"/>
        </w:rPr>
      </w:pPr>
      <w:r>
        <w:rPr>
          <w:rFonts w:ascii="Times New Roman" w:cs="Times New Roman" w:eastAsia="Times New Roman" w:hAnsi="Times New Roman"/>
          <w:sz w:val="14"/>
          <w:szCs w:val="14"/>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35" w:lineRule="exact"/>
        <w:rPr>
          <w:sz w:val="20"/>
          <w:szCs w:val="20"/>
          <w:color w:val="auto"/>
        </w:rPr>
      </w:pPr>
    </w:p>
    <w:p>
      <w:pPr>
        <w:ind w:left="1460" w:right="339"/>
        <w:spacing w:after="0" w:line="247" w:lineRule="auto"/>
        <w:rPr>
          <w:sz w:val="20"/>
          <w:szCs w:val="20"/>
          <w:color w:val="auto"/>
        </w:rPr>
      </w:pPr>
      <w:r>
        <w:rPr>
          <w:rFonts w:ascii="Times New Roman" w:cs="Times New Roman" w:eastAsia="Times New Roman" w:hAnsi="Times New Roman"/>
          <w:sz w:val="14"/>
          <w:szCs w:val="14"/>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 the Trustee shall execute and deliver an instrument evidencing such release.</w:t>
      </w:r>
    </w:p>
    <w:p>
      <w:pPr>
        <w:spacing w:after="0" w:line="153" w:lineRule="exact"/>
        <w:rPr>
          <w:sz w:val="20"/>
          <w:szCs w:val="20"/>
          <w:color w:val="auto"/>
        </w:rPr>
      </w:pPr>
    </w:p>
    <w:p>
      <w:pPr>
        <w:jc w:val="both"/>
        <w:ind w:left="1460" w:right="459"/>
        <w:spacing w:after="0" w:line="256" w:lineRule="auto"/>
        <w:rPr>
          <w:sz w:val="20"/>
          <w:szCs w:val="20"/>
          <w:color w:val="auto"/>
        </w:rPr>
      </w:pPr>
      <w:r>
        <w:rPr>
          <w:rFonts w:ascii="Times New Roman" w:cs="Times New Roman" w:eastAsia="Times New Roman" w:hAnsi="Times New Roman"/>
          <w:sz w:val="14"/>
          <w:szCs w:val="14"/>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0" w:lineRule="exact"/>
        <w:rPr>
          <w:sz w:val="20"/>
          <w:szCs w:val="20"/>
          <w:color w:val="auto"/>
        </w:rPr>
      </w:pPr>
    </w:p>
    <w:p>
      <w:pPr>
        <w:ind w:left="1460" w:right="579" w:firstLine="335"/>
        <w:spacing w:after="0" w:line="256" w:lineRule="auto"/>
        <w:rPr>
          <w:sz w:val="20"/>
          <w:szCs w:val="20"/>
          <w:color w:val="auto"/>
        </w:rPr>
      </w:pPr>
      <w:r>
        <w:rPr>
          <w:rFonts w:ascii="Times New Roman" w:cs="Times New Roman" w:eastAsia="Times New Roman" w:hAnsi="Times New Roman"/>
          <w:sz w:val="14"/>
          <w:szCs w:val="14"/>
          <w:color w:val="auto"/>
        </w:rPr>
        <w:t>On or after June 1, 2028, the Issuer may redeem the Notes, at its option, in whole at any time or in part from time to time, at the following redemption prices, expressed as percentages of the principal amount thereof, plus accrued and unpaid interest, if any, to but excluding the applicable redemption date, if redeemed during the twelve-month period commencing on June 1 of any year set forth below:</w:t>
      </w:r>
    </w:p>
    <w:p>
      <w:pPr>
        <w:spacing w:after="0" w:line="157" w:lineRule="exact"/>
        <w:rPr>
          <w:sz w:val="20"/>
          <w:szCs w:val="20"/>
          <w:color w:val="auto"/>
        </w:rPr>
      </w:pPr>
    </w:p>
    <w:tbl>
      <w:tblPr>
        <w:tblLayout w:type="fixed"/>
        <w:tblInd w:w="2800" w:type="dxa"/>
        <w:tblCellMar>
          <w:top w:w="0" w:type="dxa"/>
          <w:left w:w="0" w:type="dxa"/>
          <w:bottom w:w="0" w:type="dxa"/>
          <w:right w:w="0" w:type="dxa"/>
        </w:tblCellMar>
      </w:tblPr>
      <w:tr>
        <w:trPr>
          <w:trHeight w:val="13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85"/>
              </w:rPr>
              <w:t>Year</w:t>
            </w:r>
          </w:p>
        </w:tc>
        <w:tc>
          <w:tcPr>
            <w:tcW w:w="48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5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020" w:type="dxa"/>
            <w:vAlign w:val="bottom"/>
            <w:gridSpan w:val="2"/>
            <w:vMerge w:val="continue"/>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102.938%</w:t>
            </w:r>
          </w:p>
        </w:tc>
        <w:tc>
          <w:tcPr>
            <w:tcW w:w="0" w:type="dxa"/>
            <w:vAlign w:val="bottom"/>
          </w:tcPr>
          <w:p>
            <w:pPr>
              <w:spacing w:after="0"/>
              <w:rPr>
                <w:sz w:val="1"/>
                <w:szCs w:val="1"/>
                <w:color w:val="auto"/>
              </w:rPr>
            </w:pPr>
          </w:p>
        </w:tc>
      </w:tr>
      <w:tr>
        <w:trPr>
          <w:trHeight w:val="164"/>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101.469%</w:t>
            </w:r>
          </w:p>
        </w:tc>
        <w:tc>
          <w:tcPr>
            <w:tcW w:w="0" w:type="dxa"/>
            <w:vAlign w:val="bottom"/>
          </w:tcPr>
          <w:p>
            <w:pPr>
              <w:spacing w:after="0"/>
              <w:rPr>
                <w:sz w:val="1"/>
                <w:szCs w:val="1"/>
                <w:color w:val="auto"/>
              </w:rPr>
            </w:pPr>
          </w:p>
        </w:tc>
      </w:tr>
      <w:tr>
        <w:trPr>
          <w:trHeight w:val="164"/>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 and thereafter</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460" w:right="479"/>
        <w:spacing w:after="0" w:line="250" w:lineRule="auto"/>
        <w:rPr>
          <w:sz w:val="20"/>
          <w:szCs w:val="20"/>
          <w:color w:val="auto"/>
        </w:rPr>
      </w:pPr>
      <w:r>
        <w:rPr>
          <w:rFonts w:ascii="Times New Roman" w:cs="Times New Roman" w:eastAsia="Times New Roman" w:hAnsi="Times New Roman"/>
          <w:sz w:val="14"/>
          <w:szCs w:val="14"/>
          <w:color w:val="auto"/>
        </w:rPr>
        <w:t>Prior to June 1, 2028, the Issuer may redeem the Notes, at its option, in whole at any time or in part from time to time, at a redemption price equal to 100% of the principal amount thereof, plus accrued and unpaid interest, if any, to but excluding the applicable redemption date, plus the Make-Whole Premium (a “Make-Whole Redemption”). The Indenture will provide that with respect to any such redemption the Issuer will notify the Trustee of the Make-Whole Premium with respect to the Notes promptly after the calculation and the Trustee will not be responsible for verifying or otherwise for such calculation. Any such redemption or notice may, at the Issuer’s discretion, be subject to one or more conditions precedent.</w:t>
      </w:r>
    </w:p>
    <w:p>
      <w:pPr>
        <w:spacing w:after="0" w:line="148" w:lineRule="exact"/>
        <w:rPr>
          <w:sz w:val="20"/>
          <w:szCs w:val="20"/>
          <w:color w:val="auto"/>
        </w:rPr>
      </w:pPr>
    </w:p>
    <w:p>
      <w:pPr>
        <w:ind w:left="1460" w:right="399"/>
        <w:spacing w:after="0" w:line="250" w:lineRule="auto"/>
        <w:rPr>
          <w:sz w:val="20"/>
          <w:szCs w:val="20"/>
          <w:color w:val="auto"/>
        </w:rPr>
      </w:pPr>
      <w:r>
        <w:rPr>
          <w:rFonts w:ascii="Times New Roman" w:cs="Times New Roman" w:eastAsia="Times New Roman" w:hAnsi="Times New Roman"/>
          <w:sz w:val="14"/>
          <w:szCs w:val="14"/>
          <w:color w:val="auto"/>
        </w:rPr>
        <w:t>Notwithstanding the foregoing, on or prior to June 1, 2028, the Issuer, on one or more occasions, may, at its option, redeem up to 40% in aggregate principal amount of Notes (including Additional Notes) originally issued under the Indenture at a redemption price equal to 105.875% of their principal amount, plus accrued and unpaid interest, if any, to but excluding the applicable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right="47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(1) at least 60% in aggregate principal amount of the Notes (including Additional Notes) originally issued under the Indenture remain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immediately after the occurrence of each such redemption and (2) such redemption occurs within 90 days of the date of the closing of any such Equity Offering.</w:t>
      </w:r>
    </w:p>
    <w:p>
      <w:pPr>
        <w:spacing w:after="0" w:line="1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Any such redemption or notice may, at the Issuer’s discretion, be subject to one or more conditions precedent.</w:t>
      </w:r>
    </w:p>
    <w:p>
      <w:pPr>
        <w:spacing w:after="0" w:line="168" w:lineRule="exact"/>
        <w:rPr>
          <w:sz w:val="20"/>
          <w:szCs w:val="20"/>
          <w:color w:val="auto"/>
        </w:rPr>
      </w:pPr>
    </w:p>
    <w:p>
      <w:pPr>
        <w:ind w:left="1460" w:right="419"/>
        <w:spacing w:after="0" w:line="306" w:lineRule="auto"/>
        <w:rPr>
          <w:sz w:val="20"/>
          <w:szCs w:val="20"/>
          <w:color w:val="auto"/>
        </w:rPr>
      </w:pPr>
      <w:r>
        <w:rPr>
          <w:rFonts w:ascii="Times New Roman" w:cs="Times New Roman" w:eastAsia="Times New Roman" w:hAnsi="Times New Roman"/>
          <w:sz w:val="13"/>
          <w:szCs w:val="13"/>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Selection and Notice Regarding Notes</w:t>
      </w:r>
    </w:p>
    <w:p>
      <w:pPr>
        <w:spacing w:after="0" w:line="90" w:lineRule="exact"/>
        <w:rPr>
          <w:sz w:val="20"/>
          <w:szCs w:val="20"/>
          <w:color w:val="auto"/>
        </w:rPr>
      </w:pPr>
    </w:p>
    <w:p>
      <w:pPr>
        <w:ind w:left="1460" w:right="359"/>
        <w:spacing w:after="0" w:line="247" w:lineRule="auto"/>
        <w:rPr>
          <w:sz w:val="20"/>
          <w:szCs w:val="20"/>
          <w:color w:val="auto"/>
        </w:rPr>
      </w:pPr>
      <w:r>
        <w:rPr>
          <w:rFonts w:ascii="Times New Roman" w:cs="Times New Roman" w:eastAsia="Times New Roman" w:hAnsi="Times New Roman"/>
          <w:sz w:val="14"/>
          <w:szCs w:val="14"/>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Times New Roman" w:cs="Times New Roman" w:eastAsia="Times New Roman" w:hAnsi="Times New Roman"/>
          <w:sz w:val="14"/>
          <w:szCs w:val="14"/>
          <w:i w:val="1"/>
          <w:iCs w:val="1"/>
          <w:color w:val="auto"/>
        </w:rPr>
        <w:t>pro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rata </w:t>
      </w:r>
      <w:r>
        <w:rPr>
          <w:rFonts w:ascii="Times New Roman" w:cs="Times New Roman" w:eastAsia="Times New Roman" w:hAnsi="Times New Roman"/>
          <w:sz w:val="14"/>
          <w:szCs w:val="14"/>
          <w:color w:val="auto"/>
        </w:rPr>
        <w:t>basis (or if the Notes are held through DTC (as defined below) and if the procedures of DTC at such time do not permit</w:t>
      </w:r>
      <w:r>
        <w:rPr>
          <w:rFonts w:ascii="Times New Roman" w:cs="Times New Roman" w:eastAsia="Times New Roman" w:hAnsi="Times New Roman"/>
          <w:sz w:val="14"/>
          <w:szCs w:val="14"/>
          <w:i w:val="1"/>
          <w:iCs w:val="1"/>
          <w:color w:val="auto"/>
        </w:rPr>
        <w:t xml:space="preserve"> pro rata </w:t>
      </w:r>
      <w:r>
        <w:rPr>
          <w:rFonts w:ascii="Times New Roman" w:cs="Times New Roman" w:eastAsia="Times New Roman" w:hAnsi="Times New Roman"/>
          <w:sz w:val="14"/>
          <w:szCs w:val="14"/>
          <w:color w:val="auto"/>
        </w:rPr>
        <w:t>redemptions, then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by lot or by such other method consistent with the procedures of DTC that the Trustee in its sole discretion deems fair and reasonable);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Notes with a principal amount of $2,000 or less shall be redeemed in part. Notice of redemption shall be mailed electronically or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52" w:lineRule="exact"/>
        <w:rPr>
          <w:sz w:val="20"/>
          <w:szCs w:val="20"/>
          <w:color w:val="auto"/>
        </w:rPr>
      </w:pPr>
    </w:p>
    <w:p>
      <w:pPr>
        <w:ind w:left="1460" w:right="639"/>
        <w:spacing w:after="0" w:line="267" w:lineRule="auto"/>
        <w:rPr>
          <w:sz w:val="20"/>
          <w:szCs w:val="20"/>
          <w:color w:val="auto"/>
        </w:rPr>
      </w:pPr>
      <w:r>
        <w:rPr>
          <w:rFonts w:ascii="Times New Roman" w:cs="Times New Roman" w:eastAsia="Times New Roman" w:hAnsi="Times New Roman"/>
          <w:sz w:val="14"/>
          <w:szCs w:val="14"/>
          <w:color w:val="auto"/>
        </w:rPr>
        <w:t>Any redemption and notice thereof pursuant to the Indenture may, in the Issuer’s discretion, be subject to the satisfaction of one or more conditions precedent.</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Mandatory Redemption</w:t>
      </w:r>
    </w:p>
    <w:p>
      <w:pPr>
        <w:spacing w:after="0" w:line="90" w:lineRule="exact"/>
        <w:rPr>
          <w:sz w:val="20"/>
          <w:szCs w:val="20"/>
          <w:color w:val="auto"/>
        </w:rPr>
      </w:pPr>
    </w:p>
    <w:p>
      <w:pPr>
        <w:ind w:left="1460" w:right="319"/>
        <w:spacing w:after="0" w:line="267" w:lineRule="auto"/>
        <w:rPr>
          <w:sz w:val="20"/>
          <w:szCs w:val="20"/>
          <w:color w:val="auto"/>
        </w:rPr>
      </w:pPr>
      <w:r>
        <w:rPr>
          <w:rFonts w:ascii="Times New Roman" w:cs="Times New Roman" w:eastAsia="Times New Roman" w:hAnsi="Times New Roman"/>
          <w:sz w:val="14"/>
          <w:szCs w:val="14"/>
          <w:color w:val="auto"/>
        </w:rPr>
        <w:t>Except as set forth below under “—Repurchase at the Option of Holders,” the Issuer are not required to make any mandatory redemption or sinking fund payments with respect to the Notes.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Repurchase at the Option of Holders</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Change of Control Repurchase Events</w:t>
      </w:r>
    </w:p>
    <w:p>
      <w:pPr>
        <w:spacing w:after="0" w:line="90" w:lineRule="exact"/>
        <w:rPr>
          <w:sz w:val="20"/>
          <w:szCs w:val="20"/>
          <w:color w:val="auto"/>
        </w:rPr>
      </w:pPr>
    </w:p>
    <w:p>
      <w:pPr>
        <w:ind w:left="1460" w:right="339"/>
        <w:spacing w:after="0" w:line="247" w:lineRule="auto"/>
        <w:rPr>
          <w:sz w:val="20"/>
          <w:szCs w:val="20"/>
          <w:color w:val="auto"/>
        </w:rPr>
      </w:pPr>
      <w:r>
        <w:rPr>
          <w:rFonts w:ascii="Times New Roman" w:cs="Times New Roman" w:eastAsia="Times New Roman" w:hAnsi="Times New Roman"/>
          <w:sz w:val="14"/>
          <w:szCs w:val="14"/>
          <w:color w:val="auto"/>
        </w:rPr>
        <w:t>Upon the occurrence of a Change of Control Repurchase Event, each Holder of Notes will have the right to require the Issuer to repurchase all or any part (equal to $2,000 or an integral multiple of $1,000 in excess thereof) of such Holder’s Notes pursuant to the offer described below (the “Change of Control Offer”) at an offer price in cash equal to 101% of their aggregate principal amount, plus accrued and unpaid interest, if any, thereon to but excluding the purchase date (the “Change of Control Payment”). Within 30 days following any Change of Control Repurchase Event or, at the Issuer’s option, prior to the consummation of such Change of Control Repurchase Event but after the public announcement thereof, the Issuer will mail a notice to each Holder describing the transaction or transactions that constitute the Change of Control Repurchase Event and offering to repurchase Notes on the purchase date specified in such notice (which must be no earlier than 30 days nor later than 60 days from the date such notice is mailed, other than as required by law) (the “</w:t>
      </w:r>
      <w:r>
        <w:rPr>
          <w:rFonts w:ascii="Times New Roman" w:cs="Times New Roman" w:eastAsia="Times New Roman" w:hAnsi="Times New Roman"/>
          <w:sz w:val="14"/>
          <w:szCs w:val="14"/>
          <w:i w:val="1"/>
          <w:iCs w:val="1"/>
          <w:color w:val="auto"/>
        </w:rPr>
        <w:t>Change of Control Payment Date</w:t>
      </w:r>
      <w:r>
        <w:rPr>
          <w:rFonts w:ascii="Times New Roman" w:cs="Times New Roman" w:eastAsia="Times New Roman" w:hAnsi="Times New Roman"/>
          <w:sz w:val="14"/>
          <w:szCs w:val="14"/>
          <w:color w:val="auto"/>
        </w:rPr>
        <w:t>”) pursuant to the procedures required by the Indenture and described in such notice. Such obligation will not continue after a discharge of the Issuer or defeasance from their obligations with respect to the Notes. See “—Legal Defeasance and Covenant Defeasance.”</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On the Change of Control Payment Date, the Issuer will, to the extent lawful:</w:t>
      </w:r>
    </w:p>
    <w:p>
      <w:pPr>
        <w:spacing w:after="0" w:line="96" w:lineRule="exact"/>
        <w:rPr>
          <w:sz w:val="20"/>
          <w:szCs w:val="20"/>
          <w:color w:val="auto"/>
        </w:rPr>
      </w:pPr>
    </w:p>
    <w:p>
      <w:pPr>
        <w:ind w:left="1780" w:right="719" w:hanging="329"/>
        <w:spacing w:after="0" w:line="267"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thereof (in minimum amounts of $2,000 or an integral multiple of $1,000 in excess thereof) validly tendered and not validly withdrawn pursuant to the Change of Control Offer;</w:t>
      </w:r>
    </w:p>
    <w:p>
      <w:pPr>
        <w:spacing w:after="0" w:line="63" w:lineRule="exact"/>
        <w:rPr>
          <w:rFonts w:ascii="Times New Roman" w:cs="Times New Roman" w:eastAsia="Times New Roman" w:hAnsi="Times New Roman"/>
          <w:sz w:val="14"/>
          <w:szCs w:val="14"/>
          <w:color w:val="auto"/>
        </w:rPr>
      </w:pPr>
    </w:p>
    <w:p>
      <w:pPr>
        <w:ind w:left="1780" w:right="719" w:hanging="329"/>
        <w:spacing w:after="0" w:line="267"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in U.S. Dollars equal to the Change of Control Payment in respect of all Notes or portions thereof properly tendered; and</w:t>
      </w:r>
    </w:p>
    <w:p>
      <w:pPr>
        <w:spacing w:after="0" w:line="63" w:lineRule="exact"/>
        <w:rPr>
          <w:rFonts w:ascii="Times New Roman" w:cs="Times New Roman" w:eastAsia="Times New Roman" w:hAnsi="Times New Roman"/>
          <w:sz w:val="14"/>
          <w:szCs w:val="14"/>
          <w:color w:val="auto"/>
        </w:rPr>
      </w:pPr>
    </w:p>
    <w:p>
      <w:pPr>
        <w:ind w:left="1780" w:right="419" w:hanging="329"/>
        <w:spacing w:after="0" w:line="267"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all Notes so accepted together with an officers’ certificate stating the aggregate principal amount of Notes (or portions thereof) being purchased by the Issuer.</w:t>
      </w:r>
    </w:p>
    <w:p>
      <w:pPr>
        <w:spacing w:after="0" w:line="135"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such new Note will be in a principal amount of $2,000 or an integral multiple of $1,000 in excess thereof. The Issuer will publicly announce the results of the Change of Control Offer on or as soon as practicable after the Change of Control Payment Date.</w:t>
      </w:r>
    </w:p>
    <w:p>
      <w:pPr>
        <w:spacing w:after="0" w:line="148" w:lineRule="exact"/>
        <w:rPr>
          <w:sz w:val="20"/>
          <w:szCs w:val="20"/>
          <w:color w:val="auto"/>
        </w:rPr>
      </w:pPr>
    </w:p>
    <w:p>
      <w:pPr>
        <w:ind w:left="1460" w:right="419"/>
        <w:spacing w:after="0" w:line="252" w:lineRule="auto"/>
        <w:rPr>
          <w:sz w:val="20"/>
          <w:szCs w:val="20"/>
          <w:color w:val="auto"/>
        </w:rPr>
      </w:pPr>
      <w:r>
        <w:rPr>
          <w:rFonts w:ascii="Times New Roman" w:cs="Times New Roman" w:eastAsia="Times New Roman" w:hAnsi="Times New Roman"/>
          <w:sz w:val="14"/>
          <w:szCs w:val="14"/>
          <w:color w:val="auto"/>
        </w:rPr>
        <w:t>The Issuer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will comply with the applicable securities laws and regulations and will not be deemed to have breached its obligations under this covenant by virtue thereof.</w:t>
      </w:r>
    </w:p>
    <w:p>
      <w:pPr>
        <w:spacing w:after="0" w:line="146" w:lineRule="exact"/>
        <w:rPr>
          <w:sz w:val="20"/>
          <w:szCs w:val="20"/>
          <w:color w:val="auto"/>
        </w:rPr>
      </w:pPr>
    </w:p>
    <w:p>
      <w:pPr>
        <w:ind w:left="1460" w:right="499"/>
        <w:spacing w:after="0" w:line="256" w:lineRule="auto"/>
        <w:rPr>
          <w:sz w:val="20"/>
          <w:szCs w:val="20"/>
          <w:color w:val="auto"/>
        </w:rPr>
      </w:pPr>
      <w:r>
        <w:rPr>
          <w:rFonts w:ascii="Times New Roman" w:cs="Times New Roman" w:eastAsia="Times New Roman" w:hAnsi="Times New Roman"/>
          <w:sz w:val="14"/>
          <w:szCs w:val="14"/>
          <w:color w:val="auto"/>
        </w:rPr>
        <w:t>Except as described above with respect to a Change of Control Repurchase Event, the Indenture will not contain provisions that permit the Holders of the Notes to require that the Issuer repurchase or redeem the Notes in the event of a takeover, recapitalization or similar transaction with respect to Parent or the Issuer.</w:t>
      </w:r>
    </w:p>
    <w:p>
      <w:pPr>
        <w:spacing w:after="0" w:line="143" w:lineRule="exact"/>
        <w:rPr>
          <w:sz w:val="20"/>
          <w:szCs w:val="20"/>
          <w:color w:val="auto"/>
        </w:rPr>
      </w:pPr>
    </w:p>
    <w:p>
      <w:pPr>
        <w:ind w:left="1460" w:right="379"/>
        <w:spacing w:after="0" w:line="248" w:lineRule="auto"/>
        <w:rPr>
          <w:sz w:val="20"/>
          <w:szCs w:val="20"/>
          <w:color w:val="auto"/>
        </w:rPr>
      </w:pPr>
      <w:r>
        <w:rPr>
          <w:rFonts w:ascii="Times New Roman" w:cs="Times New Roman" w:eastAsia="Times New Roman" w:hAnsi="Times New Roman"/>
          <w:sz w:val="14"/>
          <w:szCs w:val="14"/>
          <w:color w:val="auto"/>
        </w:rPr>
        <w:t>The Issuer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 and purchases all Notes validly tendered and not withdrawn under such Change of Control Offer or (2) 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49" w:lineRule="exact"/>
        <w:rPr>
          <w:sz w:val="20"/>
          <w:szCs w:val="20"/>
          <w:color w:val="auto"/>
        </w:rPr>
      </w:pPr>
    </w:p>
    <w:p>
      <w:pPr>
        <w:ind w:left="1460" w:right="399"/>
        <w:spacing w:after="0" w:line="247" w:lineRule="auto"/>
        <w:rPr>
          <w:sz w:val="20"/>
          <w:szCs w:val="20"/>
          <w:color w:val="auto"/>
        </w:rPr>
      </w:pPr>
      <w:r>
        <w:rPr>
          <w:rFonts w:ascii="Times New Roman" w:cs="Times New Roman" w:eastAsia="Times New Roman" w:hAnsi="Times New Roman"/>
          <w:sz w:val="14"/>
          <w:szCs w:val="14"/>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 to repurchase the Notes could cause a default under the Existing Credit Facility and/or such Indebtedness, even if the Change of Control Repurchase Event itself does not. Finally, the Issuer’s ability to pay cash to the Holders of Notes following the occurrence of a Change of Control Repurchase Event may be limited by its then-existing financial resources. There can be no assurance that sufficient funds will be available when necessary to make any required repurchases and there can be no assurance that the Issuer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49" w:lineRule="auto"/>
        <w:rPr>
          <w:sz w:val="20"/>
          <w:szCs w:val="20"/>
          <w:color w:val="auto"/>
        </w:rPr>
      </w:pPr>
      <w:r>
        <w:rPr>
          <w:rFonts w:ascii="Times New Roman" w:cs="Times New Roman" w:eastAsia="Times New Roman" w:hAnsi="Times New Roman"/>
          <w:sz w:val="14"/>
          <w:szCs w:val="14"/>
          <w:color w:val="auto"/>
        </w:rPr>
        <w:t>The existence of a Holder’s right to require the Issuer to make a Change of Control Offer upon a Change of Control Repurchase Event may deter a third party from acquiring Parent or the Issuer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transfer of less than all of the assets of Parent and its Subsidiaries taken as a whole to another Person may be uncertain.</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Set forth below are summaries of certain covenants contained in the Indenture:</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90" w:lineRule="exact"/>
        <w:rPr>
          <w:sz w:val="20"/>
          <w:szCs w:val="20"/>
          <w:color w:val="auto"/>
        </w:rPr>
      </w:pPr>
    </w:p>
    <w:p>
      <w:pPr>
        <w:ind w:left="1460" w:right="319"/>
        <w:spacing w:after="0" w:line="248" w:lineRule="auto"/>
        <w:rPr>
          <w:sz w:val="20"/>
          <w:szCs w:val="20"/>
          <w:color w:val="auto"/>
        </w:rPr>
      </w:pPr>
      <w:r>
        <w:rPr>
          <w:rFonts w:ascii="Times New Roman" w:cs="Times New Roman" w:eastAsia="Times New Roman" w:hAnsi="Times New Roman"/>
          <w:sz w:val="14"/>
          <w:szCs w:val="14"/>
          <w:color w:val="auto"/>
        </w:rPr>
        <w:t>The Indenture provides that Parent will not, nor will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“Permitted Liens” means</w:t>
      </w:r>
    </w:p>
    <w:p>
      <w:pPr>
        <w:spacing w:after="0" w:line="96" w:lineRule="exact"/>
        <w:rPr>
          <w:sz w:val="20"/>
          <w:szCs w:val="20"/>
          <w:color w:val="auto"/>
        </w:rPr>
      </w:pPr>
    </w:p>
    <w:p>
      <w:pPr>
        <w:ind w:left="1780" w:right="339" w:hanging="329"/>
        <w:spacing w:after="0" w:line="250"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76" w:lineRule="exact"/>
        <w:rPr>
          <w:rFonts w:ascii="Times New Roman" w:cs="Times New Roman" w:eastAsia="Times New Roman" w:hAnsi="Times New Roman"/>
          <w:sz w:val="14"/>
          <w:szCs w:val="14"/>
          <w:color w:val="auto"/>
        </w:rPr>
      </w:pPr>
    </w:p>
    <w:p>
      <w:pPr>
        <w:ind w:left="1780" w:right="339" w:hanging="329"/>
        <w:spacing w:after="0" w:line="249"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each case (a) 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w:t>
      </w:r>
    </w:p>
    <w:p>
      <w:pPr>
        <w:spacing w:after="0" w:line="76"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in favor of Parent and/or one or more of its Subsidiaries;</w:t>
      </w:r>
    </w:p>
    <w:p>
      <w:pPr>
        <w:spacing w:after="0" w:line="95" w:lineRule="exact"/>
        <w:rPr>
          <w:rFonts w:ascii="Times New Roman" w:cs="Times New Roman" w:eastAsia="Times New Roman" w:hAnsi="Times New Roman"/>
          <w:sz w:val="14"/>
          <w:szCs w:val="14"/>
          <w:color w:val="auto"/>
        </w:rPr>
      </w:pPr>
    </w:p>
    <w:p>
      <w:pPr>
        <w:ind w:left="1780" w:right="339" w:hanging="329"/>
        <w:spacing w:after="0" w:line="256"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70" w:lineRule="exact"/>
        <w:rPr>
          <w:rFonts w:ascii="Times New Roman" w:cs="Times New Roman" w:eastAsia="Times New Roman" w:hAnsi="Times New Roman"/>
          <w:sz w:val="14"/>
          <w:szCs w:val="14"/>
          <w:color w:val="auto"/>
        </w:rPr>
      </w:pPr>
    </w:p>
    <w:p>
      <w:pPr>
        <w:ind w:left="1780" w:right="399" w:hanging="329"/>
        <w:spacing w:after="0" w:line="285" w:lineRule="auto"/>
        <w:tabs>
          <w:tab w:leader="none" w:pos="17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53" w:lineRule="exact"/>
        <w:rPr>
          <w:rFonts w:ascii="Times New Roman" w:cs="Times New Roman" w:eastAsia="Times New Roman" w:hAnsi="Times New Roman"/>
          <w:sz w:val="13"/>
          <w:szCs w:val="13"/>
          <w:color w:val="auto"/>
        </w:rPr>
      </w:pPr>
    </w:p>
    <w:p>
      <w:pPr>
        <w:ind w:left="1780" w:hanging="329"/>
        <w:spacing w:after="0"/>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date of the Indenture;</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19" w:hanging="329"/>
        <w:spacing w:after="0" w:line="248"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78" w:lineRule="exact"/>
        <w:rPr>
          <w:rFonts w:ascii="Times New Roman" w:cs="Times New Roman" w:eastAsia="Times New Roman" w:hAnsi="Times New Roman"/>
          <w:sz w:val="14"/>
          <w:szCs w:val="14"/>
          <w:color w:val="auto"/>
        </w:rPr>
      </w:pPr>
    </w:p>
    <w:p>
      <w:pPr>
        <w:ind w:left="1780" w:right="339" w:hanging="329"/>
        <w:spacing w:after="0" w:line="256"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70" w:lineRule="exact"/>
        <w:rPr>
          <w:rFonts w:ascii="Times New Roman" w:cs="Times New Roman" w:eastAsia="Times New Roman" w:hAnsi="Times New Roman"/>
          <w:sz w:val="14"/>
          <w:szCs w:val="14"/>
          <w:color w:val="auto"/>
        </w:rPr>
      </w:pPr>
    </w:p>
    <w:p>
      <w:pPr>
        <w:ind w:left="1780" w:right="559" w:hanging="329"/>
        <w:spacing w:after="0" w:line="267"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3" w:lineRule="exact"/>
        <w:rPr>
          <w:rFonts w:ascii="Times New Roman" w:cs="Times New Roman" w:eastAsia="Times New Roman" w:hAnsi="Times New Roman"/>
          <w:sz w:val="14"/>
          <w:szCs w:val="14"/>
          <w:color w:val="auto"/>
        </w:rPr>
      </w:pPr>
    </w:p>
    <w:p>
      <w:pPr>
        <w:ind w:left="1780" w:right="339" w:hanging="329"/>
        <w:spacing w:after="0" w:line="267"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63"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or sales of receivables;</w:t>
      </w:r>
    </w:p>
    <w:p>
      <w:pPr>
        <w:spacing w:after="0" w:line="95" w:lineRule="exact"/>
        <w:rPr>
          <w:rFonts w:ascii="Times New Roman" w:cs="Times New Roman" w:eastAsia="Times New Roman" w:hAnsi="Times New Roman"/>
          <w:sz w:val="14"/>
          <w:szCs w:val="14"/>
          <w:color w:val="auto"/>
        </w:rPr>
      </w:pPr>
    </w:p>
    <w:p>
      <w:pPr>
        <w:ind w:left="1780" w:right="339" w:hanging="329"/>
        <w:spacing w:after="0" w:line="248"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to the application of the proceeds therefrom), taken together with the amount of all Attributable Debt of Parent and its Restricted 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Times New Roman" w:cs="Times New Roman" w:eastAsia="Times New Roman" w:hAnsi="Times New Roman"/>
          <w:sz w:val="14"/>
          <w:szCs w:val="14"/>
          <w:i w:val="1"/>
          <w:iCs w:val="1"/>
          <w:color w:val="auto"/>
        </w:rPr>
        <w:t>pro forma</w:t>
      </w:r>
      <w:r>
        <w:rPr>
          <w:rFonts w:ascii="Times New Roman" w:cs="Times New Roman" w:eastAsia="Times New Roman" w:hAnsi="Times New Roman"/>
          <w:sz w:val="14"/>
          <w:szCs w:val="14"/>
          <w:color w:val="auto"/>
        </w:rPr>
        <w:t xml:space="preserve"> effect to the application of the proceeds therefrom and any transaction in connection with which such Indebtedness is being incurred);</w:t>
      </w:r>
    </w:p>
    <w:p>
      <w:pPr>
        <w:spacing w:after="0" w:line="77" w:lineRule="exact"/>
        <w:rPr>
          <w:rFonts w:ascii="Times New Roman" w:cs="Times New Roman" w:eastAsia="Times New Roman" w:hAnsi="Times New Roman"/>
          <w:sz w:val="14"/>
          <w:szCs w:val="14"/>
          <w:color w:val="auto"/>
        </w:rPr>
      </w:pPr>
    </w:p>
    <w:p>
      <w:pPr>
        <w:jc w:val="both"/>
        <w:ind w:left="1780" w:right="559" w:hanging="329"/>
        <w:spacing w:after="0" w:line="256"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70" w:lineRule="exact"/>
        <w:rPr>
          <w:rFonts w:ascii="Times New Roman" w:cs="Times New Roman" w:eastAsia="Times New Roman" w:hAnsi="Times New Roman"/>
          <w:sz w:val="14"/>
          <w:szCs w:val="14"/>
          <w:color w:val="auto"/>
        </w:rPr>
      </w:pPr>
    </w:p>
    <w:p>
      <w:pPr>
        <w:ind w:left="1780" w:right="559" w:hanging="329"/>
        <w:spacing w:after="0" w:line="256"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reserve or other appropriate provision as shall be required in conformity with GAAP shall have been made therefor;</w:t>
      </w:r>
    </w:p>
    <w:p>
      <w:pPr>
        <w:spacing w:after="0" w:line="70" w:lineRule="exact"/>
        <w:rPr>
          <w:rFonts w:ascii="Times New Roman" w:cs="Times New Roman" w:eastAsia="Times New Roman" w:hAnsi="Times New Roman"/>
          <w:sz w:val="14"/>
          <w:szCs w:val="14"/>
          <w:color w:val="auto"/>
        </w:rPr>
      </w:pPr>
    </w:p>
    <w:p>
      <w:pPr>
        <w:ind w:left="1780" w:right="339" w:hanging="329"/>
        <w:spacing w:after="0" w:line="249"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6" w:lineRule="exact"/>
        <w:rPr>
          <w:rFonts w:ascii="Times New Roman" w:cs="Times New Roman" w:eastAsia="Times New Roman" w:hAnsi="Times New Roman"/>
          <w:sz w:val="14"/>
          <w:szCs w:val="14"/>
          <w:color w:val="auto"/>
        </w:rPr>
      </w:pPr>
    </w:p>
    <w:p>
      <w:pPr>
        <w:ind w:left="1780" w:right="859" w:hanging="329"/>
        <w:spacing w:after="0" w:line="267"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the form of pledges or deposits securing bids, tenders, contracts (other than contracts for the payment of Indebtedness) or leases, warranties, statutory or regulatory obligations or self-insurance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419"/>
        <w:spacing w:after="0" w:line="267" w:lineRule="auto"/>
        <w:rPr>
          <w:sz w:val="20"/>
          <w:szCs w:val="20"/>
          <w:color w:val="auto"/>
        </w:rPr>
      </w:pPr>
      <w:r>
        <w:rPr>
          <w:rFonts w:ascii="Times New Roman" w:cs="Times New Roman" w:eastAsia="Times New Roman" w:hAnsi="Times New Roman"/>
          <w:sz w:val="14"/>
          <w:szCs w:val="14"/>
          <w:color w:val="auto"/>
        </w:rPr>
        <w:t>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63" w:lineRule="exact"/>
        <w:rPr>
          <w:sz w:val="20"/>
          <w:szCs w:val="20"/>
          <w:color w:val="auto"/>
        </w:rPr>
      </w:pPr>
    </w:p>
    <w:p>
      <w:pPr>
        <w:ind w:left="1780" w:right="439" w:hanging="329"/>
        <w:spacing w:after="0" w:line="267"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Hedging Obligations not entered into for speculative purposes or securing letters of credit that support such Hedging Obligations; and</w:t>
      </w:r>
    </w:p>
    <w:p>
      <w:pPr>
        <w:spacing w:after="0" w:line="63" w:lineRule="exact"/>
        <w:rPr>
          <w:rFonts w:ascii="Times New Roman" w:cs="Times New Roman" w:eastAsia="Times New Roman" w:hAnsi="Times New Roman"/>
          <w:sz w:val="14"/>
          <w:szCs w:val="14"/>
          <w:color w:val="auto"/>
        </w:rPr>
      </w:pPr>
    </w:p>
    <w:p>
      <w:pPr>
        <w:ind w:left="1780" w:right="459" w:hanging="329"/>
        <w:spacing w:after="0" w:line="267"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resulting from operation of law with respect to any judgments, awards or orders to the extent that such judgments, awards or orders do not cause or constitute a Default under the Indenture.</w:t>
      </w:r>
    </w:p>
    <w:p>
      <w:pPr>
        <w:spacing w:after="0" w:line="135" w:lineRule="exact"/>
        <w:rPr>
          <w:sz w:val="20"/>
          <w:szCs w:val="20"/>
          <w:color w:val="auto"/>
        </w:rPr>
      </w:pPr>
    </w:p>
    <w:p>
      <w:pPr>
        <w:ind w:left="1460" w:right="339"/>
        <w:spacing w:after="0" w:line="278" w:lineRule="auto"/>
        <w:rPr>
          <w:sz w:val="20"/>
          <w:szCs w:val="20"/>
          <w:color w:val="auto"/>
        </w:rPr>
      </w:pPr>
      <w:r>
        <w:rPr>
          <w:rFonts w:ascii="Times New Roman" w:cs="Times New Roman" w:eastAsia="Times New Roman" w:hAnsi="Times New Roman"/>
          <w:sz w:val="13"/>
          <w:szCs w:val="13"/>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90" w:lineRule="exact"/>
        <w:rPr>
          <w:sz w:val="20"/>
          <w:szCs w:val="20"/>
          <w:color w:val="auto"/>
        </w:rPr>
      </w:pPr>
    </w:p>
    <w:p>
      <w:pPr>
        <w:ind w:left="1460" w:right="379"/>
        <w:spacing w:after="0" w:line="274" w:lineRule="auto"/>
        <w:rPr>
          <w:sz w:val="20"/>
          <w:szCs w:val="20"/>
          <w:color w:val="auto"/>
        </w:rPr>
      </w:pPr>
      <w:r>
        <w:rPr>
          <w:rFonts w:ascii="Times New Roman" w:cs="Times New Roman" w:eastAsia="Times New Roman" w:hAnsi="Times New Roman"/>
          <w:sz w:val="13"/>
          <w:szCs w:val="13"/>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cs="Times New Roman" w:eastAsia="Times New Roman" w:hAnsi="Times New Roman"/>
          <w:sz w:val="13"/>
          <w:szCs w:val="13"/>
          <w:i w:val="1"/>
          <w:iCs w:val="1"/>
          <w:color w:val="auto"/>
        </w:rPr>
        <w:t>Sale and Leaseback Transaction</w:t>
      </w:r>
      <w:r>
        <w:rPr>
          <w:rFonts w:ascii="Times New Roman" w:cs="Times New Roman" w:eastAsia="Times New Roman" w:hAnsi="Times New Roman"/>
          <w:sz w:val="13"/>
          <w:szCs w:val="13"/>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In addition, the following Sale and Leaseback Transactions are not subject to the limitation above and the provisions described in “—Limitation on</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Liens” above:</w:t>
      </w:r>
    </w:p>
    <w:p>
      <w:pPr>
        <w:spacing w:after="0" w:line="84" w:lineRule="exact"/>
        <w:rPr>
          <w:sz w:val="20"/>
          <w:szCs w:val="20"/>
          <w:color w:val="auto"/>
        </w:rPr>
      </w:pPr>
    </w:p>
    <w:p>
      <w:pPr>
        <w:ind w:left="1780" w:hanging="329"/>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leases for a term, including renewals at the option of the lessee, of not more than three years;</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between only Parent and a Restricted Subsidiary of Parent or only between Restricted Subsidiaries of Parent;</w:t>
      </w:r>
    </w:p>
    <w:p>
      <w:pPr>
        <w:spacing w:after="0" w:line="95" w:lineRule="exact"/>
        <w:rPr>
          <w:rFonts w:ascii="Times New Roman" w:cs="Times New Roman" w:eastAsia="Times New Roman" w:hAnsi="Times New Roman"/>
          <w:sz w:val="14"/>
          <w:szCs w:val="14"/>
          <w:color w:val="auto"/>
        </w:rPr>
      </w:pPr>
    </w:p>
    <w:p>
      <w:pPr>
        <w:ind w:left="1780" w:right="339" w:hanging="329"/>
        <w:spacing w:after="0" w:line="250"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lieu of applying such amount to the retirement of long-term Indebtedness, Parent may deliver Notes to the trustee for cancellation; and</w:t>
      </w:r>
    </w:p>
    <w:p>
      <w:pPr>
        <w:spacing w:after="0" w:line="76" w:lineRule="exact"/>
        <w:rPr>
          <w:rFonts w:ascii="Times New Roman" w:cs="Times New Roman" w:eastAsia="Times New Roman" w:hAnsi="Times New Roman"/>
          <w:sz w:val="14"/>
          <w:szCs w:val="14"/>
          <w:color w:val="auto"/>
        </w:rPr>
      </w:pPr>
    </w:p>
    <w:p>
      <w:pPr>
        <w:ind w:left="1780" w:right="599" w:hanging="329"/>
        <w:spacing w:after="0" w:line="267"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Merger, Consolidation or Sale of Assets</w:t>
      </w:r>
    </w:p>
    <w:p>
      <w:pPr>
        <w:spacing w:after="0" w:line="90" w:lineRule="exact"/>
        <w:rPr>
          <w:sz w:val="20"/>
          <w:szCs w:val="20"/>
          <w:color w:val="auto"/>
        </w:rPr>
      </w:pPr>
    </w:p>
    <w:p>
      <w:pPr>
        <w:ind w:left="1460" w:right="379"/>
        <w:spacing w:after="0" w:line="252" w:lineRule="auto"/>
        <w:rPr>
          <w:sz w:val="20"/>
          <w:szCs w:val="20"/>
          <w:color w:val="auto"/>
        </w:rPr>
      </w:pPr>
      <w:r>
        <w:rPr>
          <w:rFonts w:ascii="Times New Roman" w:cs="Times New Roman" w:eastAsia="Times New Roman" w:hAnsi="Times New Roman"/>
          <w:sz w:val="14"/>
          <w:szCs w:val="14"/>
          <w:color w:val="auto"/>
        </w:rPr>
        <w:t>The Indenture provides that (i) neither Parent nor the Issuer will consolidate or merge with or into any other Person or Transfer all or substantially all of the properties or assets of Parent and its Subsidiaries, taken as a whole and (ii) neither Parent nor the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4" w:lineRule="exact"/>
        <w:rPr>
          <w:sz w:val="20"/>
          <w:szCs w:val="20"/>
          <w:color w:val="auto"/>
        </w:rPr>
      </w:pPr>
    </w:p>
    <w:p>
      <w:pPr>
        <w:ind w:left="1780" w:hanging="329"/>
        <w:spacing w:after="0"/>
        <w:tabs>
          <w:tab w:leader="none" w:pos="17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merger, consolidation or Transfer involving Parent, Parent is the surviving corporation or the Person formed by or surviving any</w:t>
      </w:r>
    </w:p>
    <w:p>
      <w:pPr>
        <w:spacing w:after="0" w:line="27" w:lineRule="exact"/>
        <w:rPr>
          <w:sz w:val="20"/>
          <w:szCs w:val="20"/>
          <w:color w:val="auto"/>
        </w:rPr>
      </w:pPr>
    </w:p>
    <w:p>
      <w:pPr>
        <w:ind w:left="1780" w:right="419" w:hanging="329"/>
        <w:spacing w:after="0" w:line="250"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consolidation or merger (if other than Parent) or to which such Transfer has been made is a corporation organized or existing under the laws of the United States, any State thereof or the District of Columbia, and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99" w:hanging="329"/>
        <w:spacing w:after="0" w:line="256" w:lineRule="auto"/>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71" w:lineRule="exact"/>
        <w:rPr>
          <w:sz w:val="20"/>
          <w:szCs w:val="20"/>
          <w:color w:val="auto"/>
        </w:rPr>
      </w:pPr>
    </w:p>
    <w:p>
      <w:pPr>
        <w:ind w:left="1780" w:right="399" w:hanging="329"/>
        <w:spacing w:after="0" w:line="256"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the Indenture and the Registration Rights Agreement pursuant to a supplemental indenture or amendment of the relevant documents; and</w:t>
      </w:r>
    </w:p>
    <w:p>
      <w:pPr>
        <w:spacing w:after="0" w:line="70"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transaction, no Default or Event of Default exists.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Notwithstanding the foregoing, none of the following shall be permitted:</w:t>
      </w:r>
    </w:p>
    <w:p>
      <w:pPr>
        <w:spacing w:after="0" w:line="96" w:lineRule="exact"/>
        <w:rPr>
          <w:sz w:val="20"/>
          <w:szCs w:val="20"/>
          <w:color w:val="auto"/>
        </w:rPr>
      </w:pPr>
    </w:p>
    <w:p>
      <w:pPr>
        <w:ind w:left="1780" w:right="439" w:hanging="247"/>
        <w:spacing w:after="0" w:line="267" w:lineRule="auto"/>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63" w:lineRule="exact"/>
        <w:rPr>
          <w:rFonts w:ascii="Times New Roman" w:cs="Times New Roman" w:eastAsia="Times New Roman" w:hAnsi="Times New Roman"/>
          <w:sz w:val="14"/>
          <w:szCs w:val="14"/>
          <w:color w:val="auto"/>
        </w:rPr>
      </w:pPr>
    </w:p>
    <w:p>
      <w:pPr>
        <w:ind w:left="1780" w:right="439" w:hanging="247"/>
        <w:spacing w:after="0" w:line="267" w:lineRule="auto"/>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all or substantially all of the property or assets of Crown and its Subsidiaries, taken as a whole, to Crown, other than any Transfer to a Subsidiary of Crown; and</w:t>
      </w:r>
    </w:p>
    <w:p>
      <w:pPr>
        <w:spacing w:after="0" w:line="63" w:lineRule="exact"/>
        <w:rPr>
          <w:rFonts w:ascii="Times New Roman" w:cs="Times New Roman" w:eastAsia="Times New Roman" w:hAnsi="Times New Roman"/>
          <w:sz w:val="14"/>
          <w:szCs w:val="14"/>
          <w:color w:val="auto"/>
        </w:rPr>
      </w:pPr>
    </w:p>
    <w:p>
      <w:pPr>
        <w:ind w:left="1780" w:right="819" w:hanging="247"/>
        <w:spacing w:after="0" w:line="306" w:lineRule="auto"/>
        <w:tabs>
          <w:tab w:leader="none" w:pos="17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foregoing will not prohibit:</w:t>
      </w:r>
    </w:p>
    <w:p>
      <w:pPr>
        <w:spacing w:after="0" w:line="96" w:lineRule="exact"/>
        <w:rPr>
          <w:sz w:val="20"/>
          <w:szCs w:val="20"/>
          <w:color w:val="auto"/>
        </w:rPr>
      </w:pPr>
    </w:p>
    <w:p>
      <w:pPr>
        <w:ind w:left="1780" w:hanging="247"/>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consolidation or merger between the Issuer and a Guarantor other than Crown;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consolidation or merger between a Guarantor and any other Guarantor other than Crown;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consolidation or merger between a Subsidiary (other than the Issuer) that is not a Guarantor and any other Subsidiary other than Crown;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consolidation or merger of Parent with or into an affiliate for the purposes of reincorporating Parent in another jurisdiction;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all or substantially all of the properties or assets of a Guarantor to the Issuer and/or any other Guarantor other than Crown; or</w:t>
      </w:r>
    </w:p>
    <w:p>
      <w:pPr>
        <w:spacing w:after="0" w:line="95" w:lineRule="exact"/>
        <w:rPr>
          <w:rFonts w:ascii="Times New Roman" w:cs="Times New Roman" w:eastAsia="Times New Roman" w:hAnsi="Times New Roman"/>
          <w:sz w:val="14"/>
          <w:szCs w:val="14"/>
          <w:color w:val="auto"/>
        </w:rPr>
      </w:pPr>
    </w:p>
    <w:p>
      <w:pPr>
        <w:ind w:left="1780" w:right="859" w:hanging="247"/>
        <w:spacing w:after="0" w:line="267"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of all or substantially all of the properties or assets of a Subsidiary (other than the Issuer) that is not a Guarantor to any other Subsidiary other than Crown;</w:t>
      </w:r>
    </w:p>
    <w:p>
      <w:pPr>
        <w:spacing w:after="0" w:line="135" w:lineRule="exact"/>
        <w:rPr>
          <w:sz w:val="20"/>
          <w:szCs w:val="20"/>
          <w:color w:val="auto"/>
        </w:rPr>
      </w:pPr>
    </w:p>
    <w:p>
      <w:pPr>
        <w:ind w:left="1460" w:right="719"/>
        <w:spacing w:after="0" w:line="306"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each case involving the Issuer or a Guarantor, if the Issuer or such Guarantor is not the surviving entity of such transaction or the Person to which such Transfer is made, the surviving entity or the Person to which such Transfer is made shall comply with clause (2) above.</w:t>
      </w:r>
    </w:p>
    <w:p>
      <w:pPr>
        <w:spacing w:after="0" w:line="112" w:lineRule="exact"/>
        <w:rPr>
          <w:sz w:val="20"/>
          <w:szCs w:val="20"/>
          <w:color w:val="auto"/>
        </w:rPr>
      </w:pPr>
    </w:p>
    <w:p>
      <w:pPr>
        <w:ind w:left="1460" w:right="359"/>
        <w:spacing w:after="0" w:line="247" w:lineRule="auto"/>
        <w:rPr>
          <w:sz w:val="20"/>
          <w:szCs w:val="20"/>
          <w:color w:val="auto"/>
        </w:rPr>
      </w:pPr>
      <w:r>
        <w:rPr>
          <w:rFonts w:ascii="Times New Roman" w:cs="Times New Roman" w:eastAsia="Times New Roman" w:hAnsi="Times New Roman"/>
          <w:sz w:val="14"/>
          <w:szCs w:val="14"/>
          <w:color w:val="auto"/>
        </w:rPr>
        <w:t>Upon any consolidation, combination or merger of Parent, the Issuer or any other Guarantor, or any Transfer of all or substantially all of the assets of Parent or the Issuer in accordance with the foregoing,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the Indenture, Notes and Note Guarantees with the same effect as if such surviving entity had been named therein as Parent, the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the Issuer’s or such Guarantor’s, as the case may be, other obligations and covenants under the Notes, the Indenture and its related Note Guarantee, if applicable.</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Additional Note Guarantees</w:t>
      </w:r>
    </w:p>
    <w:p>
      <w:pPr>
        <w:spacing w:after="0" w:line="90" w:lineRule="exact"/>
        <w:rPr>
          <w:sz w:val="20"/>
          <w:szCs w:val="20"/>
          <w:color w:val="auto"/>
        </w:rPr>
      </w:pPr>
    </w:p>
    <w:p>
      <w:pPr>
        <w:ind w:left="1460" w:right="499"/>
        <w:spacing w:after="0" w:line="250" w:lineRule="auto"/>
        <w:rPr>
          <w:sz w:val="20"/>
          <w:szCs w:val="20"/>
          <w:color w:val="auto"/>
        </w:rPr>
      </w:pPr>
      <w:r>
        <w:rPr>
          <w:rFonts w:ascii="Times New Roman" w:cs="Times New Roman" w:eastAsia="Times New Roman" w:hAnsi="Times New Roman"/>
          <w:sz w:val="14"/>
          <w:szCs w:val="14"/>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48" w:lineRule="exact"/>
        <w:rPr>
          <w:sz w:val="20"/>
          <w:szCs w:val="20"/>
          <w:color w:val="auto"/>
        </w:rPr>
      </w:pPr>
    </w:p>
    <w:p>
      <w:pPr>
        <w:ind w:left="1460" w:right="379"/>
        <w:spacing w:after="0" w:line="285" w:lineRule="auto"/>
        <w:rPr>
          <w:sz w:val="20"/>
          <w:szCs w:val="20"/>
          <w:color w:val="auto"/>
        </w:rPr>
      </w:pPr>
      <w:r>
        <w:rPr>
          <w:rFonts w:ascii="Times New Roman" w:cs="Times New Roman" w:eastAsia="Times New Roman" w:hAnsi="Times New Roman"/>
          <w:sz w:val="13"/>
          <w:szCs w:val="13"/>
          <w:color w:val="auto"/>
        </w:rPr>
        <w:t>As of the date of issuance of the Notes, the Domestic Subsidiaries Crownway Insurance Company, Crown Americas Capital Corp., Crown Americas Capital Corp. V, Crown Americas Capital Corp. VI, Crown Cork and Seal Receivables II LLC, CROWN Packaging Holdings LLC, Crown Receivables III LLC, Signode International Holdings LLC, Signode International Investment LLC, TopFrame LLC will not Guarantee the Notes.</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 Note Guarantee of any Guarantor will be subject to release and discharge as described under the caption “—Ranking and Guarantees.”</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Reports</w:t>
      </w:r>
    </w:p>
    <w:p>
      <w:pPr>
        <w:spacing w:after="0" w:line="86" w:lineRule="exact"/>
        <w:rPr>
          <w:sz w:val="20"/>
          <w:szCs w:val="20"/>
          <w:color w:val="auto"/>
        </w:rPr>
      </w:pPr>
    </w:p>
    <w:p>
      <w:pPr>
        <w:ind w:left="1460" w:right="519"/>
        <w:spacing w:after="0" w:line="273" w:lineRule="auto"/>
        <w:rPr>
          <w:sz w:val="20"/>
          <w:szCs w:val="20"/>
          <w:color w:val="auto"/>
        </w:rPr>
      </w:pPr>
      <w:r>
        <w:rPr>
          <w:rFonts w:ascii="Times New Roman" w:cs="Times New Roman" w:eastAsia="Times New Roman" w:hAnsi="Times New Roman"/>
          <w:sz w:val="14"/>
          <w:szCs w:val="14"/>
          <w:color w:val="auto"/>
        </w:rPr>
        <w:t>The Indenture provides that, whether or not required by the rules and regulations of the Securities and Exchange Commission (the “</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so long as any Notes are outstanding thereunder, the Issuer will furnish to the Trustee and Holders the following:</w:t>
      </w:r>
    </w:p>
    <w:p>
      <w:pPr>
        <w:spacing w:after="0" w:line="59" w:lineRule="exact"/>
        <w:rPr>
          <w:sz w:val="20"/>
          <w:szCs w:val="20"/>
          <w:color w:val="auto"/>
        </w:rPr>
      </w:pPr>
    </w:p>
    <w:p>
      <w:pPr>
        <w:ind w:left="1780" w:right="339" w:hanging="329"/>
        <w:spacing w:after="0" w:line="252"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4"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reports that would be required to be filed with the SEC on Form 8-K if Parent were required to file such reports,</w:t>
      </w:r>
    </w:p>
    <w:p>
      <w:pPr>
        <w:spacing w:after="0" w:line="168" w:lineRule="exact"/>
        <w:rPr>
          <w:sz w:val="20"/>
          <w:szCs w:val="20"/>
          <w:color w:val="auto"/>
        </w:rPr>
      </w:pPr>
    </w:p>
    <w:p>
      <w:pPr>
        <w:ind w:left="1460" w:right="559"/>
        <w:spacing w:after="0" w:line="267" w:lineRule="auto"/>
        <w:rPr>
          <w:sz w:val="20"/>
          <w:szCs w:val="20"/>
          <w:color w:val="auto"/>
        </w:rPr>
      </w:pPr>
      <w:r>
        <w:rPr>
          <w:rFonts w:ascii="Times New Roman" w:cs="Times New Roman" w:eastAsia="Times New Roman" w:hAnsi="Times New Roman"/>
          <w:sz w:val="14"/>
          <w:szCs w:val="14"/>
          <w:color w:val="auto"/>
        </w:rPr>
        <w:t>in each case, within the time periods specified in the SEC’s rules and regulations. The Issuer may satisfy its obligation to deliver the information and reports referred to in clauses (1) and (2) above by filing the same with the SEC.</w:t>
      </w:r>
    </w:p>
    <w:p>
      <w:pPr>
        <w:spacing w:after="0" w:line="135" w:lineRule="exact"/>
        <w:rPr>
          <w:sz w:val="20"/>
          <w:szCs w:val="20"/>
          <w:color w:val="auto"/>
        </w:rPr>
      </w:pPr>
    </w:p>
    <w:p>
      <w:pPr>
        <w:ind w:left="1460" w:right="379"/>
        <w:spacing w:after="0" w:line="249" w:lineRule="auto"/>
        <w:rPr>
          <w:sz w:val="20"/>
          <w:szCs w:val="20"/>
          <w:color w:val="auto"/>
        </w:rPr>
      </w:pPr>
      <w:r>
        <w:rPr>
          <w:rFonts w:ascii="Times New Roman" w:cs="Times New Roman" w:eastAsia="Times New Roman" w:hAnsi="Times New Roman"/>
          <w:sz w:val="14"/>
          <w:szCs w:val="14"/>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 and the Guarantors will,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Section 314(a) of the Trust Indenture Act of 1939.</w:t>
      </w:r>
    </w:p>
    <w:p>
      <w:pPr>
        <w:spacing w:after="0" w:line="149" w:lineRule="exact"/>
        <w:rPr>
          <w:sz w:val="20"/>
          <w:szCs w:val="20"/>
          <w:color w:val="auto"/>
        </w:rPr>
      </w:pPr>
    </w:p>
    <w:p>
      <w:pPr>
        <w:ind w:left="1460" w:right="339"/>
        <w:spacing w:after="0" w:line="256" w:lineRule="auto"/>
        <w:rPr>
          <w:sz w:val="20"/>
          <w:szCs w:val="20"/>
          <w:color w:val="auto"/>
        </w:rPr>
      </w:pPr>
      <w:r>
        <w:rPr>
          <w:rFonts w:ascii="Times New Roman" w:cs="Times New Roman" w:eastAsia="Times New Roman" w:hAnsi="Times New Roman"/>
          <w:sz w:val="14"/>
          <w:szCs w:val="14"/>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and Stockholders</w:t>
      </w:r>
    </w:p>
    <w:p>
      <w:pPr>
        <w:spacing w:after="0" w:line="90" w:lineRule="exact"/>
        <w:rPr>
          <w:sz w:val="20"/>
          <w:szCs w:val="20"/>
          <w:color w:val="auto"/>
        </w:rPr>
      </w:pPr>
    </w:p>
    <w:p>
      <w:pPr>
        <w:ind w:left="1460" w:right="439"/>
        <w:spacing w:after="0" w:line="267" w:lineRule="auto"/>
        <w:rPr>
          <w:sz w:val="20"/>
          <w:szCs w:val="20"/>
          <w:color w:val="auto"/>
        </w:rPr>
      </w:pPr>
      <w:r>
        <w:rPr>
          <w:rFonts w:ascii="Times New Roman" w:cs="Times New Roman" w:eastAsia="Times New Roman" w:hAnsi="Times New Roman"/>
          <w:sz w:val="14"/>
          <w:szCs w:val="14"/>
          <w:color w:val="auto"/>
        </w:rPr>
        <w:t>No director, officer, employee, incorporator or stockholder of Parent or of any Subsidiary of Parent, as such, shall have any liability for any obligations of the Issuer or the Guarantors under the Notes, the Indenture,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59"/>
        <w:spacing w:after="0" w:line="267" w:lineRule="auto"/>
        <w:rPr>
          <w:sz w:val="20"/>
          <w:szCs w:val="20"/>
          <w:color w:val="auto"/>
        </w:rPr>
      </w:pPr>
      <w:r>
        <w:rPr>
          <w:rFonts w:ascii="Times New Roman" w:cs="Times New Roman" w:eastAsia="Times New Roman" w:hAnsi="Times New Roman"/>
          <w:sz w:val="14"/>
          <w:szCs w:val="14"/>
          <w:color w:val="auto"/>
        </w:rPr>
        <w:t>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Events of Default and Remedies</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Indenture provides that each of the following constitutes an “</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ind w:left="1780" w:hanging="329"/>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the payment when due of interest with respect to the Notes issued thereunder;</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payment when due of principal or premium, if any, on the Notes issued thereunder at maturity, upon redemption or otherwise;</w:t>
      </w:r>
    </w:p>
    <w:p>
      <w:pPr>
        <w:spacing w:after="0" w:line="95" w:lineRule="exact"/>
        <w:rPr>
          <w:rFonts w:ascii="Times New Roman" w:cs="Times New Roman" w:eastAsia="Times New Roman" w:hAnsi="Times New Roman"/>
          <w:sz w:val="14"/>
          <w:szCs w:val="14"/>
          <w:color w:val="auto"/>
        </w:rPr>
      </w:pPr>
    </w:p>
    <w:p>
      <w:pPr>
        <w:ind w:left="1780" w:right="379" w:hanging="329"/>
        <w:spacing w:after="0" w:line="256"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70" w:lineRule="exact"/>
        <w:rPr>
          <w:rFonts w:ascii="Times New Roman" w:cs="Times New Roman" w:eastAsia="Times New Roman" w:hAnsi="Times New Roman"/>
          <w:sz w:val="14"/>
          <w:szCs w:val="14"/>
          <w:color w:val="auto"/>
        </w:rPr>
      </w:pPr>
    </w:p>
    <w:p>
      <w:pPr>
        <w:jc w:val="both"/>
        <w:ind w:left="1780" w:right="359" w:hanging="329"/>
        <w:spacing w:after="0" w:line="256"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70" w:lineRule="exact"/>
        <w:rPr>
          <w:rFonts w:ascii="Times New Roman" w:cs="Times New Roman" w:eastAsia="Times New Roman" w:hAnsi="Times New Roman"/>
          <w:sz w:val="14"/>
          <w:szCs w:val="14"/>
          <w:color w:val="auto"/>
        </w:rPr>
      </w:pPr>
    </w:p>
    <w:p>
      <w:pPr>
        <w:ind w:left="1780" w:right="399" w:hanging="329"/>
        <w:spacing w:after="0" w:line="248"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4"/>
          <w:szCs w:val="14"/>
          <w:i w:val="1"/>
          <w:iCs w:val="1"/>
          <w:color w:val="auto"/>
        </w:rPr>
        <w:t>Payment Default</w:t>
      </w:r>
      <w:r>
        <w:rPr>
          <w:rFonts w:ascii="Times New Roman" w:cs="Times New Roman" w:eastAsia="Times New Roman" w:hAnsi="Times New Roman"/>
          <w:sz w:val="14"/>
          <w:szCs w:val="14"/>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77" w:lineRule="exact"/>
        <w:rPr>
          <w:rFonts w:ascii="Times New Roman" w:cs="Times New Roman" w:eastAsia="Times New Roman" w:hAnsi="Times New Roman"/>
          <w:sz w:val="14"/>
          <w:szCs w:val="14"/>
          <w:color w:val="auto"/>
        </w:rPr>
      </w:pPr>
    </w:p>
    <w:p>
      <w:pPr>
        <w:ind w:left="1780" w:right="459" w:hanging="329"/>
        <w:spacing w:after="0" w:line="256"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70" w:lineRule="exact"/>
        <w:rPr>
          <w:rFonts w:ascii="Times New Roman" w:cs="Times New Roman" w:eastAsia="Times New Roman" w:hAnsi="Times New Roman"/>
          <w:sz w:val="14"/>
          <w:szCs w:val="14"/>
          <w:color w:val="auto"/>
        </w:rPr>
      </w:pPr>
    </w:p>
    <w:p>
      <w:pPr>
        <w:ind w:left="1780" w:right="519" w:hanging="329"/>
        <w:spacing w:after="0" w:line="267"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or insolvency with respect to Parent, the Issuer or any other Subsidiary of Parent that is a Significant Subsidiary or group of Subsidiaries of Parent that, together, would constitute a Significant Subsidiary; and</w:t>
      </w:r>
    </w:p>
    <w:p>
      <w:pPr>
        <w:spacing w:after="0" w:line="63" w:lineRule="exact"/>
        <w:rPr>
          <w:rFonts w:ascii="Times New Roman" w:cs="Times New Roman" w:eastAsia="Times New Roman" w:hAnsi="Times New Roman"/>
          <w:sz w:val="14"/>
          <w:szCs w:val="14"/>
          <w:color w:val="auto"/>
        </w:rPr>
      </w:pPr>
    </w:p>
    <w:p>
      <w:pPr>
        <w:ind w:left="1780" w:right="419" w:hanging="329"/>
        <w:spacing w:after="0" w:line="252"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46" w:lineRule="exact"/>
        <w:rPr>
          <w:sz w:val="20"/>
          <w:szCs w:val="20"/>
          <w:color w:val="auto"/>
        </w:rPr>
      </w:pPr>
    </w:p>
    <w:p>
      <w:pPr>
        <w:ind w:left="1460" w:right="359"/>
        <w:spacing w:after="0" w:line="249" w:lineRule="auto"/>
        <w:rPr>
          <w:sz w:val="20"/>
          <w:szCs w:val="20"/>
          <w:color w:val="auto"/>
        </w:rPr>
      </w:pPr>
      <w:r>
        <w:rPr>
          <w:rFonts w:ascii="Times New Roman" w:cs="Times New Roman" w:eastAsia="Times New Roman" w:hAnsi="Times New Roman"/>
          <w:sz w:val="14"/>
          <w:szCs w:val="14"/>
          <w:color w:val="auto"/>
        </w:rPr>
        <w:t>If any Event of Default under the Indenture occurs and is continuing, the Trustee or the Holders of at least 25% in aggregate principal amount of the Notes then outstanding under the Indenture may declare all Notes issued under the Indenture to be due and payable by notice in writing to the Issuer and the Trustee, specifying the respective Event of Default and that it is a “notice of acceleration” and the same shall become immediately due and payable. Notwithstanding the foregoing, in the case of an Event of Default arising under clause (7) above with respect to Parent or the Issuer, all outstanding Notes then outstanding under the Indenture will become due and payable without any declaration, further action or notice. The Holders of any Notes may not enforce the Indenture relating to the Notes or the Notes except as provided in the Indenture. Subject to certain limitations, the</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39"/>
        <w:spacing w:after="0" w:line="267" w:lineRule="auto"/>
        <w:rPr>
          <w:sz w:val="20"/>
          <w:szCs w:val="20"/>
          <w:color w:val="auto"/>
        </w:rPr>
      </w:pPr>
      <w:r>
        <w:rPr>
          <w:rFonts w:ascii="Times New Roman" w:cs="Times New Roman" w:eastAsia="Times New Roman" w:hAnsi="Times New Roman"/>
          <w:sz w:val="14"/>
          <w:szCs w:val="14"/>
          <w:color w:val="auto"/>
        </w:rPr>
        <w:t>Holders of a majority in principal amount of the then outstanding Notes issued under the Indenture may direct the Trustee in its exercise of any trust or power.</w:t>
      </w:r>
    </w:p>
    <w:p>
      <w:pPr>
        <w:spacing w:after="0" w:line="135"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Issuer is required to deliver to the Trustee annually a certificate regarding compliance with the Indenture, and the Issuer are required, within five</w:t>
      </w:r>
    </w:p>
    <w:p>
      <w:pPr>
        <w:spacing w:after="0" w:line="15" w:lineRule="exact"/>
        <w:rPr>
          <w:sz w:val="20"/>
          <w:szCs w:val="20"/>
          <w:color w:val="auto"/>
        </w:rPr>
      </w:pPr>
    </w:p>
    <w:p>
      <w:pPr>
        <w:ind w:left="1460" w:right="819" w:hanging="9"/>
        <w:spacing w:after="0" w:line="250" w:lineRule="auto"/>
        <w:tabs>
          <w:tab w:leader="none" w:pos="165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after an executive officer of the Issuer becomes aware of any Default or Event of Default, to deliver to the Trustee a statement specifying such Default or Event of Default.</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color w:val="auto"/>
        </w:rPr>
        <w:t>The Indenture will be discharged and will, subject to certain surviving provisions, cease to be of further effect as to all Notes issued thereunder when:</w:t>
      </w:r>
    </w:p>
    <w:p>
      <w:pPr>
        <w:spacing w:after="0" w:line="107" w:lineRule="exact"/>
        <w:rPr>
          <w:sz w:val="20"/>
          <w:szCs w:val="20"/>
          <w:color w:val="auto"/>
        </w:rPr>
      </w:pPr>
    </w:p>
    <w:p>
      <w:pPr>
        <w:ind w:left="1780" w:right="919" w:hanging="329"/>
        <w:spacing w:after="0" w:line="267"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deliver to the Trustee all outstanding Notes issued under the Indenture (other than Notes replaced because of mutilation, loss, destruction or wrongful taking) for cancellation; or</w:t>
      </w:r>
    </w:p>
    <w:p>
      <w:pPr>
        <w:spacing w:after="0" w:line="63" w:lineRule="exact"/>
        <w:rPr>
          <w:rFonts w:ascii="Times New Roman" w:cs="Times New Roman" w:eastAsia="Times New Roman" w:hAnsi="Times New Roman"/>
          <w:sz w:val="14"/>
          <w:szCs w:val="14"/>
          <w:color w:val="auto"/>
        </w:rPr>
      </w:pPr>
    </w:p>
    <w:p>
      <w:pPr>
        <w:ind w:left="1780" w:right="359" w:hanging="329"/>
        <w:spacing w:after="0" w:line="267" w:lineRule="auto"/>
        <w:tabs>
          <w:tab w:leader="none" w:pos="17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 or any Guarantor pays all other sums payable under the Indenture by it.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that such satisfaction and discharge does not result in a default under any agreement or instrument then known to such counsel which binds or affects the Issuer.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at the cost and expense of the Issuer.</w:t>
      </w:r>
    </w:p>
    <w:p>
      <w:pPr>
        <w:spacing w:after="0" w:line="2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Issuer may, at its option and at any time, elect to have all of its obligations and the obligations of the Guarantors discharged with respect to the</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Notes outstanding under the Indenture (“Legal Defeasance”), except for:</w:t>
      </w:r>
    </w:p>
    <w:p>
      <w:pPr>
        <w:spacing w:after="0" w:line="84" w:lineRule="exact"/>
        <w:rPr>
          <w:sz w:val="20"/>
          <w:szCs w:val="20"/>
          <w:color w:val="auto"/>
        </w:rPr>
      </w:pPr>
    </w:p>
    <w:p>
      <w:pPr>
        <w:ind w:left="1780" w:right="439" w:hanging="329"/>
        <w:spacing w:after="0" w:line="267"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63" w:lineRule="exact"/>
        <w:rPr>
          <w:rFonts w:ascii="Times New Roman" w:cs="Times New Roman" w:eastAsia="Times New Roman" w:hAnsi="Times New Roman"/>
          <w:sz w:val="14"/>
          <w:szCs w:val="14"/>
          <w:color w:val="auto"/>
        </w:rPr>
      </w:pPr>
    </w:p>
    <w:p>
      <w:pPr>
        <w:ind w:left="1780" w:right="539" w:hanging="329"/>
        <w:spacing w:after="0" w:line="267"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hanging="329"/>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and the Issuer’s obligations in connection therewith; and</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Defeasance provisions of the Indenture.</w:t>
      </w:r>
    </w:p>
    <w:p>
      <w:pPr>
        <w:spacing w:after="0" w:line="168" w:lineRule="exact"/>
        <w:rPr>
          <w:sz w:val="20"/>
          <w:szCs w:val="20"/>
          <w:color w:val="auto"/>
        </w:rPr>
      </w:pPr>
    </w:p>
    <w:p>
      <w:pPr>
        <w:ind w:left="1460" w:right="359"/>
        <w:spacing w:after="0" w:line="250" w:lineRule="auto"/>
        <w:rPr>
          <w:sz w:val="20"/>
          <w:szCs w:val="20"/>
          <w:color w:val="auto"/>
        </w:rPr>
      </w:pPr>
      <w:r>
        <w:rPr>
          <w:rFonts w:ascii="Times New Roman" w:cs="Times New Roman" w:eastAsia="Times New Roman" w:hAnsi="Times New Roman"/>
          <w:sz w:val="14"/>
          <w:szCs w:val="14"/>
          <w:color w:val="auto"/>
        </w:rPr>
        <w:t>In addition, the Issuer may, at its option and at any time, elect to have all of its obligations and the obligations of the Guarantors released with respect to certain covenants that are described in the Indenture (“Covenant Defeasance”)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 described under the caption “—Events of Default and Remedies” will no longer constitute an Event of Default under the Indenture.</w:t>
      </w:r>
    </w:p>
    <w:p>
      <w:pPr>
        <w:spacing w:after="0" w:line="1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In order to exercise either Legal Defeasance or Covenant Defeasance under the Indenture:</w:t>
      </w:r>
    </w:p>
    <w:p>
      <w:pPr>
        <w:spacing w:after="0" w:line="96" w:lineRule="exact"/>
        <w:rPr>
          <w:sz w:val="20"/>
          <w:szCs w:val="20"/>
          <w:color w:val="auto"/>
        </w:rPr>
      </w:pPr>
    </w:p>
    <w:p>
      <w:pPr>
        <w:ind w:left="1780" w:right="439" w:hanging="329"/>
        <w:spacing w:after="0" w:line="249"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date or on the applicable optional redemption date, as the case may be, and the Issuer must specify whether such Notes are being defeased to maturity or to a particular redemption date;</w:t>
      </w:r>
    </w:p>
    <w:p>
      <w:pPr>
        <w:spacing w:after="0" w:line="76" w:lineRule="exact"/>
        <w:rPr>
          <w:rFonts w:ascii="Times New Roman" w:cs="Times New Roman" w:eastAsia="Times New Roman" w:hAnsi="Times New Roman"/>
          <w:sz w:val="14"/>
          <w:szCs w:val="14"/>
          <w:color w:val="auto"/>
        </w:rPr>
      </w:pPr>
    </w:p>
    <w:p>
      <w:pPr>
        <w:ind w:left="1780" w:right="339" w:hanging="329"/>
        <w:spacing w:after="0" w:line="249"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the Issuer shall have delivered to the Trustee an Opinion of Counsel in the United States (upon which the Trustee shall have no liability in relying) confirming that (a) the Issuer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76" w:lineRule="exact"/>
        <w:rPr>
          <w:rFonts w:ascii="Times New Roman" w:cs="Times New Roman" w:eastAsia="Times New Roman" w:hAnsi="Times New Roman"/>
          <w:sz w:val="14"/>
          <w:szCs w:val="14"/>
          <w:color w:val="auto"/>
        </w:rPr>
      </w:pPr>
    </w:p>
    <w:p>
      <w:pPr>
        <w:ind w:left="1780" w:right="339" w:hanging="329"/>
        <w:spacing w:after="0" w:line="252"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the Issuer shall have delivered to the Trustee an Opinion of Counsel in the United States (upon which the Trustee shall have no liability in relying) confirming that the 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4" w:lineRule="exact"/>
        <w:rPr>
          <w:rFonts w:ascii="Times New Roman" w:cs="Times New Roman" w:eastAsia="Times New Roman" w:hAnsi="Times New Roman"/>
          <w:sz w:val="14"/>
          <w:szCs w:val="14"/>
          <w:color w:val="auto"/>
        </w:rPr>
      </w:pPr>
    </w:p>
    <w:p>
      <w:pPr>
        <w:ind w:left="1780" w:right="639" w:hanging="329"/>
        <w:spacing w:after="0" w:line="256"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70" w:lineRule="exact"/>
        <w:rPr>
          <w:rFonts w:ascii="Times New Roman" w:cs="Times New Roman" w:eastAsia="Times New Roman" w:hAnsi="Times New Roman"/>
          <w:sz w:val="14"/>
          <w:szCs w:val="14"/>
          <w:color w:val="auto"/>
        </w:rPr>
      </w:pPr>
    </w:p>
    <w:p>
      <w:pPr>
        <w:ind w:left="1780" w:right="419" w:hanging="329"/>
        <w:spacing w:after="0" w:line="306" w:lineRule="auto"/>
        <w:tabs>
          <w:tab w:leader="none" w:pos="17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40" w:lineRule="exact"/>
        <w:rPr>
          <w:rFonts w:ascii="Times New Roman" w:cs="Times New Roman" w:eastAsia="Times New Roman" w:hAnsi="Times New Roman"/>
          <w:sz w:val="13"/>
          <w:szCs w:val="13"/>
          <w:color w:val="auto"/>
        </w:rPr>
      </w:pPr>
    </w:p>
    <w:p>
      <w:pPr>
        <w:ind w:left="1780" w:right="379" w:hanging="329"/>
        <w:spacing w:after="0" w:line="252"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any applicable bankruptcy, insolvency, reorganization or similar laws affecting creditors’ rights generally;</w:t>
      </w:r>
    </w:p>
    <w:p>
      <w:pPr>
        <w:spacing w:after="0" w:line="74" w:lineRule="exact"/>
        <w:rPr>
          <w:rFonts w:ascii="Times New Roman" w:cs="Times New Roman" w:eastAsia="Times New Roman" w:hAnsi="Times New Roman"/>
          <w:sz w:val="14"/>
          <w:szCs w:val="14"/>
          <w:color w:val="auto"/>
        </w:rPr>
      </w:pPr>
    </w:p>
    <w:p>
      <w:pPr>
        <w:ind w:left="1780" w:right="399" w:hanging="329"/>
        <w:spacing w:after="0" w:line="267"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must deliver to the Trustee an officers’ certificate (upon which the Trustee shall have no liability in relying) stating that the deposit was not made by the Issuer with the intent of preferring the Holders of</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459"/>
        <w:spacing w:after="0" w:line="267" w:lineRule="auto"/>
        <w:rPr>
          <w:sz w:val="20"/>
          <w:szCs w:val="20"/>
          <w:color w:val="auto"/>
        </w:rPr>
      </w:pPr>
      <w:r>
        <w:rPr>
          <w:rFonts w:ascii="Times New Roman" w:cs="Times New Roman" w:eastAsia="Times New Roman" w:hAnsi="Times New Roman"/>
          <w:sz w:val="14"/>
          <w:szCs w:val="14"/>
          <w:color w:val="auto"/>
        </w:rPr>
        <w:t>Notes issued under the Indenture over the other creditors of the Issuer with the intent of defeating, hindering, delaying or defrauding creditors of the Issuer or others; and</w:t>
      </w:r>
    </w:p>
    <w:p>
      <w:pPr>
        <w:spacing w:after="0" w:line="63" w:lineRule="exact"/>
        <w:rPr>
          <w:sz w:val="20"/>
          <w:szCs w:val="20"/>
          <w:color w:val="auto"/>
        </w:rPr>
      </w:pPr>
    </w:p>
    <w:p>
      <w:pPr>
        <w:ind w:left="1780" w:right="479" w:hanging="329"/>
        <w:spacing w:after="0" w:line="306" w:lineRule="auto"/>
        <w:tabs>
          <w:tab w:leader="none" w:pos="17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1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0" w:lineRule="exact"/>
        <w:rPr>
          <w:sz w:val="20"/>
          <w:szCs w:val="20"/>
          <w:color w:val="auto"/>
        </w:rPr>
      </w:pPr>
    </w:p>
    <w:p>
      <w:pPr>
        <w:ind w:left="1460" w:right="339"/>
        <w:spacing w:after="0" w:line="278" w:lineRule="auto"/>
        <w:rPr>
          <w:sz w:val="20"/>
          <w:szCs w:val="20"/>
          <w:color w:val="auto"/>
        </w:rPr>
      </w:pPr>
      <w:r>
        <w:rPr>
          <w:rFonts w:ascii="Times New Roman" w:cs="Times New Roman" w:eastAsia="Times New Roman" w:hAnsi="Times New Roman"/>
          <w:sz w:val="13"/>
          <w:szCs w:val="13"/>
          <w:color w:val="auto"/>
        </w:rPr>
        <w:t>A Holder of Notes may transfer or exchange Notes in accordance with the terms of the Indenture. The registrar and Trustee may require a Holder of Notes, among other things, to furnish appropriate endorsements and transfer documents and the Issuer or the Trustee may require a Holder of Notes to pay any taxes and fees required by law or permitted by the Indenture. The Issuer is not required to transfer or exchange any Note selected for redemption. Also, the Issuer is not required to transfer or exchange any Note for a period of fifteen (15) days before a selection of Notes to be redeemed.</w:t>
      </w:r>
    </w:p>
    <w:p>
      <w:pPr>
        <w:spacing w:after="0" w:line="1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registered Holder of a Note will be treated as the owner of it for all purposes.</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90" w:lineRule="exact"/>
        <w:rPr>
          <w:sz w:val="20"/>
          <w:szCs w:val="20"/>
          <w:color w:val="auto"/>
        </w:rPr>
      </w:pPr>
    </w:p>
    <w:p>
      <w:pPr>
        <w:ind w:left="1460" w:right="319"/>
        <w:spacing w:after="0" w:line="272" w:lineRule="auto"/>
        <w:rPr>
          <w:sz w:val="20"/>
          <w:szCs w:val="20"/>
          <w:color w:val="auto"/>
        </w:rPr>
      </w:pPr>
      <w:r>
        <w:rPr>
          <w:rFonts w:ascii="Times New Roman" w:cs="Times New Roman" w:eastAsia="Times New Roman" w:hAnsi="Times New Roman"/>
          <w:sz w:val="13"/>
          <w:szCs w:val="13"/>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134" w:lineRule="exact"/>
        <w:rPr>
          <w:sz w:val="20"/>
          <w:szCs w:val="20"/>
          <w:color w:val="auto"/>
        </w:rPr>
      </w:pPr>
    </w:p>
    <w:p>
      <w:pPr>
        <w:ind w:left="1460" w:right="459"/>
        <w:spacing w:after="0" w:line="267" w:lineRule="auto"/>
        <w:rPr>
          <w:sz w:val="20"/>
          <w:szCs w:val="20"/>
          <w:color w:val="auto"/>
        </w:rPr>
      </w:pPr>
      <w:r>
        <w:rPr>
          <w:rFonts w:ascii="Times New Roman" w:cs="Times New Roman" w:eastAsia="Times New Roman" w:hAnsi="Times New Roman"/>
          <w:sz w:val="14"/>
          <w:szCs w:val="14"/>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63" w:lineRule="exact"/>
        <w:rPr>
          <w:sz w:val="20"/>
          <w:szCs w:val="20"/>
          <w:color w:val="auto"/>
        </w:rPr>
      </w:pPr>
    </w:p>
    <w:p>
      <w:pPr>
        <w:ind w:left="1780" w:hanging="329"/>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Notes issued under the Indenture whose Holders must consent to an amendment, supplement or waiver;</w:t>
      </w:r>
    </w:p>
    <w:p>
      <w:pPr>
        <w:spacing w:after="0" w:line="95" w:lineRule="exact"/>
        <w:rPr>
          <w:rFonts w:ascii="Times New Roman" w:cs="Times New Roman" w:eastAsia="Times New Roman" w:hAnsi="Times New Roman"/>
          <w:sz w:val="14"/>
          <w:szCs w:val="14"/>
          <w:color w:val="auto"/>
        </w:rPr>
      </w:pPr>
    </w:p>
    <w:p>
      <w:pPr>
        <w:ind w:left="1780" w:right="339" w:hanging="329"/>
        <w:spacing w:after="0" w:line="250"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reduce the principal amount of or change the fixed maturity date of any Notes, or alter the provisions with respect to the redemption of any such Notes other than, except as set forth in clause (7) below, the provisions relating to the covenant described under the caption “—Repurchase at the Option of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76"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such Notes;</w:t>
      </w:r>
    </w:p>
    <w:p>
      <w:pPr>
        <w:spacing w:after="0" w:line="95" w:lineRule="exact"/>
        <w:rPr>
          <w:rFonts w:ascii="Times New Roman" w:cs="Times New Roman" w:eastAsia="Times New Roman" w:hAnsi="Times New Roman"/>
          <w:sz w:val="14"/>
          <w:szCs w:val="14"/>
          <w:color w:val="auto"/>
        </w:rPr>
      </w:pPr>
    </w:p>
    <w:p>
      <w:pPr>
        <w:ind w:left="1780" w:right="419" w:hanging="329"/>
        <w:spacing w:after="0" w:line="256"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70"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such Note payable in currency other than that stated in such Note;</w:t>
      </w:r>
    </w:p>
    <w:p>
      <w:pPr>
        <w:spacing w:after="0" w:line="95" w:lineRule="exact"/>
        <w:rPr>
          <w:rFonts w:ascii="Times New Roman" w:cs="Times New Roman" w:eastAsia="Times New Roman" w:hAnsi="Times New Roman"/>
          <w:sz w:val="14"/>
          <w:szCs w:val="14"/>
          <w:color w:val="auto"/>
        </w:rPr>
      </w:pPr>
    </w:p>
    <w:p>
      <w:pPr>
        <w:ind w:left="1780" w:right="519" w:hanging="329"/>
        <w:spacing w:after="0" w:line="267"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the provisions of the Indenture relating to waiver of past Defaults or the rights of Holders of the Notes issued thereunder to receive payments of principal of or interest on the Notes;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459" w:hanging="329"/>
        <w:spacing w:after="0" w:line="256"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Issuer’s obligation to purchase Notes arises thereunder, amend, change or modify in any material respect the obligations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70" w:lineRule="exact"/>
        <w:rPr>
          <w:rFonts w:ascii="Times New Roman" w:cs="Times New Roman" w:eastAsia="Times New Roman" w:hAnsi="Times New Roman"/>
          <w:sz w:val="14"/>
          <w:szCs w:val="14"/>
          <w:color w:val="auto"/>
        </w:rPr>
      </w:pPr>
    </w:p>
    <w:p>
      <w:pPr>
        <w:ind w:left="1780" w:right="359" w:hanging="329"/>
        <w:spacing w:after="0" w:line="267"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Parent, Crown or any other Guarantor that is a Significant Subsidiary from any of its obligations under its Note Guarantee or the Indenture otherwise than in accordance with the terms of the Indenture; or</w:t>
      </w:r>
    </w:p>
    <w:p>
      <w:pPr>
        <w:spacing w:after="0" w:line="63" w:lineRule="exact"/>
        <w:rPr>
          <w:rFonts w:ascii="Times New Roman" w:cs="Times New Roman" w:eastAsia="Times New Roman" w:hAnsi="Times New Roman"/>
          <w:sz w:val="14"/>
          <w:szCs w:val="14"/>
          <w:color w:val="auto"/>
        </w:rPr>
      </w:pPr>
    </w:p>
    <w:p>
      <w:pPr>
        <w:ind w:left="1780" w:right="479" w:hanging="329"/>
        <w:spacing w:after="0" w:line="267"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or change any provision of the Indenture affecting the ranking of the Notes or Note Guarantees issued thereunder in a manner adverse to the Holders of Notes issued thereunder.</w:t>
      </w:r>
    </w:p>
    <w:p>
      <w:pPr>
        <w:spacing w:after="0" w:line="135" w:lineRule="exact"/>
        <w:rPr>
          <w:sz w:val="20"/>
          <w:szCs w:val="20"/>
          <w:color w:val="auto"/>
        </w:rPr>
      </w:pPr>
    </w:p>
    <w:p>
      <w:pPr>
        <w:ind w:left="1460" w:right="539"/>
        <w:spacing w:after="0" w:line="267" w:lineRule="auto"/>
        <w:rPr>
          <w:sz w:val="20"/>
          <w:szCs w:val="20"/>
          <w:color w:val="auto"/>
        </w:rPr>
      </w:pPr>
      <w:r>
        <w:rPr>
          <w:rFonts w:ascii="Times New Roman" w:cs="Times New Roman" w:eastAsia="Times New Roman" w:hAnsi="Times New Roman"/>
          <w:sz w:val="14"/>
          <w:szCs w:val="14"/>
          <w:color w:val="auto"/>
        </w:rPr>
        <w:t>Without the consent of any Holder of Notes, the Issuer and the Trustee may amend the Indenture, the Notes governed thereby or the Note Guarantees issued thereunder:</w:t>
      </w:r>
    </w:p>
    <w:p>
      <w:pPr>
        <w:spacing w:after="0" w:line="63" w:lineRule="exact"/>
        <w:rPr>
          <w:sz w:val="20"/>
          <w:szCs w:val="20"/>
          <w:color w:val="auto"/>
        </w:rPr>
      </w:pPr>
    </w:p>
    <w:p>
      <w:pPr>
        <w:ind w:left="1780" w:hanging="2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Notes in addition to or in place of certificated Notes;</w:t>
      </w:r>
    </w:p>
    <w:p>
      <w:pPr>
        <w:spacing w:after="0" w:line="95" w:lineRule="exact"/>
        <w:rPr>
          <w:rFonts w:ascii="Times New Roman" w:cs="Times New Roman" w:eastAsia="Times New Roman" w:hAnsi="Times New Roman"/>
          <w:sz w:val="14"/>
          <w:szCs w:val="14"/>
          <w:color w:val="auto"/>
        </w:rPr>
      </w:pPr>
    </w:p>
    <w:p>
      <w:pPr>
        <w:ind w:left="1780" w:right="459" w:hanging="247"/>
        <w:spacing w:after="0" w:line="267"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the Issuer’s or any Guarantor’s obligations to the Holders of such Notes in the case of a merger or consolidation or sale of all or substantially all of the Issuer’s or such Guarantor’s assets;</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Notes;</w:t>
      </w:r>
    </w:p>
    <w:p>
      <w:pPr>
        <w:spacing w:after="0" w:line="95" w:lineRule="exact"/>
        <w:rPr>
          <w:rFonts w:ascii="Times New Roman" w:cs="Times New Roman" w:eastAsia="Times New Roman" w:hAnsi="Times New Roman"/>
          <w:sz w:val="14"/>
          <w:szCs w:val="14"/>
          <w:color w:val="auto"/>
        </w:rPr>
      </w:pPr>
    </w:p>
    <w:p>
      <w:pPr>
        <w:ind w:left="1780" w:right="339" w:hanging="247"/>
        <w:spacing w:after="0" w:line="306" w:lineRule="auto"/>
        <w:tabs>
          <w:tab w:leader="none" w:pos="17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40" w:lineRule="exact"/>
        <w:rPr>
          <w:rFonts w:ascii="Times New Roman" w:cs="Times New Roman" w:eastAsia="Times New Roman" w:hAnsi="Times New Roman"/>
          <w:sz w:val="13"/>
          <w:szCs w:val="13"/>
          <w:color w:val="auto"/>
        </w:rPr>
      </w:pPr>
    </w:p>
    <w:p>
      <w:pPr>
        <w:ind w:left="1780" w:hanging="2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Guarantor or release any Guarantor from its Note Guarantee if such release is in accordance with the terms of the Indenture;</w:t>
      </w:r>
    </w:p>
    <w:p>
      <w:pPr>
        <w:spacing w:after="0" w:line="95" w:lineRule="exact"/>
        <w:rPr>
          <w:rFonts w:ascii="Times New Roman" w:cs="Times New Roman" w:eastAsia="Times New Roman" w:hAnsi="Times New Roman"/>
          <w:sz w:val="14"/>
          <w:szCs w:val="14"/>
          <w:color w:val="auto"/>
        </w:rPr>
      </w:pPr>
    </w:p>
    <w:p>
      <w:pPr>
        <w:ind w:left="1780" w:right="539" w:hanging="247"/>
        <w:spacing w:after="0" w:line="267"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Issuer and the Guarantors for the benefit of the Holders of the Notes or to surrender any right or power conferred upon the Issuer and the Guarantors;</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or confirm the issuance of Additional Notes;</w:t>
      </w:r>
    </w:p>
    <w:p>
      <w:pPr>
        <w:spacing w:after="0" w:line="95" w:lineRule="exact"/>
        <w:rPr>
          <w:rFonts w:ascii="Times New Roman" w:cs="Times New Roman" w:eastAsia="Times New Roman" w:hAnsi="Times New Roman"/>
          <w:sz w:val="14"/>
          <w:szCs w:val="14"/>
          <w:color w:val="auto"/>
        </w:rPr>
      </w:pPr>
    </w:p>
    <w:p>
      <w:pPr>
        <w:ind w:left="1780" w:right="519" w:hanging="247"/>
        <w:spacing w:after="0" w:line="267"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168" w:lineRule="exact"/>
        <w:rPr>
          <w:sz w:val="20"/>
          <w:szCs w:val="20"/>
          <w:color w:val="auto"/>
        </w:rPr>
      </w:pPr>
    </w:p>
    <w:p>
      <w:pPr>
        <w:ind w:left="1460" w:right="459"/>
        <w:spacing w:after="0" w:line="267" w:lineRule="auto"/>
        <w:rPr>
          <w:sz w:val="20"/>
          <w:szCs w:val="20"/>
          <w:color w:val="auto"/>
        </w:rPr>
      </w:pPr>
      <w:r>
        <w:rPr>
          <w:rFonts w:ascii="Times New Roman" w:cs="Times New Roman" w:eastAsia="Times New Roman" w:hAnsi="Times New Roman"/>
          <w:sz w:val="14"/>
          <w:szCs w:val="14"/>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0" w:lineRule="exact"/>
        <w:rPr>
          <w:sz w:val="20"/>
          <w:szCs w:val="20"/>
          <w:color w:val="auto"/>
        </w:rPr>
      </w:pPr>
    </w:p>
    <w:p>
      <w:pPr>
        <w:ind w:left="1460" w:right="379"/>
        <w:spacing w:after="0" w:line="250" w:lineRule="auto"/>
        <w:rPr>
          <w:sz w:val="20"/>
          <w:szCs w:val="20"/>
          <w:color w:val="auto"/>
        </w:rPr>
      </w:pPr>
      <w:r>
        <w:rPr>
          <w:rFonts w:ascii="Times New Roman" w:cs="Times New Roman" w:eastAsia="Times New Roman" w:hAnsi="Times New Roman"/>
          <w:sz w:val="14"/>
          <w:szCs w:val="14"/>
          <w:color w:val="auto"/>
        </w:rPr>
        <w:t>The Indenture contains certain limitations on the rights of the Trustee, should the Trustee in its capacity as Trustee become a creditor of the Issuer, to obtain payment of claims in certain cases, or to realize on certain assets received in respect of any such claim as security or otherwise. The Trustee in its individual capacity or any other capacity is permitted to engage in other transactions with the Issuer; however, if the Trustee acquires any conflicting interest as defined under the Trust Indenture Act, it must eliminate such conflict within 90 days, apply to the SEC for permission to continue as Trustee or resign.</w:t>
      </w:r>
    </w:p>
    <w:p>
      <w:pPr>
        <w:spacing w:after="0" w:line="148" w:lineRule="exact"/>
        <w:rPr>
          <w:sz w:val="20"/>
          <w:szCs w:val="20"/>
          <w:color w:val="auto"/>
        </w:rPr>
      </w:pPr>
    </w:p>
    <w:p>
      <w:pPr>
        <w:ind w:left="1460" w:right="479"/>
        <w:spacing w:after="0" w:line="267" w:lineRule="auto"/>
        <w:rPr>
          <w:sz w:val="20"/>
          <w:szCs w:val="20"/>
          <w:color w:val="auto"/>
        </w:rPr>
      </w:pPr>
      <w:r>
        <w:rPr>
          <w:rFonts w:ascii="Times New Roman" w:cs="Times New Roman" w:eastAsia="Times New Roman" w:hAnsi="Times New Roman"/>
          <w:sz w:val="14"/>
          <w:szCs w:val="14"/>
          <w:color w:val="auto"/>
        </w:rPr>
        <w:t>The Holders of a majority in principal amount of the then outstanding Notes under the Indenture have the right to direct the time, method and place of conducting any proceeding for exercising any remedy available to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59"/>
        <w:spacing w:after="0" w:line="272" w:lineRule="auto"/>
        <w:rPr>
          <w:sz w:val="20"/>
          <w:szCs w:val="20"/>
          <w:color w:val="auto"/>
        </w:rPr>
      </w:pPr>
      <w:r>
        <w:rPr>
          <w:rFonts w:ascii="Times New Roman" w:cs="Times New Roman" w:eastAsia="Times New Roman" w:hAnsi="Times New Roman"/>
          <w:sz w:val="13"/>
          <w:szCs w:val="13"/>
          <w:color w:val="auto"/>
        </w:rPr>
        <w:t>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same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indemnity satisfactory to it against any costs, expenses and liabilities. The Trustee’s fees, expenses and indemnities are included in the amounts guaranteed by the Note Guarantees.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0"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The Indenture, the old notes and the old note Guarantees are, and the new notes and the new note Guarantees will be, governed by, and construed in accordance with, the laws of the State of New York.</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0" w:lineRule="exact"/>
        <w:rPr>
          <w:sz w:val="20"/>
          <w:szCs w:val="20"/>
          <w:color w:val="auto"/>
        </w:rPr>
      </w:pPr>
    </w:p>
    <w:p>
      <w:pPr>
        <w:ind w:left="1460" w:right="419"/>
        <w:spacing w:after="0" w:line="267" w:lineRule="auto"/>
        <w:rPr>
          <w:sz w:val="20"/>
          <w:szCs w:val="20"/>
          <w:color w:val="auto"/>
        </w:rPr>
      </w:pPr>
      <w:r>
        <w:rPr>
          <w:rFonts w:ascii="Times New Roman" w:cs="Times New Roman" w:eastAsia="Times New Roman" w:hAnsi="Times New Roman"/>
          <w:sz w:val="14"/>
          <w:szCs w:val="14"/>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amend</w:t>
      </w:r>
      <w:r>
        <w:rPr>
          <w:rFonts w:ascii="Times New Roman" w:cs="Times New Roman" w:eastAsia="Times New Roman" w:hAnsi="Times New Roman"/>
          <w:sz w:val="14"/>
          <w:szCs w:val="14"/>
          <w:color w:val="auto"/>
        </w:rPr>
        <w:t>” means to amend, supplement, restate, amend and restate or otherwise modify; and “</w:t>
      </w:r>
      <w:r>
        <w:rPr>
          <w:rFonts w:ascii="Times New Roman" w:cs="Times New Roman" w:eastAsia="Times New Roman" w:hAnsi="Times New Roman"/>
          <w:sz w:val="14"/>
          <w:szCs w:val="14"/>
          <w:i w:val="1"/>
          <w:iCs w:val="1"/>
          <w:color w:val="auto"/>
        </w:rPr>
        <w:t>amendment</w:t>
      </w:r>
      <w:r>
        <w:rPr>
          <w:rFonts w:ascii="Times New Roman" w:cs="Times New Roman" w:eastAsia="Times New Roman" w:hAnsi="Times New Roman"/>
          <w:sz w:val="14"/>
          <w:szCs w:val="14"/>
          <w:color w:val="auto"/>
        </w:rPr>
        <w:t>” shall have a correlative meaning.</w:t>
      </w:r>
    </w:p>
    <w:p>
      <w:pPr>
        <w:spacing w:after="0" w:line="168" w:lineRule="exact"/>
        <w:rPr>
          <w:sz w:val="20"/>
          <w:szCs w:val="20"/>
          <w:color w:val="auto"/>
        </w:rPr>
      </w:pPr>
    </w:p>
    <w:p>
      <w:pPr>
        <w:ind w:left="1460" w:right="359"/>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Applicable Treasury Rate</w:t>
      </w:r>
      <w:r>
        <w:rPr>
          <w:rFonts w:ascii="Times New Roman" w:cs="Times New Roman" w:eastAsia="Times New Roman" w:hAnsi="Times New Roman"/>
          <w:sz w:val="14"/>
          <w:szCs w:val="14"/>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June 1, 2028;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period from the Make-Whole Redemption Date to June 1, 2028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June 1, 2028 is less than one year, the weekly average yield on actively traded United States Treasury securities adjusted to a constant maturity of one year shall be used.</w:t>
      </w:r>
    </w:p>
    <w:p>
      <w:pPr>
        <w:spacing w:after="0" w:line="1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asset</w:t>
      </w:r>
      <w:r>
        <w:rPr>
          <w:rFonts w:ascii="Times New Roman" w:cs="Times New Roman" w:eastAsia="Times New Roman" w:hAnsi="Times New Roman"/>
          <w:sz w:val="14"/>
          <w:szCs w:val="14"/>
          <w:color w:val="auto"/>
        </w:rPr>
        <w:t>” means any asset or property, whether real, personal or mixed, tangible or intangible.</w:t>
      </w:r>
    </w:p>
    <w:p>
      <w:pPr>
        <w:spacing w:after="0" w:line="168" w:lineRule="exact"/>
        <w:rPr>
          <w:sz w:val="20"/>
          <w:szCs w:val="20"/>
          <w:color w:val="auto"/>
        </w:rPr>
      </w:pPr>
    </w:p>
    <w:p>
      <w:pPr>
        <w:ind w:left="1460" w:right="359"/>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Attributable Debt</w:t>
      </w:r>
      <w:r>
        <w:rPr>
          <w:rFonts w:ascii="Times New Roman" w:cs="Times New Roman" w:eastAsia="Times New Roman" w:hAnsi="Times New Roman"/>
          <w:sz w:val="14"/>
          <w:szCs w:val="14"/>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with respect to any Person, the board of directors or comparable governing body of such Person.</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right="33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Lease Obligation</w:t>
      </w:r>
      <w:r>
        <w:rPr>
          <w:rFonts w:ascii="Times New Roman" w:cs="Times New Roman" w:eastAsia="Times New Roman" w:hAnsi="Times New Roman"/>
          <w:sz w:val="14"/>
          <w:szCs w:val="14"/>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w:t>
      </w:r>
    </w:p>
    <w:p>
      <w:pPr>
        <w:spacing w:after="0" w:line="100" w:lineRule="exact"/>
        <w:rPr>
          <w:sz w:val="20"/>
          <w:szCs w:val="20"/>
          <w:color w:val="auto"/>
        </w:rPr>
      </w:pPr>
    </w:p>
    <w:p>
      <w:pPr>
        <w:ind w:left="1780" w:hanging="329"/>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95" w:lineRule="exact"/>
        <w:rPr>
          <w:rFonts w:ascii="Times New Roman" w:cs="Times New Roman" w:eastAsia="Times New Roman" w:hAnsi="Times New Roman"/>
          <w:sz w:val="14"/>
          <w:szCs w:val="14"/>
          <w:color w:val="auto"/>
        </w:rPr>
      </w:pPr>
    </w:p>
    <w:p>
      <w:pPr>
        <w:ind w:left="1780" w:right="619" w:hanging="329"/>
        <w:spacing w:after="0" w:line="267"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 and</w:t>
      </w:r>
    </w:p>
    <w:p>
      <w:pPr>
        <w:spacing w:after="0" w:line="63"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or membership interests (whether general or limited).</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w:t>
      </w:r>
    </w:p>
    <w:p>
      <w:pPr>
        <w:spacing w:after="0" w:line="100" w:lineRule="exact"/>
        <w:rPr>
          <w:sz w:val="20"/>
          <w:szCs w:val="20"/>
          <w:color w:val="auto"/>
        </w:rPr>
      </w:pPr>
    </w:p>
    <w:p>
      <w:pPr>
        <w:ind w:left="1780" w:hanging="329"/>
        <w:spacing w:after="0"/>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corporation, corporate stock;</w:t>
      </w:r>
    </w:p>
    <w:p>
      <w:pPr>
        <w:spacing w:after="0" w:line="95" w:lineRule="exact"/>
        <w:rPr>
          <w:rFonts w:ascii="Times New Roman" w:cs="Times New Roman" w:eastAsia="Times New Roman" w:hAnsi="Times New Roman"/>
          <w:sz w:val="14"/>
          <w:szCs w:val="14"/>
          <w:color w:val="auto"/>
        </w:rPr>
      </w:pPr>
    </w:p>
    <w:p>
      <w:pPr>
        <w:ind w:left="1780" w:right="619" w:hanging="329"/>
        <w:spacing w:after="0" w:line="267"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association or business entity, any and all shares, interests, participations, rights or other equivalents (however designated) of corporate stock; and</w:t>
      </w:r>
    </w:p>
    <w:p>
      <w:pPr>
        <w:spacing w:after="0" w:line="63"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or limited liability company, partnership or membership interests (whether general or limited).</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w:t>
      </w:r>
      <w:r>
        <w:rPr>
          <w:rFonts w:ascii="Times New Roman" w:cs="Times New Roman" w:eastAsia="Times New Roman" w:hAnsi="Times New Roman"/>
          <w:sz w:val="14"/>
          <w:szCs w:val="14"/>
          <w:color w:val="auto"/>
        </w:rPr>
        <w:t>” means the occurrence of any of the following:</w:t>
      </w:r>
    </w:p>
    <w:p>
      <w:pPr>
        <w:spacing w:after="0" w:line="100" w:lineRule="exact"/>
        <w:rPr>
          <w:sz w:val="20"/>
          <w:szCs w:val="20"/>
          <w:color w:val="auto"/>
        </w:rPr>
      </w:pPr>
    </w:p>
    <w:p>
      <w:pPr>
        <w:jc w:val="both"/>
        <w:ind w:left="1780" w:right="439" w:hanging="329"/>
        <w:spacing w:after="0" w:line="256"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70" w:lineRule="exact"/>
        <w:rPr>
          <w:rFonts w:ascii="Times New Roman" w:cs="Times New Roman" w:eastAsia="Times New Roman" w:hAnsi="Times New Roman"/>
          <w:sz w:val="14"/>
          <w:szCs w:val="14"/>
          <w:color w:val="auto"/>
        </w:rPr>
      </w:pPr>
    </w:p>
    <w:p>
      <w:pPr>
        <w:ind w:left="1780" w:right="859" w:hanging="329"/>
        <w:spacing w:after="0" w:line="267"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of a plan for the liquidation or dissolution of Parent or the Issuer (other than in a transaction that complies with the covenant described under “—Certain Covenants—Merger, Consolidation or Sale of Assets”);</w:t>
      </w:r>
    </w:p>
    <w:p>
      <w:pPr>
        <w:spacing w:after="0" w:line="63" w:lineRule="exact"/>
        <w:rPr>
          <w:rFonts w:ascii="Times New Roman" w:cs="Times New Roman" w:eastAsia="Times New Roman" w:hAnsi="Times New Roman"/>
          <w:sz w:val="14"/>
          <w:szCs w:val="14"/>
          <w:color w:val="auto"/>
        </w:rPr>
      </w:pPr>
    </w:p>
    <w:p>
      <w:pPr>
        <w:ind w:left="1780" w:right="399" w:hanging="329"/>
        <w:spacing w:after="0" w:line="268" w:lineRule="auto"/>
        <w:tabs>
          <w:tab w:leader="none" w:pos="17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 transaction in which Parent becomes a Wholly Owned Subsidiary of another Person (other than a Person that is an individual) (the “New Parent”)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67" w:lineRule="exact"/>
        <w:rPr>
          <w:rFonts w:ascii="Times New Roman" w:cs="Times New Roman" w:eastAsia="Times New Roman" w:hAnsi="Times New Roman"/>
          <w:sz w:val="13"/>
          <w:szCs w:val="13"/>
          <w:color w:val="auto"/>
        </w:rPr>
      </w:pPr>
    </w:p>
    <w:p>
      <w:pPr>
        <w:ind w:left="1780" w:right="419" w:hanging="329"/>
        <w:spacing w:after="0" w:line="267"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3" w:lineRule="exact"/>
        <w:rPr>
          <w:rFonts w:ascii="Times New Roman" w:cs="Times New Roman" w:eastAsia="Times New Roman" w:hAnsi="Times New Roman"/>
          <w:sz w:val="14"/>
          <w:szCs w:val="14"/>
          <w:color w:val="auto"/>
        </w:rPr>
      </w:pPr>
    </w:p>
    <w:p>
      <w:pPr>
        <w:ind w:left="1780" w:right="499" w:hanging="329"/>
        <w:spacing w:after="0" w:line="267"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day on which Parent fails to own, either directly or indirectly through one or more Wholly Owned Subsidiaries, 100% of the issued and outstanding Equity Interests of Crown or Crown Americas.</w:t>
      </w:r>
    </w:p>
    <w:p>
      <w:pPr>
        <w:spacing w:after="0" w:line="1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Change of Control Repurchase Event</w:t>
      </w:r>
      <w:r>
        <w:rPr>
          <w:rFonts w:ascii="Times New Roman" w:cs="Times New Roman" w:eastAsia="Times New Roman" w:hAnsi="Times New Roman"/>
          <w:sz w:val="14"/>
          <w:szCs w:val="14"/>
          <w:color w:val="auto"/>
        </w:rPr>
        <w:t>” means the occurrence of both a Change of Control and a Ratings Event.</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0"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right="55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EBITDA</w:t>
      </w:r>
      <w:r>
        <w:rPr>
          <w:rFonts w:ascii="Times New Roman" w:cs="Times New Roman" w:eastAsia="Times New Roman" w:hAnsi="Times New Roman"/>
          <w:sz w:val="14"/>
          <w:szCs w:val="14"/>
          <w:color w:val="auto"/>
        </w:rPr>
        <w:t xml:space="preserve">” means, with respect to any Person for any period, the Consolidated Net Income of such Person and its Subsidiaries for such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to the extent deducted in computing Consolidated Net Income:</w:t>
      </w:r>
    </w:p>
    <w:p>
      <w:pPr>
        <w:spacing w:after="0" w:line="59" w:lineRule="exact"/>
        <w:rPr>
          <w:sz w:val="20"/>
          <w:szCs w:val="20"/>
          <w:color w:val="auto"/>
        </w:rPr>
      </w:pPr>
    </w:p>
    <w:p>
      <w:pPr>
        <w:ind w:left="1780" w:hanging="329"/>
        <w:spacing w:after="0"/>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taxes based on income or profits of such Person and its Subsidiaries for such period;</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Interest Expense of such Person for such period;</w:t>
      </w:r>
    </w:p>
    <w:p>
      <w:pPr>
        <w:spacing w:after="0" w:line="95" w:lineRule="exact"/>
        <w:rPr>
          <w:rFonts w:ascii="Times New Roman" w:cs="Times New Roman" w:eastAsia="Times New Roman" w:hAnsi="Times New Roman"/>
          <w:sz w:val="14"/>
          <w:szCs w:val="14"/>
          <w:color w:val="auto"/>
        </w:rPr>
      </w:pPr>
    </w:p>
    <w:p>
      <w:pPr>
        <w:ind w:left="1780" w:right="639" w:hanging="329"/>
        <w:spacing w:after="0" w:line="256"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0"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non-recurring restructuring charges or expenses of such Person and its Subsidiaries for such period,</w:t>
      </w:r>
    </w:p>
    <w:p>
      <w:pPr>
        <w:spacing w:after="0" w:line="168" w:lineRule="exact"/>
        <w:rPr>
          <w:sz w:val="20"/>
          <w:szCs w:val="20"/>
          <w:color w:val="auto"/>
        </w:rPr>
      </w:pPr>
    </w:p>
    <w:p>
      <w:pPr>
        <w:jc w:val="both"/>
        <w:ind w:left="1460" w:right="339"/>
        <w:spacing w:after="0" w:line="252" w:lineRule="auto"/>
        <w:rPr>
          <w:sz w:val="20"/>
          <w:szCs w:val="20"/>
          <w:color w:val="auto"/>
        </w:rPr>
      </w:pPr>
      <w:r>
        <w:rPr>
          <w:rFonts w:ascii="Times New Roman" w:cs="Times New Roman" w:eastAsia="Times New Roman" w:hAnsi="Times New Roman"/>
          <w:sz w:val="14"/>
          <w:szCs w:val="14"/>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42" w:lineRule="exact"/>
        <w:rPr>
          <w:sz w:val="20"/>
          <w:szCs w:val="20"/>
          <w:color w:val="auto"/>
        </w:rPr>
      </w:pPr>
    </w:p>
    <w:p>
      <w:pPr>
        <w:ind w:left="1460" w:right="37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Interest Expense</w:t>
      </w:r>
      <w:r>
        <w:rPr>
          <w:rFonts w:ascii="Times New Roman" w:cs="Times New Roman" w:eastAsia="Times New Roman" w:hAnsi="Times New Roman"/>
          <w:sz w:val="14"/>
          <w:szCs w:val="14"/>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41" w:lineRule="exact"/>
        <w:rPr>
          <w:sz w:val="20"/>
          <w:szCs w:val="20"/>
          <w:color w:val="auto"/>
        </w:rPr>
      </w:pPr>
    </w:p>
    <w:p>
      <w:pPr>
        <w:ind w:left="1460" w:right="55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Net Income</w:t>
      </w:r>
      <w:r>
        <w:rPr>
          <w:rFonts w:ascii="Times New Roman" w:cs="Times New Roman" w:eastAsia="Times New Roman" w:hAnsi="Times New Roman"/>
          <w:sz w:val="14"/>
          <w:szCs w:val="14"/>
          <w:color w:val="auto"/>
        </w:rPr>
        <w:t xml:space="preserve">” means, with respect to any Person for any period, the aggregate of the net income of such Person and its Subsidiaries for such period, on a consolidated basis, determined in accordance with GAAP;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59" w:lineRule="exact"/>
        <w:rPr>
          <w:sz w:val="20"/>
          <w:szCs w:val="20"/>
          <w:color w:val="auto"/>
        </w:rPr>
      </w:pPr>
    </w:p>
    <w:p>
      <w:pPr>
        <w:jc w:val="both"/>
        <w:ind w:left="1780" w:right="499" w:hanging="329"/>
        <w:spacing w:after="0" w:line="256"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70"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effect of a change in accounting principles shall be excluded;</w:t>
      </w:r>
    </w:p>
    <w:p>
      <w:pPr>
        <w:spacing w:after="0" w:line="95" w:lineRule="exact"/>
        <w:rPr>
          <w:rFonts w:ascii="Times New Roman" w:cs="Times New Roman" w:eastAsia="Times New Roman" w:hAnsi="Times New Roman"/>
          <w:sz w:val="14"/>
          <w:szCs w:val="14"/>
          <w:color w:val="auto"/>
        </w:rPr>
      </w:pPr>
    </w:p>
    <w:p>
      <w:pPr>
        <w:ind w:left="1780" w:right="359" w:hanging="329"/>
        <w:spacing w:after="0" w:line="256"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70" w:lineRule="exact"/>
        <w:rPr>
          <w:rFonts w:ascii="Times New Roman" w:cs="Times New Roman" w:eastAsia="Times New Roman" w:hAnsi="Times New Roman"/>
          <w:sz w:val="14"/>
          <w:szCs w:val="14"/>
          <w:color w:val="auto"/>
        </w:rPr>
      </w:pPr>
    </w:p>
    <w:p>
      <w:pPr>
        <w:ind w:left="1780" w:right="719" w:hanging="329"/>
        <w:spacing w:after="0" w:line="267"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3" w:lineRule="exact"/>
        <w:rPr>
          <w:rFonts w:ascii="Times New Roman" w:cs="Times New Roman" w:eastAsia="Times New Roman" w:hAnsi="Times New Roman"/>
          <w:sz w:val="14"/>
          <w:szCs w:val="14"/>
          <w:color w:val="auto"/>
        </w:rPr>
      </w:pPr>
    </w:p>
    <w:p>
      <w:pPr>
        <w:ind w:left="1780" w:right="619" w:hanging="329"/>
        <w:spacing w:after="0" w:line="267"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gain or loss resulting from an asset disposition by the Person in question or any of its Subsidiaries other than in the ordinary course of business shall be excluded;</w:t>
      </w:r>
    </w:p>
    <w:p>
      <w:pPr>
        <w:spacing w:after="0" w:line="63"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gains and losses shall be excluded;</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fees, charges, costs and expenses incurred in connection with the Financing Transaction shall be excluded; and</w:t>
      </w:r>
    </w:p>
    <w:p>
      <w:pPr>
        <w:spacing w:after="0" w:line="95" w:lineRule="exact"/>
        <w:rPr>
          <w:rFonts w:ascii="Times New Roman" w:cs="Times New Roman" w:eastAsia="Times New Roman" w:hAnsi="Times New Roman"/>
          <w:sz w:val="14"/>
          <w:szCs w:val="14"/>
          <w:color w:val="auto"/>
        </w:rPr>
      </w:pPr>
    </w:p>
    <w:p>
      <w:pPr>
        <w:ind w:left="1780" w:right="339" w:hanging="329"/>
        <w:spacing w:after="0" w:line="252"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right="4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Consolidated Net Tangible Assets</w:t>
      </w:r>
      <w:r>
        <w:rPr>
          <w:rFonts w:ascii="Times New Roman" w:cs="Times New Roman" w:eastAsia="Times New Roman" w:hAnsi="Times New Roman"/>
          <w:sz w:val="13"/>
          <w:szCs w:val="13"/>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sz w:val="20"/>
          <w:szCs w:val="20"/>
          <w:color w:val="auto"/>
        </w:rPr>
      </w:pPr>
    </w:p>
    <w:p>
      <w:pPr>
        <w:ind w:left="1460" w:right="799" w:hanging="9"/>
        <w:spacing w:after="0" w:line="250" w:lineRule="auto"/>
        <w:tabs>
          <w:tab w:leader="none" w:pos="165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42" w:lineRule="exact"/>
        <w:rPr>
          <w:sz w:val="20"/>
          <w:szCs w:val="20"/>
          <w:color w:val="auto"/>
        </w:rPr>
      </w:pPr>
    </w:p>
    <w:p>
      <w:pPr>
        <w:ind w:left="1460" w:right="359"/>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Secured Indebtedness</w:t>
      </w:r>
      <w:r>
        <w:rPr>
          <w:rFonts w:ascii="Times New Roman" w:cs="Times New Roman" w:eastAsia="Times New Roman" w:hAnsi="Times New Roman"/>
          <w:sz w:val="14"/>
          <w:szCs w:val="14"/>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(c) the total amount of Attributable Debt in respect of Sale and Leaseback Transactions of such Person and its Subsidiaries as of such date.</w:t>
      </w:r>
    </w:p>
    <w:p>
      <w:pPr>
        <w:spacing w:after="0" w:line="146" w:lineRule="exact"/>
        <w:rPr>
          <w:sz w:val="20"/>
          <w:szCs w:val="20"/>
          <w:color w:val="auto"/>
        </w:rPr>
      </w:pPr>
    </w:p>
    <w:p>
      <w:pPr>
        <w:ind w:left="1460" w:right="379"/>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Consolidated Secured Leverage Ratio</w:t>
      </w:r>
      <w:r>
        <w:rPr>
          <w:rFonts w:ascii="Times New Roman" w:cs="Times New Roman" w:eastAsia="Times New Roman" w:hAnsi="Times New Roman"/>
          <w:sz w:val="14"/>
          <w:szCs w:val="14"/>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Times New Roman" w:cs="Times New Roman" w:eastAsia="Times New Roman" w:hAnsi="Times New Roman"/>
          <w:sz w:val="14"/>
          <w:szCs w:val="14"/>
          <w:i w:val="1"/>
          <w:iCs w:val="1"/>
          <w:color w:val="auto"/>
        </w:rPr>
        <w:t>Calculation Date</w:t>
      </w:r>
      <w:r>
        <w:rPr>
          <w:rFonts w:ascii="Times New Roman" w:cs="Times New Roman" w:eastAsia="Times New Roman" w:hAnsi="Times New Roman"/>
          <w:sz w:val="14"/>
          <w:szCs w:val="14"/>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In addition, for purposes of calculating the Consolidated Secured Leverage Ratio:</w:t>
      </w:r>
    </w:p>
    <w:p>
      <w:pPr>
        <w:spacing w:after="0" w:line="96" w:lineRule="exact"/>
        <w:rPr>
          <w:sz w:val="20"/>
          <w:szCs w:val="20"/>
          <w:color w:val="auto"/>
        </w:rPr>
      </w:pPr>
    </w:p>
    <w:p>
      <w:pPr>
        <w:ind w:left="1780" w:right="339" w:hanging="329"/>
        <w:spacing w:after="0" w:line="249" w:lineRule="auto"/>
        <w:tabs>
          <w:tab w:leader="none" w:pos="17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76" w:lineRule="exact"/>
        <w:rPr>
          <w:rFonts w:ascii="Times New Roman" w:cs="Times New Roman" w:eastAsia="Times New Roman" w:hAnsi="Times New Roman"/>
          <w:sz w:val="14"/>
          <w:szCs w:val="14"/>
          <w:color w:val="auto"/>
        </w:rPr>
      </w:pPr>
    </w:p>
    <w:p>
      <w:pPr>
        <w:ind w:left="1780" w:right="339" w:hanging="329"/>
        <w:spacing w:after="0" w:line="267" w:lineRule="auto"/>
        <w:tabs>
          <w:tab w:leader="none" w:pos="17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EBITDA attributable to discontinued operations, as determined with GAAP, and operations or businesses disposed of prior to the Calculation Date, will be excluded,</w:t>
      </w:r>
    </w:p>
    <w:p>
      <w:pPr>
        <w:spacing w:after="0" w:line="135" w:lineRule="exact"/>
        <w:rPr>
          <w:sz w:val="20"/>
          <w:szCs w:val="20"/>
          <w:color w:val="auto"/>
        </w:rPr>
      </w:pPr>
    </w:p>
    <w:p>
      <w:pPr>
        <w:ind w:left="1460" w:right="519"/>
        <w:spacing w:after="0" w:line="250"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that clause (1) or (2) of this paragraph requires that pro forma effect be given to an 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Continuing Directors</w:t>
      </w:r>
      <w:r>
        <w:rPr>
          <w:rFonts w:ascii="Times New Roman" w:cs="Times New Roman" w:eastAsia="Times New Roman" w:hAnsi="Times New Roman"/>
          <w:sz w:val="14"/>
          <w:szCs w:val="14"/>
          <w:color w:val="auto"/>
        </w:rPr>
        <w:t>” means, as of any date of determination, any member of the Board of Directors of the relevant Person who:</w:t>
      </w:r>
    </w:p>
    <w:p>
      <w:pPr>
        <w:spacing w:after="0" w:line="100" w:lineRule="exact"/>
        <w:rPr>
          <w:sz w:val="20"/>
          <w:szCs w:val="20"/>
          <w:color w:val="auto"/>
        </w:rPr>
      </w:pPr>
    </w:p>
    <w:p>
      <w:pPr>
        <w:ind w:left="1780" w:hanging="329"/>
        <w:spacing w:after="0"/>
        <w:tabs>
          <w:tab w:leader="none" w:pos="1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a member of such Board of Directors on the issue date of the old notes; or</w:t>
      </w:r>
    </w:p>
    <w:p>
      <w:pPr>
        <w:spacing w:after="0" w:line="95" w:lineRule="exact"/>
        <w:rPr>
          <w:rFonts w:ascii="Times New Roman" w:cs="Times New Roman" w:eastAsia="Times New Roman" w:hAnsi="Times New Roman"/>
          <w:sz w:val="14"/>
          <w:szCs w:val="14"/>
          <w:color w:val="auto"/>
        </w:rPr>
      </w:pPr>
    </w:p>
    <w:p>
      <w:pPr>
        <w:ind w:left="1780" w:right="439" w:hanging="329"/>
        <w:spacing w:after="0" w:line="267" w:lineRule="auto"/>
        <w:tabs>
          <w:tab w:leader="none" w:pos="17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nominated for election or elected to such Board of Directors with the approval of a majority of the Continuing Directors who were members of such Board of Directors at the time of such nomination or election.</w:t>
      </w:r>
    </w:p>
    <w:p>
      <w:pPr>
        <w:spacing w:after="0" w:line="131" w:lineRule="exact"/>
        <w:rPr>
          <w:sz w:val="20"/>
          <w:szCs w:val="20"/>
          <w:color w:val="auto"/>
        </w:rPr>
      </w:pPr>
    </w:p>
    <w:p>
      <w:pPr>
        <w:ind w:left="1460" w:right="35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Credit Facilities</w:t>
      </w:r>
      <w:r>
        <w:rPr>
          <w:rFonts w:ascii="Times New Roman" w:cs="Times New Roman" w:eastAsia="Times New Roman" w:hAnsi="Times New Roman"/>
          <w:sz w:val="14"/>
          <w:szCs w:val="14"/>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45" w:lineRule="exact"/>
        <w:rPr>
          <w:sz w:val="20"/>
          <w:szCs w:val="20"/>
          <w:color w:val="auto"/>
        </w:rPr>
      </w:pPr>
    </w:p>
    <w:p>
      <w:pPr>
        <w:ind w:left="1460" w:right="55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Crown</w:t>
      </w:r>
      <w:r>
        <w:rPr>
          <w:rFonts w:ascii="Times New Roman" w:cs="Times New Roman" w:eastAsia="Times New Roman" w:hAnsi="Times New Roman"/>
          <w:sz w:val="14"/>
          <w:szCs w:val="14"/>
          <w:color w:val="auto"/>
        </w:rPr>
        <w:t>” means Crown Cork &amp; Seal Company, Inc., a Pennsylvania corporation, until a successor replaces such party pursuant to Article Five of the Indenture.</w:t>
      </w:r>
    </w:p>
    <w:p>
      <w:pPr>
        <w:spacing w:after="0" w:line="1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that is, or with the passage of time or the giving of notice or both would be, an Event of Default.</w:t>
      </w:r>
    </w:p>
    <w:p>
      <w:pPr>
        <w:spacing w:after="0" w:line="168" w:lineRule="exact"/>
        <w:rPr>
          <w:sz w:val="20"/>
          <w:szCs w:val="20"/>
          <w:color w:val="auto"/>
        </w:rPr>
      </w:pPr>
    </w:p>
    <w:p>
      <w:pPr>
        <w:ind w:left="1460" w:right="37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Disqualified Stock</w:t>
      </w:r>
      <w:r>
        <w:rPr>
          <w:rFonts w:ascii="Times New Roman" w:cs="Times New Roman" w:eastAsia="Times New Roman" w:hAnsi="Times New Roman"/>
          <w:sz w:val="14"/>
          <w:szCs w:val="14"/>
          <w:color w:val="auto"/>
        </w:rPr>
        <w:t>” means any Capital Stock that, by its terms (or by the terms of any security into which it is convertible or for which it is exchangeable, except to the extent such capital stock is exchangeable into Indebtedness at the option of the issuer thereof and only subject to the terms of any debt instrument to which such issuer is a party), or upon the happening of any event, matures or is mandatorily redeemable, pursuant to a sinking fund obligation or otherwise, or redeemable at the option of the holder thereof, in whole or in part, or convertible or exchangeable into Indebtedness on or prior to the date on which the new notes mature.</w:t>
      </w:r>
    </w:p>
    <w:p>
      <w:pPr>
        <w:spacing w:after="0" w:line="141" w:lineRule="exact"/>
        <w:rPr>
          <w:sz w:val="20"/>
          <w:szCs w:val="20"/>
          <w:color w:val="auto"/>
        </w:rPr>
      </w:pPr>
    </w:p>
    <w:p>
      <w:pPr>
        <w:ind w:left="1460" w:right="31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Domestic Subsidiary</w:t>
      </w:r>
      <w:r>
        <w:rPr>
          <w:rFonts w:ascii="Times New Roman" w:cs="Times New Roman" w:eastAsia="Times New Roman" w:hAnsi="Times New Roman"/>
          <w:sz w:val="14"/>
          <w:szCs w:val="14"/>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41" w:lineRule="exact"/>
        <w:rPr>
          <w:sz w:val="20"/>
          <w:szCs w:val="20"/>
          <w:color w:val="auto"/>
        </w:rPr>
      </w:pPr>
    </w:p>
    <w:p>
      <w:pPr>
        <w:ind w:left="1460" w:right="85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Equity Interests</w:t>
      </w:r>
      <w:r>
        <w:rPr>
          <w:rFonts w:ascii="Times New Roman" w:cs="Times New Roman" w:eastAsia="Times New Roman" w:hAnsi="Times New Roman"/>
          <w:sz w:val="14"/>
          <w:szCs w:val="14"/>
          <w:color w:val="auto"/>
        </w:rPr>
        <w:t>” means Capital Stock and all warrants, options or other rights to acquire Capital Stock (but excluding any debt security that is convertible into, or exchangeable for, Capital Stock).</w:t>
      </w:r>
    </w:p>
    <w:p>
      <w:pPr>
        <w:spacing w:after="0" w:line="127" w:lineRule="exact"/>
        <w:rPr>
          <w:sz w:val="20"/>
          <w:szCs w:val="20"/>
          <w:color w:val="auto"/>
        </w:rPr>
      </w:pPr>
    </w:p>
    <w:p>
      <w:pPr>
        <w:ind w:left="1460" w:right="49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Equity Offering</w:t>
      </w:r>
      <w:r>
        <w:rPr>
          <w:rFonts w:ascii="Times New Roman" w:cs="Times New Roman" w:eastAsia="Times New Roman" w:hAnsi="Times New Roman"/>
          <w:sz w:val="14"/>
          <w:szCs w:val="14"/>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of the Commission promulgated thereunder.</w:t>
      </w:r>
    </w:p>
    <w:p>
      <w:pPr>
        <w:spacing w:after="0" w:line="168" w:lineRule="exact"/>
        <w:rPr>
          <w:sz w:val="20"/>
          <w:szCs w:val="20"/>
          <w:color w:val="auto"/>
        </w:rPr>
      </w:pPr>
    </w:p>
    <w:p>
      <w:pPr>
        <w:ind w:left="1460" w:right="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Existing Credit Facility</w:t>
      </w:r>
      <w:r>
        <w:rPr>
          <w:rFonts w:ascii="Times New Roman" w:cs="Times New Roman" w:eastAsia="Times New Roman" w:hAnsi="Times New Roman"/>
          <w:sz w:val="14"/>
          <w:szCs w:val="14"/>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January 29, 2018, as amended by the Second Amendment to Amended and Restated Credit Agreement, First Amendment to the U.S. Guarantee Agreement and First Amendment to U.S. Indemnity, Subrogation and Contribution Agreement, dated as of March 23, 2018, as amended by the Incremental Amendment No. 2 and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spacing w:after="0" w:line="248" w:lineRule="auto"/>
        <w:rPr>
          <w:sz w:val="20"/>
          <w:szCs w:val="20"/>
          <w:color w:val="auto"/>
        </w:rPr>
      </w:pPr>
      <w:r>
        <w:rPr>
          <w:rFonts w:ascii="Times New Roman" w:cs="Times New Roman" w:eastAsia="Times New Roman" w:hAnsi="Times New Roman"/>
          <w:sz w:val="14"/>
          <w:szCs w:val="14"/>
          <w:color w:val="auto"/>
        </w:rPr>
        <w:t>Third Amendment to Amended and Restated Credit Agreement, dated as of December 13, 2019, as amended by the Fourth Amendment to Amended and Restated Credit Agreement, dated as of October 4, 2021, as amended by the Incremental Amendment No. 3 and Fifth Amendment to Amended and Restated Credit Agreement, dated as of August 8, 2022, as amended by the Sixth Amendment to Amended and Restated Credit Agreement, dated as of June 28, 2024, and as amended by the Seventh Amendment to Amended and Restated Credit Agreement, dated as of November 11, 2024, as such agreement may be further amended or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Financing Transaction</w:t>
      </w:r>
      <w:r>
        <w:rPr>
          <w:rFonts w:ascii="Times New Roman" w:cs="Times New Roman" w:eastAsia="Times New Roman" w:hAnsi="Times New Roman"/>
          <w:sz w:val="14"/>
          <w:szCs w:val="14"/>
          <w:color w:val="auto"/>
        </w:rPr>
        <w:t>” means issuance of the old notes and the application of the net proceeds thereof.</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Subsidiary</w:t>
      </w:r>
      <w:r>
        <w:rPr>
          <w:rFonts w:ascii="Times New Roman" w:cs="Times New Roman" w:eastAsia="Times New Roman" w:hAnsi="Times New Roman"/>
          <w:sz w:val="14"/>
          <w:szCs w:val="14"/>
          <w:color w:val="auto"/>
        </w:rPr>
        <w:t>” means any Subsidiary other than a Domestic Subsidiary.</w:t>
      </w:r>
    </w:p>
    <w:p>
      <w:pPr>
        <w:spacing w:after="0" w:line="168" w:lineRule="exact"/>
        <w:rPr>
          <w:sz w:val="20"/>
          <w:szCs w:val="20"/>
          <w:color w:val="auto"/>
        </w:rPr>
      </w:pPr>
    </w:p>
    <w:p>
      <w:pPr>
        <w:ind w:left="1460" w:right="45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GAAP</w:t>
      </w:r>
      <w:r>
        <w:rPr>
          <w:rFonts w:ascii="Times New Roman" w:cs="Times New Roman" w:eastAsia="Times New Roman" w:hAnsi="Times New Roman"/>
          <w:sz w:val="14"/>
          <w:szCs w:val="14"/>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 of the old notes.</w:t>
      </w:r>
    </w:p>
    <w:p>
      <w:pPr>
        <w:spacing w:after="0" w:line="141" w:lineRule="exact"/>
        <w:rPr>
          <w:sz w:val="20"/>
          <w:szCs w:val="20"/>
          <w:color w:val="auto"/>
        </w:rPr>
      </w:pPr>
    </w:p>
    <w:p>
      <w:pPr>
        <w:ind w:left="1460" w:right="51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Guarantee</w:t>
      </w:r>
      <w:r>
        <w:rPr>
          <w:rFonts w:ascii="Times New Roman" w:cs="Times New Roman" w:eastAsia="Times New Roman" w:hAnsi="Times New Roman"/>
          <w:sz w:val="14"/>
          <w:szCs w:val="14"/>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3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Guarantor</w:t>
      </w:r>
      <w:r>
        <w:rPr>
          <w:rFonts w:ascii="Times New Roman" w:cs="Times New Roman" w:eastAsia="Times New Roman" w:hAnsi="Times New Roman"/>
          <w:sz w:val="14"/>
          <w:szCs w:val="14"/>
          <w:color w:val="auto"/>
        </w:rPr>
        <w:t>” means:</w:t>
      </w:r>
    </w:p>
    <w:p>
      <w:pPr>
        <w:spacing w:after="0" w:line="100" w:lineRule="exact"/>
        <w:rPr>
          <w:sz w:val="20"/>
          <w:szCs w:val="20"/>
          <w:color w:val="auto"/>
        </w:rPr>
      </w:pPr>
    </w:p>
    <w:p>
      <w:pPr>
        <w:ind w:left="1780" w:hanging="329"/>
        <w:spacing w:after="0"/>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Parent;</w:t>
      </w:r>
    </w:p>
    <w:p>
      <w:pPr>
        <w:spacing w:after="0" w:line="95" w:lineRule="exact"/>
        <w:rPr>
          <w:rFonts w:ascii="Times New Roman" w:cs="Times New Roman" w:eastAsia="Times New Roman" w:hAnsi="Times New Roman"/>
          <w:sz w:val="14"/>
          <w:szCs w:val="14"/>
          <w:color w:val="auto"/>
        </w:rPr>
      </w:pPr>
    </w:p>
    <w:p>
      <w:pPr>
        <w:ind w:left="1780" w:right="839" w:hanging="329"/>
        <w:spacing w:after="0" w:line="267" w:lineRule="auto"/>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Domestic Subsidiary that executes and delivers a Note Guarantee pursuant to the covenant described under “—Certain Covenants— Additional Note Guarantees”; and</w:t>
      </w:r>
    </w:p>
    <w:p>
      <w:pPr>
        <w:spacing w:after="0" w:line="63" w:lineRule="exact"/>
        <w:rPr>
          <w:rFonts w:ascii="Times New Roman" w:cs="Times New Roman" w:eastAsia="Times New Roman" w:hAnsi="Times New Roman"/>
          <w:sz w:val="14"/>
          <w:szCs w:val="14"/>
          <w:color w:val="auto"/>
        </w:rPr>
      </w:pPr>
    </w:p>
    <w:p>
      <w:pPr>
        <w:ind w:left="1780" w:right="679" w:hanging="329"/>
        <w:spacing w:after="0" w:line="267" w:lineRule="auto"/>
        <w:tabs>
          <w:tab w:leader="none" w:pos="17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that otherwise executes and delivers a Note Guarantee, in each case, until such time as such Person is released from its Note Guarantee in accordance with the provisions of the Indenture.</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HedgingObligations</w:t>
      </w:r>
      <w:r>
        <w:rPr>
          <w:rFonts w:ascii="Times New Roman" w:cs="Times New Roman" w:eastAsia="Times New Roman" w:hAnsi="Times New Roman"/>
          <w:sz w:val="14"/>
          <w:szCs w:val="14"/>
          <w:color w:val="auto"/>
        </w:rPr>
        <w:t>” means, with respect to any Person, the obligations of such Person under:</w:t>
      </w:r>
    </w:p>
    <w:p>
      <w:pPr>
        <w:spacing w:after="0" w:line="100" w:lineRule="exact"/>
        <w:rPr>
          <w:sz w:val="20"/>
          <w:szCs w:val="20"/>
          <w:color w:val="auto"/>
        </w:rPr>
      </w:pPr>
    </w:p>
    <w:p>
      <w:pPr>
        <w:ind w:left="1780" w:right="459" w:hanging="329"/>
        <w:spacing w:after="0" w:line="267" w:lineRule="auto"/>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protection agreements including, without limitation, interest rate swap agreements, interest rate cap agreements and interest rate collar agreements;</w:t>
      </w:r>
    </w:p>
    <w:p>
      <w:pPr>
        <w:spacing w:after="0" w:line="63" w:lineRule="exact"/>
        <w:rPr>
          <w:rFonts w:ascii="Times New Roman" w:cs="Times New Roman" w:eastAsia="Times New Roman" w:hAnsi="Times New Roman"/>
          <w:sz w:val="14"/>
          <w:szCs w:val="14"/>
          <w:color w:val="auto"/>
        </w:rPr>
      </w:pPr>
    </w:p>
    <w:p>
      <w:pPr>
        <w:ind w:left="1780" w:right="919" w:hanging="329"/>
        <w:spacing w:after="0" w:line="267" w:lineRule="auto"/>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exchange contracts, currency swap agreements or other agreements or arrangements designed to protect such Person against fluctuations in interest rates or foreign exchange rates;</w:t>
      </w:r>
    </w:p>
    <w:p>
      <w:pPr>
        <w:spacing w:after="0" w:line="63" w:lineRule="exact"/>
        <w:rPr>
          <w:rFonts w:ascii="Times New Roman" w:cs="Times New Roman" w:eastAsia="Times New Roman" w:hAnsi="Times New Roman"/>
          <w:sz w:val="14"/>
          <w:szCs w:val="14"/>
          <w:color w:val="auto"/>
        </w:rPr>
      </w:pPr>
    </w:p>
    <w:p>
      <w:pPr>
        <w:ind w:left="1780" w:right="339" w:hanging="329"/>
        <w:spacing w:after="0" w:line="267" w:lineRule="auto"/>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commodity futures contract, commodity option or other similar arrangement or agreement designed to protect such Person against fluctuations in the prices of commodities; and</w:t>
      </w:r>
    </w:p>
    <w:p>
      <w:pPr>
        <w:spacing w:after="0" w:line="63"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indemnity agreements and arrangements entered into in connection with the agreements and arrangements described in clauses (1), (2) and</w:t>
      </w:r>
    </w:p>
    <w:p>
      <w:pPr>
        <w:spacing w:after="0" w:line="15"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above.</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means the Person in whose name a Note is registered on the Registrar’s books.</w:t>
      </w:r>
    </w:p>
    <w:p>
      <w:pPr>
        <w:spacing w:after="0" w:line="168" w:lineRule="exact"/>
        <w:rPr>
          <w:sz w:val="20"/>
          <w:szCs w:val="20"/>
          <w:color w:val="auto"/>
        </w:rPr>
      </w:pPr>
    </w:p>
    <w:p>
      <w:pPr>
        <w:ind w:left="1460" w:right="49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Indebtedness</w:t>
      </w:r>
      <w:r>
        <w:rPr>
          <w:rFonts w:ascii="Times New Roman" w:cs="Times New Roman" w:eastAsia="Times New Roman" w:hAnsi="Times New Roman"/>
          <w:sz w:val="14"/>
          <w:szCs w:val="14"/>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0"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spacing w:after="0" w:line="252" w:lineRule="auto"/>
        <w:rPr>
          <w:sz w:val="20"/>
          <w:szCs w:val="20"/>
          <w:color w:val="auto"/>
        </w:rPr>
      </w:pPr>
      <w:r>
        <w:rPr>
          <w:rFonts w:ascii="Times New Roman" w:cs="Times New Roman" w:eastAsia="Times New Roman" w:hAnsi="Times New Roman"/>
          <w:sz w:val="14"/>
          <w:szCs w:val="14"/>
          <w:color w:val="auto"/>
        </w:rPr>
        <w:t>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amount of any Indebtedness outstanding as of any date will be:</w:t>
      </w:r>
    </w:p>
    <w:p>
      <w:pPr>
        <w:spacing w:after="0" w:line="96" w:lineRule="exact"/>
        <w:rPr>
          <w:sz w:val="20"/>
          <w:szCs w:val="20"/>
          <w:color w:val="auto"/>
        </w:rPr>
      </w:pPr>
    </w:p>
    <w:p>
      <w:pPr>
        <w:ind w:left="1780" w:hanging="329"/>
        <w:spacing w:after="0"/>
        <w:tabs>
          <w:tab w:leader="none" w:pos="17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accreted value of the Indebtedness, in the case of any Indebtedness that does not require the current payment of interest;</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Indebtedness, in the case of any other Indebtedness; and</w:t>
      </w:r>
    </w:p>
    <w:p>
      <w:pPr>
        <w:spacing w:after="0" w:line="95"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Indebtedness of another Person secured by a Lien on the assets of the specified Person, the lesser of:</w:t>
      </w:r>
    </w:p>
    <w:p>
      <w:pPr>
        <w:spacing w:after="0" w:line="95" w:lineRule="exact"/>
        <w:rPr>
          <w:rFonts w:ascii="Times New Roman" w:cs="Times New Roman" w:eastAsia="Times New Roman" w:hAnsi="Times New Roman"/>
          <w:sz w:val="14"/>
          <w:szCs w:val="14"/>
          <w:color w:val="auto"/>
        </w:rPr>
      </w:pPr>
    </w:p>
    <w:p>
      <w:pPr>
        <w:ind w:left="2200" w:hanging="420"/>
        <w:spacing w:after="0"/>
        <w:tabs>
          <w:tab w:leader="none" w:pos="22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(as determined in good faith by Parent) of such assets at the date of determination; and</w:t>
      </w:r>
    </w:p>
    <w:p>
      <w:pPr>
        <w:spacing w:after="0" w:line="95" w:lineRule="exact"/>
        <w:rPr>
          <w:rFonts w:ascii="Times New Roman" w:cs="Times New Roman" w:eastAsia="Times New Roman" w:hAnsi="Times New Roman"/>
          <w:sz w:val="14"/>
          <w:szCs w:val="14"/>
          <w:color w:val="auto"/>
        </w:rPr>
      </w:pPr>
    </w:p>
    <w:p>
      <w:pPr>
        <w:ind w:left="2200" w:hanging="420"/>
        <w:spacing w:after="0"/>
        <w:tabs>
          <w:tab w:leader="none" w:pos="22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Indebtedness of the other Person.</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For avoidance of doubt, a letter of credit or analogous instrument will not constitute Indebtedness until it has been drawn upon.</w:t>
      </w:r>
    </w:p>
    <w:p>
      <w:pPr>
        <w:spacing w:after="0" w:line="164" w:lineRule="exact"/>
        <w:rPr>
          <w:sz w:val="20"/>
          <w:szCs w:val="20"/>
          <w:color w:val="auto"/>
        </w:rPr>
      </w:pPr>
    </w:p>
    <w:p>
      <w:pPr>
        <w:jc w:val="both"/>
        <w:ind w:left="1460" w:right="37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Investment Grade</w:t>
      </w:r>
      <w:r>
        <w:rPr>
          <w:rFonts w:ascii="Times New Roman" w:cs="Times New Roman" w:eastAsia="Times New Roman" w:hAnsi="Times New Roman"/>
          <w:sz w:val="14"/>
          <w:szCs w:val="14"/>
          <w:color w:val="auto"/>
        </w:rPr>
        <w:t>” means a rating of Baa3 or better by Moody’s (or its equivalent under any successor rating categories of Moody’s), a rating of BBB-or better by S&amp;P (or its equivalent under any successor rating categories of S&amp;P) and the equivalent Investment Grade credit rating from any additional Rating Agency or Rating Agencies selected by Parent</w:t>
      </w:r>
    </w:p>
    <w:p>
      <w:pPr>
        <w:spacing w:after="0" w:line="137" w:lineRule="exact"/>
        <w:rPr>
          <w:sz w:val="20"/>
          <w:szCs w:val="20"/>
          <w:color w:val="auto"/>
        </w:rPr>
      </w:pPr>
    </w:p>
    <w:p>
      <w:pPr>
        <w:ind w:left="1460" w:right="319"/>
        <w:spacing w:after="0" w:line="28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Lien</w:t>
      </w:r>
      <w:r>
        <w:rPr>
          <w:rFonts w:ascii="Times New Roman" w:cs="Times New Roman" w:eastAsia="Times New Roman" w:hAnsi="Times New Roman"/>
          <w:sz w:val="13"/>
          <w:szCs w:val="13"/>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25"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Make-Whole Premium</w:t>
      </w:r>
      <w:r>
        <w:rPr>
          <w:rFonts w:ascii="Times New Roman" w:cs="Times New Roman" w:eastAsia="Times New Roman" w:hAnsi="Times New Roman"/>
          <w:sz w:val="14"/>
          <w:szCs w:val="14"/>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June 1, 2028 and all remaining interest payments to and including June 1, 2028 (but excluding any interest accrued to the Make-Whole Redemption Date), discounted on a semi-annual basis (assuming a 360-day year consisting of twelve 30-day months) from June 1, 2028 to the Make-Whole Redemption Date at a per annum interest rate equal to the Applicable Treasury Rate on such Make-Whole Redemption Date plus 0.50%, over (y) the outstanding principal amount of such Note.</w:t>
      </w:r>
    </w:p>
    <w:p>
      <w:pPr>
        <w:spacing w:after="0" w:line="1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Make-Whole Redemption Date</w:t>
      </w:r>
      <w:r>
        <w:rPr>
          <w:rFonts w:ascii="Times New Roman" w:cs="Times New Roman" w:eastAsia="Times New Roman" w:hAnsi="Times New Roman"/>
          <w:sz w:val="14"/>
          <w:szCs w:val="14"/>
          <w:color w:val="auto"/>
        </w:rPr>
        <w:t>” with respect to a Make-Whole Redemption, means the date such Make Whole Redemption is effectuated.</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Moody’s</w:t>
      </w:r>
      <w:r>
        <w:rPr>
          <w:rFonts w:ascii="Times New Roman" w:cs="Times New Roman" w:eastAsia="Times New Roman" w:hAnsi="Times New Roman"/>
          <w:sz w:val="14"/>
          <w:szCs w:val="14"/>
          <w:color w:val="auto"/>
        </w:rPr>
        <w:t>” means Moody’s Investors Service, Inc., and its successors.</w:t>
      </w:r>
    </w:p>
    <w:p>
      <w:pPr>
        <w:spacing w:after="0" w:line="168" w:lineRule="exact"/>
        <w:rPr>
          <w:sz w:val="20"/>
          <w:szCs w:val="20"/>
          <w:color w:val="auto"/>
        </w:rPr>
      </w:pPr>
    </w:p>
    <w:p>
      <w:pPr>
        <w:ind w:left="1460" w:right="81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Note Guarantee</w:t>
      </w:r>
      <w:r>
        <w:rPr>
          <w:rFonts w:ascii="Times New Roman" w:cs="Times New Roman" w:eastAsia="Times New Roman" w:hAnsi="Times New Roman"/>
          <w:sz w:val="14"/>
          <w:szCs w:val="14"/>
          <w:color w:val="auto"/>
        </w:rPr>
        <w:t>” means any Guarantee of the obligations of the Issuer under the Indenture and the Notes by any Person in accordance with the provisions of the Indenture.</w:t>
      </w:r>
    </w:p>
    <w:p>
      <w:pPr>
        <w:spacing w:after="0" w:line="127" w:lineRule="exact"/>
        <w:rPr>
          <w:sz w:val="20"/>
          <w:szCs w:val="20"/>
          <w:color w:val="auto"/>
        </w:rPr>
      </w:pPr>
    </w:p>
    <w:p>
      <w:pPr>
        <w:ind w:left="1460" w:right="43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from legal counsel who is reasonably acceptable to the Trustee. Such counsel may be an employee of or counsel to Parent or any of its Subsidiaries.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right="59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Parent</w:t>
      </w:r>
      <w:r>
        <w:rPr>
          <w:rFonts w:ascii="Times New Roman" w:cs="Times New Roman" w:eastAsia="Times New Roman" w:hAnsi="Times New Roman"/>
          <w:sz w:val="14"/>
          <w:szCs w:val="14"/>
          <w:color w:val="auto"/>
        </w:rPr>
        <w:t>” means Crown Holdings, Inc., a Pennsylvania corporation, until a successor replaces such party pursuant to the Indenture and thereafter the successor.</w:t>
      </w:r>
    </w:p>
    <w:p>
      <w:pPr>
        <w:spacing w:after="0" w:line="1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Permitted Holders</w:t>
      </w:r>
      <w:r>
        <w:rPr>
          <w:rFonts w:ascii="Times New Roman" w:cs="Times New Roman" w:eastAsia="Times New Roman" w:hAnsi="Times New Roman"/>
          <w:sz w:val="14"/>
          <w:szCs w:val="14"/>
          <w:color w:val="auto"/>
        </w:rPr>
        <w:t>” means collectively, the executive officers of Parent on the issue date of the old notes.</w:t>
      </w:r>
    </w:p>
    <w:p>
      <w:pPr>
        <w:spacing w:after="0" w:line="168" w:lineRule="exact"/>
        <w:rPr>
          <w:sz w:val="20"/>
          <w:szCs w:val="20"/>
          <w:color w:val="auto"/>
        </w:rPr>
      </w:pPr>
    </w:p>
    <w:p>
      <w:pPr>
        <w:ind w:left="1460" w:right="35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 individual, partnership, corporation, limited liability company, unincorporated organization, trust or joint venture, or a governmental agency or political subdivision thereof.</w:t>
      </w:r>
    </w:p>
    <w:p>
      <w:pPr>
        <w:spacing w:after="0" w:line="127" w:lineRule="exact"/>
        <w:rPr>
          <w:sz w:val="20"/>
          <w:szCs w:val="20"/>
          <w:color w:val="auto"/>
        </w:rPr>
      </w:pPr>
    </w:p>
    <w:p>
      <w:pPr>
        <w:ind w:left="1460" w:right="33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Property</w:t>
      </w:r>
      <w:r>
        <w:rPr>
          <w:rFonts w:ascii="Times New Roman" w:cs="Times New Roman" w:eastAsia="Times New Roman" w:hAnsi="Times New Roman"/>
          <w:sz w:val="14"/>
          <w:szCs w:val="14"/>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Property Subsidiary</w:t>
      </w:r>
      <w:r>
        <w:rPr>
          <w:rFonts w:ascii="Times New Roman" w:cs="Times New Roman" w:eastAsia="Times New Roman" w:hAnsi="Times New Roman"/>
          <w:sz w:val="14"/>
          <w:szCs w:val="14"/>
          <w:color w:val="auto"/>
        </w:rPr>
        <w:t>” means any Subsidiary that owns, operates, or leases one or more Principal Properties.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Qualified Capital Stock</w:t>
      </w:r>
      <w:r>
        <w:rPr>
          <w:rFonts w:ascii="Times New Roman" w:cs="Times New Roman" w:eastAsia="Times New Roman" w:hAnsi="Times New Roman"/>
          <w:sz w:val="14"/>
          <w:szCs w:val="14"/>
          <w:color w:val="auto"/>
        </w:rPr>
        <w:t>” means any capital stock that is not Disqualified Stock.</w:t>
      </w:r>
    </w:p>
    <w:p>
      <w:pPr>
        <w:spacing w:after="0" w:line="168" w:lineRule="exact"/>
        <w:rPr>
          <w:sz w:val="20"/>
          <w:szCs w:val="20"/>
          <w:color w:val="auto"/>
        </w:rPr>
      </w:pPr>
    </w:p>
    <w:p>
      <w:pPr>
        <w:ind w:left="1460" w:right="51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Rating Agency</w:t>
      </w:r>
      <w:r>
        <w:rPr>
          <w:rFonts w:ascii="Times New Roman" w:cs="Times New Roman" w:eastAsia="Times New Roman" w:hAnsi="Times New Roman"/>
          <w:sz w:val="14"/>
          <w:szCs w:val="14"/>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37" w:lineRule="exact"/>
        <w:rPr>
          <w:sz w:val="20"/>
          <w:szCs w:val="20"/>
          <w:color w:val="auto"/>
        </w:rPr>
      </w:pPr>
    </w:p>
    <w:p>
      <w:pPr>
        <w:ind w:left="1460" w:right="37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Rating Date</w:t>
      </w:r>
      <w:r>
        <w:rPr>
          <w:rFonts w:ascii="Times New Roman" w:cs="Times New Roman" w:eastAsia="Times New Roman" w:hAnsi="Times New Roman"/>
          <w:sz w:val="14"/>
          <w:szCs w:val="14"/>
          <w:color w:val="auto"/>
        </w:rPr>
        <w:t>” means the date that is 60 days prior to the earlier of (a) a Change of Control or (b) public notice of the occurrence of a Change of Control or the intention by Parent to effect a Change of Control.</w:t>
      </w:r>
    </w:p>
    <w:p>
      <w:pPr>
        <w:spacing w:after="0" w:line="127" w:lineRule="exact"/>
        <w:rPr>
          <w:sz w:val="20"/>
          <w:szCs w:val="20"/>
          <w:color w:val="auto"/>
        </w:rPr>
      </w:pPr>
    </w:p>
    <w:p>
      <w:pPr>
        <w:ind w:left="1460" w:right="339"/>
        <w:spacing w:after="0" w:line="2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Ratings Event</w:t>
      </w:r>
      <w:r>
        <w:rPr>
          <w:rFonts w:ascii="Times New Roman" w:cs="Times New Roman" w:eastAsia="Times New Roman" w:hAnsi="Times New Roman"/>
          <w:sz w:val="13"/>
          <w:szCs w:val="13"/>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52" w:lineRule="exact"/>
        <w:rPr>
          <w:sz w:val="20"/>
          <w:szCs w:val="20"/>
          <w:color w:val="auto"/>
        </w:rPr>
      </w:pPr>
    </w:p>
    <w:p>
      <w:pPr>
        <w:ind w:left="1780" w:right="419" w:hanging="329"/>
        <w:spacing w:after="0" w:line="267" w:lineRule="auto"/>
        <w:tabs>
          <w:tab w:leader="none" w:pos="17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Notes are rated by one or both Rating Agencies on the Rating Date as Investment Grade, the rating of the Notes shall be reduced so that the Notes are rated below Investment Grade by both Rating Agencies; or</w:t>
      </w:r>
    </w:p>
    <w:p>
      <w:pPr>
        <w:spacing w:after="0" w:line="63" w:lineRule="exact"/>
        <w:rPr>
          <w:rFonts w:ascii="Times New Roman" w:cs="Times New Roman" w:eastAsia="Times New Roman" w:hAnsi="Times New Roman"/>
          <w:sz w:val="14"/>
          <w:szCs w:val="14"/>
          <w:color w:val="auto"/>
        </w:rPr>
      </w:pPr>
    </w:p>
    <w:p>
      <w:pPr>
        <w:ind w:left="1780" w:right="719" w:hanging="329"/>
        <w:spacing w:after="0" w:line="267" w:lineRule="auto"/>
        <w:tabs>
          <w:tab w:leader="none" w:pos="17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Notes are rated below Investment Grade by both Rating Agencies on the Rating Date, the rating of the Notes shall remain rated below Investment Grade by both Rating Agencies.</w:t>
      </w:r>
    </w:p>
    <w:p>
      <w:pPr>
        <w:spacing w:after="0" w:line="131" w:lineRule="exact"/>
        <w:rPr>
          <w:sz w:val="20"/>
          <w:szCs w:val="20"/>
          <w:color w:val="auto"/>
        </w:rPr>
      </w:pPr>
    </w:p>
    <w:p>
      <w:pPr>
        <w:ind w:left="1460" w:right="93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Registration Rights Agreement</w:t>
      </w:r>
      <w:r>
        <w:rPr>
          <w:rFonts w:ascii="Times New Roman" w:cs="Times New Roman" w:eastAsia="Times New Roman" w:hAnsi="Times New Roman"/>
          <w:sz w:val="14"/>
          <w:szCs w:val="14"/>
          <w:color w:val="auto"/>
        </w:rPr>
        <w:t>” means the registration rights agreement, dated as of May 27, 2025, among the Issuer, the Guarantors and the representatives to the initial purchasers party thereto.</w:t>
      </w:r>
    </w:p>
    <w:p>
      <w:pPr>
        <w:spacing w:after="0" w:line="1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Restricted Subsidiary</w:t>
      </w:r>
      <w:r>
        <w:rPr>
          <w:rFonts w:ascii="Times New Roman" w:cs="Times New Roman" w:eastAsia="Times New Roman" w:hAnsi="Times New Roman"/>
          <w:sz w:val="14"/>
          <w:szCs w:val="14"/>
          <w:color w:val="auto"/>
        </w:rPr>
        <w:t>” means a Subsidiary which is organized under the laws of the United States or any State thereof or the District of Columbia.</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S&amp;P</w:t>
      </w:r>
      <w:r>
        <w:rPr>
          <w:rFonts w:ascii="Times New Roman" w:cs="Times New Roman" w:eastAsia="Times New Roman" w:hAnsi="Times New Roman"/>
          <w:sz w:val="14"/>
          <w:szCs w:val="14"/>
          <w:color w:val="auto"/>
        </w:rPr>
        <w:t>” means Standard &amp; Poor’s Ratings Services, a division of the McGraw Hill Corporation, Inc., and its successors.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means the Securities Act of 1933, as amended, and the rules and regulations of the Commission promulgated thereunder.</w:t>
      </w:r>
    </w:p>
    <w:p>
      <w:pPr>
        <w:spacing w:after="0" w:line="168" w:lineRule="exact"/>
        <w:rPr>
          <w:sz w:val="20"/>
          <w:szCs w:val="20"/>
          <w:color w:val="auto"/>
        </w:rPr>
      </w:pPr>
    </w:p>
    <w:p>
      <w:pPr>
        <w:ind w:left="1460" w:right="999"/>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Significant Subsidiary</w:t>
      </w:r>
      <w:r>
        <w:rPr>
          <w:rFonts w:ascii="Times New Roman" w:cs="Times New Roman" w:eastAsia="Times New Roman" w:hAnsi="Times New Roman"/>
          <w:sz w:val="14"/>
          <w:szCs w:val="14"/>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0"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means, with respect to any Person:</w:t>
      </w:r>
    </w:p>
    <w:p>
      <w:pPr>
        <w:spacing w:after="0" w:line="100" w:lineRule="exact"/>
        <w:rPr>
          <w:sz w:val="20"/>
          <w:szCs w:val="20"/>
          <w:color w:val="auto"/>
        </w:rPr>
      </w:pPr>
    </w:p>
    <w:p>
      <w:pPr>
        <w:ind w:left="1780" w:right="579" w:hanging="329"/>
        <w:spacing w:after="0" w:line="306" w:lineRule="auto"/>
        <w:tabs>
          <w:tab w:leader="none" w:pos="17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40" w:lineRule="exact"/>
        <w:rPr>
          <w:rFonts w:ascii="Times New Roman" w:cs="Times New Roman" w:eastAsia="Times New Roman" w:hAnsi="Times New Roman"/>
          <w:sz w:val="13"/>
          <w:szCs w:val="13"/>
          <w:color w:val="auto"/>
        </w:rPr>
      </w:pPr>
    </w:p>
    <w:p>
      <w:pPr>
        <w:ind w:left="1780" w:right="379" w:hanging="329"/>
        <w:spacing w:after="0" w:line="267" w:lineRule="auto"/>
        <w:tabs>
          <w:tab w:leader="none" w:pos="17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31" w:lineRule="exact"/>
        <w:rPr>
          <w:sz w:val="20"/>
          <w:szCs w:val="20"/>
          <w:color w:val="auto"/>
        </w:rPr>
      </w:pPr>
    </w:p>
    <w:p>
      <w:pPr>
        <w:jc w:val="both"/>
        <w:ind w:left="1460" w:right="55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Transfer</w:t>
      </w:r>
      <w:r>
        <w:rPr>
          <w:rFonts w:ascii="Times New Roman" w:cs="Times New Roman" w:eastAsia="Times New Roman" w:hAnsi="Times New Roman"/>
          <w:sz w:val="14"/>
          <w:szCs w:val="14"/>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37" w:lineRule="exact"/>
        <w:rPr>
          <w:sz w:val="20"/>
          <w:szCs w:val="20"/>
          <w:color w:val="auto"/>
        </w:rPr>
      </w:pPr>
    </w:p>
    <w:p>
      <w:pPr>
        <w:ind w:left="1460" w:right="69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Voting Stock</w:t>
      </w:r>
      <w:r>
        <w:rPr>
          <w:rFonts w:ascii="Times New Roman" w:cs="Times New Roman" w:eastAsia="Times New Roman" w:hAnsi="Times New Roman"/>
          <w:sz w:val="14"/>
          <w:szCs w:val="14"/>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37" w:lineRule="exact"/>
        <w:rPr>
          <w:sz w:val="20"/>
          <w:szCs w:val="20"/>
          <w:color w:val="auto"/>
        </w:rPr>
      </w:pPr>
    </w:p>
    <w:p>
      <w:pPr>
        <w:jc w:val="both"/>
        <w:ind w:left="1460" w:right="37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Wholly Owned Subsidiary</w:t>
      </w:r>
      <w:r>
        <w:rPr>
          <w:rFonts w:ascii="Times New Roman" w:cs="Times New Roman" w:eastAsia="Times New Roman" w:hAnsi="Times New Roman"/>
          <w:sz w:val="14"/>
          <w:szCs w:val="14"/>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Certain Bankruptcy and Fraudulent Transfer Limitations</w:t>
      </w:r>
    </w:p>
    <w:p>
      <w:pPr>
        <w:spacing w:after="0" w:line="90" w:lineRule="exact"/>
        <w:rPr>
          <w:sz w:val="20"/>
          <w:szCs w:val="20"/>
          <w:color w:val="auto"/>
        </w:rPr>
      </w:pPr>
    </w:p>
    <w:p>
      <w:pPr>
        <w:ind w:left="1460" w:right="579"/>
        <w:spacing w:after="0" w:line="267" w:lineRule="auto"/>
        <w:rPr>
          <w:sz w:val="20"/>
          <w:szCs w:val="20"/>
          <w:color w:val="auto"/>
        </w:rPr>
      </w:pPr>
      <w:r>
        <w:rPr>
          <w:rFonts w:ascii="Times New Roman" w:cs="Times New Roman" w:eastAsia="Times New Roman" w:hAnsi="Times New Roman"/>
          <w:sz w:val="14"/>
          <w:szCs w:val="14"/>
          <w:color w:val="auto"/>
        </w:rPr>
        <w:t>Fraudulent transfer, insolvency and administrative laws may void, subordinate or limit the Notes and Note Guarantees and may otherwise limit your ability to enforce your rights under the Notes and the Note Guarantees.</w:t>
      </w:r>
    </w:p>
    <w:p>
      <w:pPr>
        <w:spacing w:after="0" w:line="135"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 Guarantor intended to hinder, delay or defraud any present or future creditor; or received less than reasonably equivalent value or fair consideration for the incurrence of such indebtedness and either:</w:t>
      </w:r>
    </w:p>
    <w:p>
      <w:pPr>
        <w:spacing w:after="0" w:line="76" w:lineRule="exact"/>
        <w:rPr>
          <w:sz w:val="20"/>
          <w:szCs w:val="20"/>
          <w:color w:val="auto"/>
        </w:rPr>
      </w:pPr>
    </w:p>
    <w:p>
      <w:pPr>
        <w:ind w:left="1780" w:hanging="247"/>
        <w:spacing w:after="0"/>
        <w:tabs>
          <w:tab w:leader="none" w:pos="1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insolvent or rendered insolvent by reason of such incurrence;</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engaged in a business or transaction for which Parent’s or such Guarantor’s remaining assets constituted unreasonably small capital; or</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incur, or believed that it would incur, debts beyond its ability to pay such debts as they mature.</w:t>
      </w:r>
    </w:p>
    <w:p>
      <w:pPr>
        <w:spacing w:after="0" w:line="168"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63" w:lineRule="exact"/>
        <w:rPr>
          <w:sz w:val="20"/>
          <w:szCs w:val="20"/>
          <w:color w:val="auto"/>
        </w:rPr>
      </w:pPr>
    </w:p>
    <w:p>
      <w:pPr>
        <w:ind w:left="1780" w:hanging="247"/>
        <w:spacing w:after="0"/>
        <w:tabs>
          <w:tab w:leader="none" w:pos="17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its debts, including contingent liabilities, was greater than the saleable value of all of its assets;</w:t>
      </w:r>
    </w:p>
    <w:p>
      <w:pPr>
        <w:spacing w:after="0" w:line="95" w:lineRule="exact"/>
        <w:rPr>
          <w:rFonts w:ascii="Times New Roman" w:cs="Times New Roman" w:eastAsia="Times New Roman" w:hAnsi="Times New Roman"/>
          <w:sz w:val="14"/>
          <w:szCs w:val="14"/>
          <w:color w:val="auto"/>
        </w:rPr>
      </w:pPr>
    </w:p>
    <w:p>
      <w:pPr>
        <w:ind w:left="1780" w:right="659" w:hanging="247"/>
        <w:spacing w:after="0" w:line="267" w:lineRule="auto"/>
        <w:tabs>
          <w:tab w:leader="none" w:pos="17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could not pay its debts as they become due.</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spacing w:after="0" w:line="268" w:lineRule="auto"/>
        <w:rPr>
          <w:sz w:val="20"/>
          <w:szCs w:val="20"/>
          <w:color w:val="auto"/>
        </w:rPr>
      </w:pPr>
      <w:r>
        <w:rPr>
          <w:rFonts w:ascii="Times New Roman" w:cs="Times New Roman" w:eastAsia="Times New Roman" w:hAnsi="Times New Roman"/>
          <w:sz w:val="13"/>
          <w:szCs w:val="13"/>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39" w:lineRule="exact"/>
        <w:rPr>
          <w:sz w:val="20"/>
          <w:szCs w:val="20"/>
          <w:color w:val="auto"/>
        </w:rPr>
      </w:pPr>
    </w:p>
    <w:p>
      <w:pPr>
        <w:ind w:left="1460" w:right="379"/>
        <w:spacing w:after="0" w:line="252" w:lineRule="auto"/>
        <w:rPr>
          <w:sz w:val="20"/>
          <w:szCs w:val="20"/>
          <w:color w:val="auto"/>
        </w:rPr>
      </w:pPr>
      <w:r>
        <w:rPr>
          <w:rFonts w:ascii="Times New Roman" w:cs="Times New Roman" w:eastAsia="Times New Roman" w:hAnsi="Times New Roman"/>
          <w:sz w:val="14"/>
          <w:szCs w:val="14"/>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74" w:lineRule="exact"/>
        <w:rPr>
          <w:sz w:val="20"/>
          <w:szCs w:val="20"/>
          <w:color w:val="auto"/>
        </w:rPr>
      </w:pPr>
    </w:p>
    <w:p>
      <w:pPr>
        <w:ind w:left="1780" w:hanging="247"/>
        <w:spacing w:after="0"/>
        <w:tabs>
          <w:tab w:leader="none" w:pos="1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automatic stay;</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avoidance of preferential transfers by a trustee or debtor-in-possession;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substantive consolidation;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collectibility of unmatured interest or attorney fees;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fraudulent conveyance; and</w:t>
      </w:r>
    </w:p>
    <w:p>
      <w:pPr>
        <w:spacing w:after="0" w:line="95" w:lineRule="exact"/>
        <w:rPr>
          <w:rFonts w:ascii="Times New Roman" w:cs="Times New Roman" w:eastAsia="Times New Roman" w:hAnsi="Times New Roman"/>
          <w:sz w:val="14"/>
          <w:szCs w:val="14"/>
          <w:color w:val="auto"/>
        </w:rPr>
      </w:pPr>
    </w:p>
    <w:p>
      <w:pPr>
        <w:ind w:left="1780" w:right="579" w:hanging="247"/>
        <w:spacing w:after="0" w:line="267" w:lineRule="auto"/>
        <w:tabs>
          <w:tab w:leader="none" w:pos="1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forced restructuring of the Notes, including reduction of principal amounts and interest rates and extension of maturity dates, over the holders’ objections.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90" w:lineRule="exact"/>
        <w:rPr>
          <w:sz w:val="20"/>
          <w:szCs w:val="20"/>
          <w:color w:val="auto"/>
        </w:rPr>
      </w:pPr>
    </w:p>
    <w:p>
      <w:pPr>
        <w:jc w:val="both"/>
        <w:ind w:left="1460" w:right="499"/>
        <w:spacing w:after="0" w:line="256" w:lineRule="auto"/>
        <w:rPr>
          <w:sz w:val="20"/>
          <w:szCs w:val="20"/>
          <w:color w:val="auto"/>
        </w:rPr>
      </w:pPr>
      <w:r>
        <w:rPr>
          <w:rFonts w:ascii="Times New Roman" w:cs="Times New Roman" w:eastAsia="Times New Roman" w:hAnsi="Times New Roman"/>
          <w:sz w:val="14"/>
          <w:szCs w:val="14"/>
          <w:color w:val="auto"/>
        </w:rPr>
        <w:t>The certificates representing the old notes have been, and in the case of the new notes will be issued, in fully registered form without interest coupons and represented by one or more global notes in fully registered form without interest coupons (each, a “Global Note”) deposited with the Trustee as a custodian for The Depositary Trust Company (“</w:t>
      </w:r>
      <w:r>
        <w:rPr>
          <w:rFonts w:ascii="Times New Roman" w:cs="Times New Roman" w:eastAsia="Times New Roman" w:hAnsi="Times New Roman"/>
          <w:sz w:val="14"/>
          <w:szCs w:val="14"/>
          <w:i w:val="1"/>
          <w:iCs w:val="1"/>
          <w:color w:val="auto"/>
        </w:rPr>
        <w:t>DTC</w:t>
      </w:r>
      <w:r>
        <w:rPr>
          <w:rFonts w:ascii="Times New Roman" w:cs="Times New Roman" w:eastAsia="Times New Roman" w:hAnsi="Times New Roman"/>
          <w:sz w:val="14"/>
          <w:szCs w:val="14"/>
          <w:color w:val="auto"/>
        </w:rPr>
        <w:t>”) and registered in the name of a nominee DTC.</w:t>
      </w:r>
    </w:p>
    <w:p>
      <w:pPr>
        <w:spacing w:after="0" w:line="143" w:lineRule="exact"/>
        <w:rPr>
          <w:sz w:val="20"/>
          <w:szCs w:val="20"/>
          <w:color w:val="auto"/>
        </w:rPr>
      </w:pPr>
    </w:p>
    <w:p>
      <w:pPr>
        <w:ind w:left="1460" w:right="539"/>
        <w:spacing w:after="0" w:line="256" w:lineRule="auto"/>
        <w:rPr>
          <w:sz w:val="20"/>
          <w:szCs w:val="20"/>
          <w:color w:val="auto"/>
        </w:rPr>
      </w:pPr>
      <w:r>
        <w:rPr>
          <w:rFonts w:ascii="Times New Roman" w:cs="Times New Roman" w:eastAsia="Times New Roman" w:hAnsi="Times New Roman"/>
          <w:sz w:val="14"/>
          <w:szCs w:val="14"/>
          <w:color w:val="auto"/>
        </w:rPr>
        <w:t>Old notes sold in reliance on Rule 144A promulgated under the Securities Act (“Rule 144A”) were initially represented by permanent global notes in fully registered form without interest coupons (each, a “Restricted Global Note”) and were deposited with the Trustee as a custodian for DTC and registered in the name of a nominee of such depositary.</w:t>
      </w:r>
    </w:p>
    <w:p>
      <w:pPr>
        <w:spacing w:after="0" w:line="143" w:lineRule="exact"/>
        <w:rPr>
          <w:sz w:val="20"/>
          <w:szCs w:val="20"/>
          <w:color w:val="auto"/>
        </w:rPr>
      </w:pPr>
    </w:p>
    <w:p>
      <w:pPr>
        <w:ind w:left="1460" w:right="379"/>
        <w:spacing w:after="0" w:line="248" w:lineRule="auto"/>
        <w:rPr>
          <w:sz w:val="20"/>
          <w:szCs w:val="20"/>
          <w:color w:val="auto"/>
        </w:rPr>
      </w:pPr>
      <w:r>
        <w:rPr>
          <w:rFonts w:ascii="Times New Roman" w:cs="Times New Roman" w:eastAsia="Times New Roman" w:hAnsi="Times New Roman"/>
          <w:sz w:val="14"/>
          <w:szCs w:val="14"/>
          <w:color w:val="auto"/>
        </w:rPr>
        <w:t>Old notes sold in offshore transactions in reliance on Regulation S under the Securities Act were initially represented by temporary global notes in fully registered form without interest coupons (each, a “Temporary Regulation S Global Note”) and were deposited with the Trustee as custodian for DTC, as depositary, and registered in the name of a nominee of such depositary. Each Temporary Regulation S Global Note was exchangeable for a single permanent global note after the expiration of the “distribution compliance period” (as defined in Regulation S) and the certification required by Regulation S. Prior to such time, a beneficial interest in the Temporary Regulation S Global Note was transferable in the form of an interest in the Restricted Global Note only upon receipt by the Trustee of a written certification from the transferor to the effect that such transfer is being made to a person whom the transferor reasonably believes is a “qualified institutional buyer” (as defined in</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99"/>
        <w:spacing w:after="0" w:line="256" w:lineRule="auto"/>
        <w:rPr>
          <w:sz w:val="20"/>
          <w:szCs w:val="20"/>
          <w:color w:val="auto"/>
        </w:rPr>
      </w:pPr>
      <w:r>
        <w:rPr>
          <w:rFonts w:ascii="Times New Roman" w:cs="Times New Roman" w:eastAsia="Times New Roman" w:hAnsi="Times New Roman"/>
          <w:sz w:val="14"/>
          <w:szCs w:val="14"/>
          <w:color w:val="auto"/>
        </w:rPr>
        <w:t>Rule 144A) (“QIB”) in a transaction meeting the requirements of Rule 144A. Beneficial interests in a Restricted Global Note were transferable in the form of an interest in a Regulation S Global Note whether before, on or after such time, only upon receipt by the Trustee of a written certification to the effect that such transfer is being made in accordance with Regulation S.</w:t>
      </w:r>
    </w:p>
    <w:p>
      <w:pPr>
        <w:spacing w:after="0" w:line="143" w:lineRule="exact"/>
        <w:rPr>
          <w:sz w:val="20"/>
          <w:szCs w:val="20"/>
          <w:color w:val="auto"/>
        </w:rPr>
      </w:pPr>
    </w:p>
    <w:p>
      <w:pPr>
        <w:ind w:left="1460" w:right="339"/>
        <w:spacing w:after="0" w:line="278" w:lineRule="auto"/>
        <w:rPr>
          <w:sz w:val="20"/>
          <w:szCs w:val="20"/>
          <w:color w:val="auto"/>
        </w:rPr>
      </w:pPr>
      <w:r>
        <w:rPr>
          <w:rFonts w:ascii="Times New Roman" w:cs="Times New Roman" w:eastAsia="Times New Roman" w:hAnsi="Times New Roman"/>
          <w:sz w:val="13"/>
          <w:szCs w:val="13"/>
          <w:color w:val="auto"/>
        </w:rPr>
        <w:t>Any beneficial interest in a Regulation S Global Note or a Restricted Global Note (each a, “Transferrable Note”) that was transferred in the form of an interest in a Restricted Global Note or a Regulation S Global Note, as applicable, upon transfer, ceased to be an interest in the type of Transferrable Note previously held and became an interest in the other type of Transferrable Note and, accordingly, thereafter became subject to all transfer restrictions, if any, and other procedures applicable to beneficial interests in such other type of Transferrable Note for as long as it remained such an interest.</w:t>
      </w: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The Global Notes</w:t>
      </w:r>
    </w:p>
    <w:p>
      <w:pPr>
        <w:spacing w:after="0" w:line="90" w:lineRule="exact"/>
        <w:rPr>
          <w:sz w:val="20"/>
          <w:szCs w:val="20"/>
          <w:color w:val="auto"/>
        </w:rPr>
      </w:pPr>
    </w:p>
    <w:p>
      <w:pPr>
        <w:ind w:left="1460" w:right="399"/>
        <w:spacing w:after="0" w:line="248" w:lineRule="auto"/>
        <w:rPr>
          <w:sz w:val="20"/>
          <w:szCs w:val="20"/>
          <w:color w:val="auto"/>
        </w:rPr>
      </w:pPr>
      <w:r>
        <w:rPr>
          <w:rFonts w:ascii="Times New Roman" w:cs="Times New Roman" w:eastAsia="Times New Roman" w:hAnsi="Times New Roman"/>
          <w:sz w:val="14"/>
          <w:szCs w:val="14"/>
          <w:color w:val="auto"/>
        </w:rPr>
        <w:t>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persons who have accounts with DTC (“participants”) or persons who hold interests through participants. Holders may hold their interests in the Global Notes directly through DTC if they are participants in such system, or indirectly through organizations which are participants in such system.</w:t>
      </w:r>
    </w:p>
    <w:p>
      <w:pPr>
        <w:spacing w:after="0" w:line="149" w:lineRule="exact"/>
        <w:rPr>
          <w:sz w:val="20"/>
          <w:szCs w:val="20"/>
          <w:color w:val="auto"/>
        </w:rPr>
      </w:pPr>
    </w:p>
    <w:p>
      <w:pPr>
        <w:ind w:left="1460" w:right="479"/>
        <w:spacing w:after="0" w:line="252" w:lineRule="auto"/>
        <w:rPr>
          <w:sz w:val="20"/>
          <w:szCs w:val="20"/>
          <w:color w:val="auto"/>
        </w:rPr>
      </w:pPr>
      <w:r>
        <w:rPr>
          <w:rFonts w:ascii="Times New Roman" w:cs="Times New Roman" w:eastAsia="Times New Roman" w:hAnsi="Times New Roman"/>
          <w:sz w:val="14"/>
          <w:szCs w:val="14"/>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46" w:lineRule="exact"/>
        <w:rPr>
          <w:sz w:val="20"/>
          <w:szCs w:val="20"/>
          <w:color w:val="auto"/>
        </w:rPr>
      </w:pPr>
    </w:p>
    <w:p>
      <w:pPr>
        <w:ind w:left="1460" w:right="419"/>
        <w:spacing w:after="0" w:line="252" w:lineRule="auto"/>
        <w:rPr>
          <w:sz w:val="20"/>
          <w:szCs w:val="20"/>
          <w:color w:val="auto"/>
        </w:rPr>
      </w:pPr>
      <w:r>
        <w:rPr>
          <w:rFonts w:ascii="Times New Roman" w:cs="Times New Roman" w:eastAsia="Times New Roman" w:hAnsi="Times New Roman"/>
          <w:sz w:val="14"/>
          <w:szCs w:val="14"/>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46" w:lineRule="exact"/>
        <w:rPr>
          <w:sz w:val="20"/>
          <w:szCs w:val="20"/>
          <w:color w:val="auto"/>
        </w:rPr>
      </w:pPr>
    </w:p>
    <w:p>
      <w:pPr>
        <w:ind w:left="1460" w:right="399"/>
        <w:spacing w:after="0" w:line="250" w:lineRule="auto"/>
        <w:rPr>
          <w:sz w:val="20"/>
          <w:szCs w:val="20"/>
          <w:color w:val="auto"/>
        </w:rPr>
      </w:pPr>
      <w:r>
        <w:rPr>
          <w:rFonts w:ascii="Times New Roman" w:cs="Times New Roman" w:eastAsia="Times New Roman" w:hAnsi="Times New Roman"/>
          <w:sz w:val="14"/>
          <w:szCs w:val="14"/>
          <w:color w:val="auto"/>
        </w:rPr>
        <w:t>The Issuer expects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 also expects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48" w:lineRule="exact"/>
        <w:rPr>
          <w:sz w:val="20"/>
          <w:szCs w:val="20"/>
          <w:color w:val="auto"/>
        </w:rPr>
      </w:pPr>
    </w:p>
    <w:p>
      <w:pPr>
        <w:jc w:val="both"/>
        <w:ind w:left="1460" w:right="519"/>
        <w:spacing w:after="0" w:line="252" w:lineRule="auto"/>
        <w:rPr>
          <w:sz w:val="20"/>
          <w:szCs w:val="20"/>
          <w:color w:val="auto"/>
        </w:rPr>
      </w:pPr>
      <w:r>
        <w:rPr>
          <w:rFonts w:ascii="Times New Roman" w:cs="Times New Roman" w:eastAsia="Times New Roman" w:hAnsi="Times New Roman"/>
          <w:sz w:val="14"/>
          <w:szCs w:val="14"/>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46" w:lineRule="exact"/>
        <w:rPr>
          <w:sz w:val="20"/>
          <w:szCs w:val="20"/>
          <w:color w:val="auto"/>
        </w:rPr>
      </w:pPr>
    </w:p>
    <w:p>
      <w:pPr>
        <w:jc w:val="both"/>
        <w:ind w:left="1460" w:right="499"/>
        <w:spacing w:after="0" w:line="267" w:lineRule="auto"/>
        <w:rPr>
          <w:sz w:val="20"/>
          <w:szCs w:val="20"/>
          <w:color w:val="auto"/>
        </w:rPr>
      </w:pPr>
      <w:r>
        <w:rPr>
          <w:rFonts w:ascii="Times New Roman" w:cs="Times New Roman" w:eastAsia="Times New Roman" w:hAnsi="Times New Roman"/>
          <w:sz w:val="14"/>
          <w:szCs w:val="14"/>
          <w:color w:val="auto"/>
        </w:rPr>
        <w:t>DTC has advised the Issuer that it will take any action permitted to be taken by a holder of Notes (including the presentation of Notes for exchange as described below) only at the direction of one or more participants to whose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19"/>
        <w:spacing w:after="0" w:line="285" w:lineRule="auto"/>
        <w:rPr>
          <w:sz w:val="20"/>
          <w:szCs w:val="20"/>
          <w:color w:val="auto"/>
        </w:rPr>
      </w:pPr>
      <w:r>
        <w:rPr>
          <w:rFonts w:ascii="Times New Roman" w:cs="Times New Roman" w:eastAsia="Times New Roman" w:hAnsi="Times New Roman"/>
          <w:sz w:val="13"/>
          <w:szCs w:val="13"/>
          <w:color w:val="auto"/>
        </w:rPr>
        <w:t>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25" w:lineRule="exact"/>
        <w:rPr>
          <w:sz w:val="20"/>
          <w:szCs w:val="20"/>
          <w:color w:val="auto"/>
        </w:rPr>
      </w:pPr>
    </w:p>
    <w:p>
      <w:pPr>
        <w:ind w:left="1460" w:right="359"/>
        <w:spacing w:after="0" w:line="248" w:lineRule="auto"/>
        <w:rPr>
          <w:sz w:val="20"/>
          <w:szCs w:val="20"/>
          <w:color w:val="auto"/>
        </w:rPr>
      </w:pPr>
      <w:r>
        <w:rPr>
          <w:rFonts w:ascii="Times New Roman" w:cs="Times New Roman" w:eastAsia="Times New Roman" w:hAnsi="Times New Roman"/>
          <w:sz w:val="14"/>
          <w:szCs w:val="14"/>
          <w:color w:val="auto"/>
        </w:rPr>
        <w:t>DTC has advised the Issuer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Times New Roman" w:cs="Times New Roman" w:eastAsia="Times New Roman" w:hAnsi="Times New Roman"/>
          <w:sz w:val="14"/>
          <w:szCs w:val="14"/>
          <w:i w:val="1"/>
          <w:iCs w:val="1"/>
          <w:color w:val="auto"/>
        </w:rPr>
        <w:t>indirect participants</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left="1460" w:right="419"/>
        <w:spacing w:after="0" w:line="252" w:lineRule="auto"/>
        <w:rPr>
          <w:sz w:val="20"/>
          <w:szCs w:val="20"/>
          <w:color w:val="auto"/>
        </w:rPr>
      </w:pPr>
      <w:r>
        <w:rPr>
          <w:rFonts w:ascii="Times New Roman" w:cs="Times New Roman" w:eastAsia="Times New Roman" w:hAnsi="Times New Roman"/>
          <w:sz w:val="14"/>
          <w:szCs w:val="14"/>
          <w:color w:val="auto"/>
        </w:rPr>
        <w:t>Although DTC has agreed to the foregoing procedures in order to facilitate transfers of interests in the Global Notes among participants of DTC, it is under no obligation to perform such procedures, and such procedures may be discontinued at any time. Neither the Issuer nor the Trustee will have any responsibility for the performance by DTC or its participants or indirect participants of their respective obligations under the rules and procedures governing their operations.</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Certificated Securities</w:t>
      </w:r>
    </w:p>
    <w:p>
      <w:pPr>
        <w:spacing w:after="0" w:line="90" w:lineRule="exact"/>
        <w:rPr>
          <w:sz w:val="20"/>
          <w:szCs w:val="20"/>
          <w:color w:val="auto"/>
        </w:rPr>
      </w:pPr>
    </w:p>
    <w:p>
      <w:pPr>
        <w:ind w:left="1460" w:right="399"/>
        <w:spacing w:after="0" w:line="256" w:lineRule="auto"/>
        <w:rPr>
          <w:sz w:val="20"/>
          <w:szCs w:val="20"/>
          <w:color w:val="auto"/>
        </w:rPr>
      </w:pPr>
      <w:r>
        <w:rPr>
          <w:rFonts w:ascii="Times New Roman" w:cs="Times New Roman" w:eastAsia="Times New Roman" w:hAnsi="Times New Roman"/>
          <w:sz w:val="14"/>
          <w:szCs w:val="14"/>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 within 90 days.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0"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172" w:lineRule="exact"/>
        <w:rPr>
          <w:sz w:val="20"/>
          <w:szCs w:val="20"/>
          <w:color w:val="auto"/>
        </w:rPr>
      </w:pPr>
    </w:p>
    <w:p>
      <w:pPr>
        <w:ind w:left="1460" w:right="359"/>
        <w:spacing w:after="0" w:line="252" w:lineRule="auto"/>
        <w:rPr>
          <w:sz w:val="20"/>
          <w:szCs w:val="20"/>
          <w:color w:val="auto"/>
        </w:rPr>
      </w:pPr>
      <w:r>
        <w:rPr>
          <w:rFonts w:ascii="Times New Roman" w:cs="Times New Roman" w:eastAsia="Times New Roman" w:hAnsi="Times New Roman"/>
          <w:sz w:val="14"/>
          <w:szCs w:val="14"/>
          <w:color w:val="auto"/>
        </w:rPr>
        <w:t>This section describes certain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including, but not limited to:</w:t>
      </w:r>
    </w:p>
    <w:p>
      <w:pPr>
        <w:spacing w:after="0" w:line="74" w:lineRule="exact"/>
        <w:rPr>
          <w:sz w:val="20"/>
          <w:szCs w:val="20"/>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dealer in securities or currencies,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trader in securities that elects to use a mark-to-market method of accounting for your securities holdings,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 or other financial institution,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regulated investment company or real estate investment trust,</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life insurance company,</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 corporation or an entity or arrangement treated as a partnership for U.S. federal income tax purposes (and investors therein),</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former citizen or long-term resident of the United States,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owns new notes that are a hedge or that are hedged against interest rate risks,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owns new notes as part of a straddle or conversion transaction for U.S. federal income tax purposes,</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subject to the alternative minimum tax,</w:t>
      </w:r>
    </w:p>
    <w:p>
      <w:pPr>
        <w:spacing w:after="0" w:line="95" w:lineRule="exact"/>
        <w:rPr>
          <w:rFonts w:ascii="Times New Roman" w:cs="Times New Roman" w:eastAsia="Times New Roman" w:hAnsi="Times New Roman"/>
          <w:sz w:val="14"/>
          <w:szCs w:val="14"/>
          <w:color w:val="auto"/>
        </w:rPr>
      </w:pPr>
    </w:p>
    <w:p>
      <w:pPr>
        <w:ind w:left="1780" w:right="539" w:hanging="247"/>
        <w:spacing w:after="0" w:line="267" w:lineRule="auto"/>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required to accelerate the recognition of any item of gross income with respect to the notes as a result of such income being taken into account on an applicable financial statement,</w:t>
      </w:r>
    </w:p>
    <w:p>
      <w:pPr>
        <w:spacing w:after="0" w:line="63" w:lineRule="exact"/>
        <w:rPr>
          <w:rFonts w:ascii="Times New Roman" w:cs="Times New Roman" w:eastAsia="Times New Roman" w:hAnsi="Times New Roman"/>
          <w:sz w:val="14"/>
          <w:szCs w:val="14"/>
          <w:color w:val="auto"/>
        </w:rPr>
      </w:pPr>
    </w:p>
    <w:p>
      <w:pPr>
        <w:ind w:left="1780" w:right="719" w:hanging="247"/>
        <w:spacing w:after="0" w:line="267" w:lineRule="auto"/>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15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(as defined below) that holds notes through a non-U.S. broker or other non-U.S. intermediary, or</w:t>
      </w:r>
    </w:p>
    <w:p>
      <w:pPr>
        <w:spacing w:after="0" w:line="188"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(as defined below) whose functional currency for tax purposes is not the U.S. dollar.</w:t>
      </w:r>
    </w:p>
    <w:p>
      <w:pPr>
        <w:spacing w:after="0" w:line="16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left="1460" w:right="339"/>
        <w:spacing w:after="0" w:line="254" w:lineRule="auto"/>
        <w:rPr>
          <w:sz w:val="20"/>
          <w:szCs w:val="20"/>
          <w:color w:val="auto"/>
        </w:rPr>
      </w:pPr>
      <w:r>
        <w:rPr>
          <w:rFonts w:ascii="Times New Roman" w:cs="Times New Roman" w:eastAsia="Times New Roman" w:hAnsi="Times New Roman"/>
          <w:sz w:val="14"/>
          <w:szCs w:val="14"/>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NON-U.S. TAX LAWS AND ANY PROPOSED CHANGES IN APPLICABLE TAX LAWS.</w:t>
      </w:r>
    </w:p>
    <w:p>
      <w:pPr>
        <w:spacing w:after="0" w:line="14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left="1460" w:right="699"/>
        <w:spacing w:after="0" w:line="256" w:lineRule="auto"/>
        <w:rPr>
          <w:sz w:val="20"/>
          <w:szCs w:val="20"/>
          <w:color w:val="auto"/>
        </w:rPr>
      </w:pPr>
      <w:r>
        <w:rPr>
          <w:rFonts w:ascii="Times New Roman" w:cs="Times New Roman" w:eastAsia="Times New Roman" w:hAnsi="Times New Roman"/>
          <w:sz w:val="14"/>
          <w:szCs w:val="14"/>
          <w:color w:val="auto"/>
        </w:rPr>
        <w:t>This section (i) does not address U.S. federal tax consequences other than income tax consequences, such as estate and gift tax consequences and alternative minimum tax consequences, (ii) does not cover all tax considerations that may be relevant to a holder in light of such holder’s personal circumstances, and (iii) does not address any state, local or non-U.S. tax consequences.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99"/>
        <w:spacing w:after="0" w:line="249" w:lineRule="auto"/>
        <w:rPr>
          <w:sz w:val="20"/>
          <w:szCs w:val="20"/>
          <w:color w:val="auto"/>
        </w:rPr>
      </w:pPr>
      <w:r>
        <w:rPr>
          <w:rFonts w:ascii="Times New Roman" w:cs="Times New Roman" w:eastAsia="Times New Roman" w:hAnsi="Times New Roman"/>
          <w:sz w:val="14"/>
          <w:szCs w:val="14"/>
          <w:color w:val="auto"/>
        </w:rPr>
        <w:t>This section is based on the U.S. Internal Revenue Code of 1986, as amended (the “Internal Revenue Code”), its legislative history, existing and proposed regulations under the U.S. Internal Revenue Code (“U.S. Treasury Regulations”), published rulings and court decisions, all as currently in effect, all of which are subject to change, or differing interpretations, possibly on a retroactive basis. Crown Americas is not seeking a ruling from the U.S. Internal Revenue Service (the “IRS”) regarding the tax consequences of the ownership, or exchange of the new</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notes. Accordingly, there can be no assurance that the IRS will not successfully challenge one or more of the conclusions stated herein.</w:t>
      </w:r>
    </w:p>
    <w:p>
      <w:pPr>
        <w:spacing w:after="0" w:line="156" w:lineRule="exact"/>
        <w:rPr>
          <w:sz w:val="20"/>
          <w:szCs w:val="20"/>
          <w:color w:val="auto"/>
        </w:rPr>
      </w:pPr>
    </w:p>
    <w:p>
      <w:pPr>
        <w:ind w:left="1460" w:right="439"/>
        <w:spacing w:after="0" w:line="252" w:lineRule="auto"/>
        <w:rPr>
          <w:sz w:val="20"/>
          <w:szCs w:val="20"/>
          <w:color w:val="auto"/>
        </w:rPr>
      </w:pPr>
      <w:r>
        <w:rPr>
          <w:rFonts w:ascii="Times New Roman" w:cs="Times New Roman" w:eastAsia="Times New Roman" w:hAnsi="Times New Roman"/>
          <w:sz w:val="14"/>
          <w:szCs w:val="14"/>
          <w:color w:val="auto"/>
        </w:rPr>
        <w:t>If an entity or arrangement taxable as a partnership for U.S. federal income tax purposes holds the new notes, the tax treatment of a partner in the partnership generally will depend on the status of the particular partner and the activities of the partnership. Partners of entities or arrangements treated as partnerships for U.S. federal income tax purposes considering an investment in the new notes should consult their tax advisors as to the specific tax consequences to them of holding the new notes indirectly through ownership of their partnership interests.</w:t>
      </w:r>
    </w:p>
    <w:p>
      <w:pPr>
        <w:spacing w:after="0" w:line="146" w:lineRule="exact"/>
        <w:rPr>
          <w:sz w:val="20"/>
          <w:szCs w:val="20"/>
          <w:color w:val="auto"/>
        </w:rPr>
      </w:pPr>
    </w:p>
    <w:p>
      <w:pPr>
        <w:ind w:left="1460" w:right="419"/>
        <w:spacing w:after="0" w:line="250" w:lineRule="auto"/>
        <w:rPr>
          <w:sz w:val="20"/>
          <w:szCs w:val="20"/>
          <w:color w:val="auto"/>
        </w:rPr>
      </w:pPr>
      <w:r>
        <w:rPr>
          <w:rFonts w:ascii="Times New Roman" w:cs="Times New Roman" w:eastAsia="Times New Roman" w:hAnsi="Times New Roman"/>
          <w:sz w:val="14"/>
          <w:szCs w:val="14"/>
          <w:color w:val="auto"/>
        </w:rPr>
        <w:t>Holders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Holders that use an accrual method of accounting for U.S. federal income tax purposes should consult with their tax advisors regarding the potential applicability of this rule to their particular situation. The remainder of this discussion does not address the application of the foregoing rule.</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Payments Subject to Certain Contingencies</w:t>
      </w:r>
    </w:p>
    <w:p>
      <w:pPr>
        <w:spacing w:after="0" w:line="90" w:lineRule="exact"/>
        <w:rPr>
          <w:sz w:val="20"/>
          <w:szCs w:val="20"/>
          <w:color w:val="auto"/>
        </w:rPr>
      </w:pPr>
    </w:p>
    <w:p>
      <w:pPr>
        <w:ind w:left="1460" w:right="319"/>
        <w:spacing w:after="0" w:line="248" w:lineRule="auto"/>
        <w:rPr>
          <w:sz w:val="20"/>
          <w:szCs w:val="20"/>
          <w:color w:val="auto"/>
        </w:rPr>
      </w:pPr>
      <w:r>
        <w:rPr>
          <w:rFonts w:ascii="Times New Roman" w:cs="Times New Roman" w:eastAsia="Times New Roman" w:hAnsi="Times New Roman"/>
          <w:sz w:val="14"/>
          <w:szCs w:val="14"/>
          <w:color w:val="auto"/>
        </w:rPr>
        <w:t>In certain circumstances, Crown Americas may be obligated to pay holders amounts in excess of the stated interest and principal payable on the new notes or in advance of their scheduled payment dates.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intends to take the position that the likelihood that such payments will be made is remote and/or that such payments will be incidental in the aggregate, and therefore the new notes are not subject to the rules governing contingent payment debt instruments.</w:t>
      </w:r>
    </w:p>
    <w:p>
      <w:pPr>
        <w:spacing w:after="0" w:line="151" w:lineRule="exact"/>
        <w:rPr>
          <w:sz w:val="20"/>
          <w:szCs w:val="20"/>
          <w:color w:val="auto"/>
        </w:rPr>
      </w:pPr>
    </w:p>
    <w:p>
      <w:pPr>
        <w:ind w:left="1460" w:right="339"/>
        <w:spacing w:after="0" w:line="250" w:lineRule="auto"/>
        <w:rPr>
          <w:sz w:val="20"/>
          <w:szCs w:val="20"/>
          <w:color w:val="auto"/>
        </w:rPr>
      </w:pPr>
      <w:r>
        <w:rPr>
          <w:rFonts w:ascii="Times New Roman" w:cs="Times New Roman" w:eastAsia="Times New Roman" w:hAnsi="Times New Roman"/>
          <w:sz w:val="14"/>
          <w:szCs w:val="14"/>
          <w:color w:val="auto"/>
        </w:rPr>
        <w:t>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Exchange Offer</w:t>
      </w:r>
    </w:p>
    <w:p>
      <w:pPr>
        <w:spacing w:after="0" w:line="90" w:lineRule="exact"/>
        <w:rPr>
          <w:sz w:val="20"/>
          <w:szCs w:val="20"/>
          <w:color w:val="auto"/>
        </w:rPr>
      </w:pPr>
    </w:p>
    <w:p>
      <w:pPr>
        <w:ind w:left="1460" w:right="419"/>
        <w:spacing w:after="0" w:line="285" w:lineRule="auto"/>
        <w:rPr>
          <w:sz w:val="20"/>
          <w:szCs w:val="20"/>
          <w:color w:val="auto"/>
        </w:rPr>
      </w:pPr>
      <w:r>
        <w:rPr>
          <w:rFonts w:ascii="Times New Roman" w:cs="Times New Roman" w:eastAsia="Times New Roman" w:hAnsi="Times New Roman"/>
          <w:sz w:val="13"/>
          <w:szCs w:val="13"/>
          <w:color w:val="auto"/>
        </w:rPr>
        <w:t>Whether you are a U.S. holder or a non-U.S. holder (each as defined below), exchanging an old note for a new note will not be treated as a taxable exchange for U.S. federal income tax purposes. Consequently, you will not recognize gain or loss upon receipt of a new note. Your holding period for a new note will include the holding period for the old note and your initial basis in the new note will be the same as your adjusted basis in the old note.</w:t>
      </w:r>
    </w:p>
    <w:p>
      <w:pPr>
        <w:spacing w:after="0" w:line="20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0" w:lineRule="exact"/>
        <w:rPr>
          <w:sz w:val="20"/>
          <w:szCs w:val="20"/>
          <w:color w:val="auto"/>
        </w:rPr>
      </w:pPr>
    </w:p>
    <w:p>
      <w:pPr>
        <w:ind w:left="1460" w:right="539"/>
        <w:spacing w:after="0" w:line="267" w:lineRule="auto"/>
        <w:rPr>
          <w:sz w:val="20"/>
          <w:szCs w:val="20"/>
          <w:color w:val="auto"/>
        </w:rPr>
      </w:pPr>
      <w:r>
        <w:rPr>
          <w:rFonts w:ascii="Times New Roman" w:cs="Times New Roman" w:eastAsia="Times New Roman" w:hAnsi="Times New Roman"/>
          <w:sz w:val="14"/>
          <w:szCs w:val="14"/>
          <w:color w:val="auto"/>
        </w:rPr>
        <w:t>This subsection describes certain U.S. federal income tax consequences to a U.S. holder. You are a U.S. holder if you are a beneficial owner of a new note and you are for U.S. federal income tax purposes:</w:t>
      </w:r>
    </w:p>
    <w:p>
      <w:pPr>
        <w:spacing w:after="0" w:line="63" w:lineRule="exact"/>
        <w:rPr>
          <w:sz w:val="20"/>
          <w:szCs w:val="20"/>
          <w:color w:val="auto"/>
        </w:rPr>
      </w:pPr>
    </w:p>
    <w:p>
      <w:pPr>
        <w:ind w:left="1780" w:hanging="247"/>
        <w:spacing w:after="0"/>
        <w:tabs>
          <w:tab w:leader="none" w:pos="17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99" w:hanging="247"/>
        <w:spacing w:after="0" w:line="267" w:lineRule="auto"/>
        <w:tabs>
          <w:tab w:leader="none" w:pos="1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(including an entity treated as a corporation for U.S. federal income tax purposes) created or organized under the laws of the United States, any state thereof or the District of Columbia,</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whose income is subject to U.S. federal income tax regardless of its source, or</w:t>
      </w:r>
    </w:p>
    <w:p>
      <w:pPr>
        <w:spacing w:after="0" w:line="95" w:lineRule="exact"/>
        <w:rPr>
          <w:rFonts w:ascii="Times New Roman" w:cs="Times New Roman" w:eastAsia="Times New Roman" w:hAnsi="Times New Roman"/>
          <w:sz w:val="14"/>
          <w:szCs w:val="14"/>
          <w:color w:val="auto"/>
        </w:rPr>
      </w:pPr>
    </w:p>
    <w:p>
      <w:pPr>
        <w:jc w:val="both"/>
        <w:ind w:left="1780" w:right="359" w:hanging="247"/>
        <w:spacing w:after="0" w:line="256" w:lineRule="auto"/>
        <w:tabs>
          <w:tab w:leader="none" w:pos="1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Taxation of Stated Interest</w:t>
      </w:r>
    </w:p>
    <w:p>
      <w:pPr>
        <w:spacing w:after="0" w:line="90" w:lineRule="exact"/>
        <w:rPr>
          <w:sz w:val="20"/>
          <w:szCs w:val="20"/>
          <w:color w:val="auto"/>
        </w:rPr>
      </w:pPr>
    </w:p>
    <w:p>
      <w:pPr>
        <w:ind w:left="1460" w:right="459"/>
        <w:spacing w:after="0" w:line="267" w:lineRule="auto"/>
        <w:rPr>
          <w:sz w:val="20"/>
          <w:szCs w:val="20"/>
          <w:color w:val="auto"/>
        </w:rPr>
      </w:pPr>
      <w:r>
        <w:rPr>
          <w:rFonts w:ascii="Times New Roman" w:cs="Times New Roman" w:eastAsia="Times New Roman" w:hAnsi="Times New Roman"/>
          <w:sz w:val="14"/>
          <w:szCs w:val="14"/>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Sale, Redemption, Retirement or Other Taxable Disposition of the Notes</w:t>
      </w:r>
    </w:p>
    <w:p>
      <w:pPr>
        <w:spacing w:after="0" w:line="90" w:lineRule="exact"/>
        <w:rPr>
          <w:sz w:val="20"/>
          <w:szCs w:val="20"/>
          <w:color w:val="auto"/>
        </w:rPr>
      </w:pPr>
    </w:p>
    <w:p>
      <w:pPr>
        <w:ind w:left="1460" w:right="419"/>
        <w:spacing w:after="0" w:line="272" w:lineRule="auto"/>
        <w:rPr>
          <w:sz w:val="20"/>
          <w:szCs w:val="20"/>
          <w:color w:val="auto"/>
        </w:rPr>
      </w:pPr>
      <w:r>
        <w:rPr>
          <w:rFonts w:ascii="Times New Roman" w:cs="Times New Roman" w:eastAsia="Times New Roman" w:hAnsi="Times New Roman"/>
          <w:sz w:val="13"/>
          <w:szCs w:val="13"/>
          <w:color w:val="auto"/>
        </w:rPr>
        <w:t>Your adjusted tax basis in a new note generally will be the same as your adjusted basis in the old note exchanged therefor. You will generally recognize capital gain or loss on the sale,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will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Additional Tax on Net Investment Income</w:t>
      </w:r>
    </w:p>
    <w:p>
      <w:pPr>
        <w:spacing w:after="0" w:line="90" w:lineRule="exact"/>
        <w:rPr>
          <w:sz w:val="20"/>
          <w:szCs w:val="20"/>
          <w:color w:val="auto"/>
        </w:rPr>
      </w:pPr>
    </w:p>
    <w:p>
      <w:pPr>
        <w:ind w:left="1460" w:right="419"/>
        <w:spacing w:after="0" w:line="256" w:lineRule="auto"/>
        <w:rPr>
          <w:sz w:val="20"/>
          <w:szCs w:val="20"/>
          <w:color w:val="auto"/>
        </w:rPr>
      </w:pPr>
      <w:r>
        <w:rPr>
          <w:rFonts w:ascii="Times New Roman" w:cs="Times New Roman" w:eastAsia="Times New Roman" w:hAnsi="Times New Roman"/>
          <w:sz w:val="14"/>
          <w:szCs w:val="14"/>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0" w:lineRule="exact"/>
        <w:rPr>
          <w:sz w:val="20"/>
          <w:szCs w:val="20"/>
          <w:color w:val="auto"/>
        </w:rPr>
      </w:pPr>
    </w:p>
    <w:p>
      <w:pPr>
        <w:ind w:left="1460" w:right="739"/>
        <w:spacing w:after="0" w:line="267" w:lineRule="auto"/>
        <w:rPr>
          <w:sz w:val="20"/>
          <w:szCs w:val="20"/>
          <w:color w:val="auto"/>
        </w:rPr>
      </w:pPr>
      <w:r>
        <w:rPr>
          <w:rFonts w:ascii="Times New Roman" w:cs="Times New Roman" w:eastAsia="Times New Roman" w:hAnsi="Times New Roman"/>
          <w:sz w:val="14"/>
          <w:szCs w:val="14"/>
          <w:color w:val="auto"/>
        </w:rPr>
        <w:t>You are a non-U.S. holder if you are a beneficial owner of a new note that is an individual, corporation, trust or estate for U.S. federal income tax purposes and you are not a U.S. holder.</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Taxation of Stated Interest</w:t>
      </w:r>
    </w:p>
    <w:p>
      <w:pPr>
        <w:spacing w:after="0" w:line="90" w:lineRule="exact"/>
        <w:rPr>
          <w:sz w:val="20"/>
          <w:szCs w:val="20"/>
          <w:color w:val="auto"/>
        </w:rPr>
      </w:pPr>
    </w:p>
    <w:p>
      <w:pPr>
        <w:ind w:left="1460" w:right="439"/>
        <w:spacing w:after="0" w:line="256" w:lineRule="auto"/>
        <w:rPr>
          <w:sz w:val="20"/>
          <w:szCs w:val="20"/>
          <w:color w:val="auto"/>
        </w:rPr>
      </w:pPr>
      <w:r>
        <w:rPr>
          <w:rFonts w:ascii="Times New Roman" w:cs="Times New Roman" w:eastAsia="Times New Roman" w:hAnsi="Times New Roman"/>
          <w:sz w:val="14"/>
          <w:szCs w:val="14"/>
          <w:color w:val="auto"/>
        </w:rPr>
        <w:t>Subject to the discussion below of backup withholding and FATCA (as defined below), if you are a non-U.S. holder of a new note and the interest paid on the new note is not effectively connected with your conduct of a trade or business in the United States, the applicable withholding agent generally will not be required to deduct a U.S. withholding tax at a 30% rate (or, if applicable, a lower income tax treaty rate) if:</w:t>
      </w:r>
    </w:p>
    <w:p>
      <w:pPr>
        <w:spacing w:after="0" w:line="71" w:lineRule="exact"/>
        <w:rPr>
          <w:sz w:val="20"/>
          <w:szCs w:val="20"/>
          <w:color w:val="auto"/>
        </w:rPr>
      </w:pPr>
    </w:p>
    <w:p>
      <w:pPr>
        <w:ind w:left="1780" w:right="479" w:hanging="247"/>
        <w:spacing w:after="0" w:line="267" w:lineRule="auto"/>
        <w:tabs>
          <w:tab w:leader="none" w:pos="1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actually or constructively own 10% or more of the total combined voting power of all classes of stock of Crown Americas entitled to vote;</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controlled foreign corporation that is related to Crown Americas through stock ownership;</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 bank receiving the interest pursuant to a loan agreement entered into in your ordinary course of business; and</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59" w:hanging="247"/>
        <w:spacing w:after="0" w:line="249" w:lineRule="auto"/>
        <w:tabs>
          <w:tab w:leader="none" w:pos="17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have furnished to such agent an IRS Form W-8BEN, an IRS Form W-8BEN-E or an acceptable substitute form certifying that you are not a United States person to (1) the applicable withholding agent, (2) a securities clearing organization, bank or other financial institution that holds customers’ securities in the ordinary course of its trade or business and holds the note on your behalf and certifies to the applicable withholding agent (directly or through one or more similarly situated financial institutions) that it has received from you (or another financial institution) the IRS Form W-8BEN or IRS Form W-8BEN-E described above and provides a copy of such statement, or (3) a “qualified intermediary” (within the meaning of applicable Treasury Regulations), provided that certain conditions are satisfied.</w:t>
      </w:r>
    </w:p>
    <w:p>
      <w:pPr>
        <w:spacing w:after="0" w:line="149" w:lineRule="exact"/>
        <w:rPr>
          <w:sz w:val="20"/>
          <w:szCs w:val="20"/>
          <w:color w:val="auto"/>
        </w:rPr>
      </w:pPr>
    </w:p>
    <w:p>
      <w:pPr>
        <w:ind w:left="1460" w:right="419"/>
        <w:spacing w:after="0" w:line="249" w:lineRule="auto"/>
        <w:rPr>
          <w:sz w:val="20"/>
          <w:szCs w:val="20"/>
          <w:color w:val="auto"/>
        </w:rPr>
      </w:pPr>
      <w:r>
        <w:rPr>
          <w:rFonts w:ascii="Times New Roman" w:cs="Times New Roman" w:eastAsia="Times New Roman" w:hAnsi="Times New Roman"/>
          <w:sz w:val="14"/>
          <w:szCs w:val="14"/>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income tax, and may be subject to the branch profits tax, it is not subject to withholding tax (whether or not it is subject to income tax) if the owner delivers a properly executed IRS Form W-8ECI to the applicable withholding agent.</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Sale, Redemption, Retirement or Other Taxable Disposition of the New Notes</w:t>
      </w:r>
    </w:p>
    <w:p>
      <w:pPr>
        <w:spacing w:after="0" w:line="90" w:lineRule="exact"/>
        <w:rPr>
          <w:sz w:val="20"/>
          <w:szCs w:val="20"/>
          <w:color w:val="auto"/>
        </w:rPr>
      </w:pPr>
    </w:p>
    <w:p>
      <w:pPr>
        <w:ind w:left="1460" w:right="339"/>
        <w:spacing w:after="0" w:line="256" w:lineRule="auto"/>
        <w:rPr>
          <w:sz w:val="20"/>
          <w:szCs w:val="20"/>
          <w:color w:val="auto"/>
        </w:rPr>
      </w:pPr>
      <w:r>
        <w:rPr>
          <w:rFonts w:ascii="Times New Roman" w:cs="Times New Roman" w:eastAsia="Times New Roman" w:hAnsi="Times New Roman"/>
          <w:sz w:val="14"/>
          <w:szCs w:val="14"/>
          <w:color w:val="auto"/>
        </w:rPr>
        <w:t>If you are a non-U.S. holder of a new note, you generally will not be subject to U.S. federal income tax or withholding tax on gain realized on the sale, redemption, retirement or other taxable disposition of a new note (other than any amount attributable to accrued but unpaid interest which will be treated as discussed above) unless:</w:t>
      </w:r>
    </w:p>
    <w:p>
      <w:pPr>
        <w:spacing w:after="0" w:line="71" w:lineRule="exact"/>
        <w:rPr>
          <w:sz w:val="20"/>
          <w:szCs w:val="20"/>
          <w:color w:val="auto"/>
        </w:rPr>
      </w:pPr>
    </w:p>
    <w:p>
      <w:pPr>
        <w:ind w:left="1780" w:right="399" w:hanging="247"/>
        <w:spacing w:after="0" w:line="306" w:lineRule="auto"/>
        <w:tabs>
          <w:tab w:leader="none" w:pos="17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your conduct of a trade or business in the United States, in which case such gain will be taxable in the same manner as effectively connected interest as discussed above (except to the extent otherwise provided by an applicable income tax treaty), or</w:t>
      </w:r>
    </w:p>
    <w:p>
      <w:pPr>
        <w:spacing w:after="0" w:line="40" w:lineRule="exact"/>
        <w:rPr>
          <w:rFonts w:ascii="Times New Roman" w:cs="Times New Roman" w:eastAsia="Times New Roman" w:hAnsi="Times New Roman"/>
          <w:sz w:val="13"/>
          <w:szCs w:val="13"/>
          <w:color w:val="auto"/>
        </w:rPr>
      </w:pPr>
    </w:p>
    <w:p>
      <w:pPr>
        <w:ind w:left="1780" w:right="519" w:hanging="247"/>
        <w:spacing w:after="0" w:line="256" w:lineRule="auto"/>
        <w:tabs>
          <w:tab w:leader="none" w:pos="1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Backup Withholding and Information Reporting</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U.S. Holders</w:t>
      </w:r>
    </w:p>
    <w:p>
      <w:pPr>
        <w:spacing w:after="0" w:line="90" w:lineRule="exact"/>
        <w:rPr>
          <w:sz w:val="20"/>
          <w:szCs w:val="20"/>
          <w:color w:val="auto"/>
        </w:rPr>
      </w:pPr>
    </w:p>
    <w:p>
      <w:pPr>
        <w:ind w:left="1460" w:right="399"/>
        <w:spacing w:after="0" w:line="249" w:lineRule="auto"/>
        <w:rPr>
          <w:sz w:val="20"/>
          <w:szCs w:val="20"/>
          <w:color w:val="auto"/>
        </w:rPr>
      </w:pPr>
      <w:r>
        <w:rPr>
          <w:rFonts w:ascii="Times New Roman" w:cs="Times New Roman" w:eastAsia="Times New Roman" w:hAnsi="Times New Roman"/>
          <w:sz w:val="14"/>
          <w:szCs w:val="14"/>
          <w:color w:val="auto"/>
        </w:rPr>
        <w:t>Information reporting on IRS Form 1099 will apply to payments of interest on, or the proceeds of the sale, exchange, redemption, retirement or other taxable disposition (including a redemption or retirement)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Non-U.S. Holders</w:t>
      </w:r>
    </w:p>
    <w:p>
      <w:pPr>
        <w:spacing w:after="0" w:line="90" w:lineRule="exact"/>
        <w:rPr>
          <w:sz w:val="20"/>
          <w:szCs w:val="20"/>
          <w:color w:val="auto"/>
        </w:rPr>
      </w:pPr>
    </w:p>
    <w:p>
      <w:pPr>
        <w:ind w:left="1460" w:right="359"/>
        <w:spacing w:after="0" w:line="285" w:lineRule="auto"/>
        <w:rPr>
          <w:sz w:val="20"/>
          <w:szCs w:val="20"/>
          <w:color w:val="auto"/>
        </w:rPr>
      </w:pPr>
      <w:r>
        <w:rPr>
          <w:rFonts w:ascii="Times New Roman" w:cs="Times New Roman" w:eastAsia="Times New Roman" w:hAnsi="Times New Roman"/>
          <w:sz w:val="13"/>
          <w:szCs w:val="13"/>
          <w:color w:val="auto"/>
        </w:rPr>
        <w:t>Backup withholding and information reporting on IRS Form 1099 will not apply to payments of interest to a non-U.S. holder provided that the non-U.S. holder is the beneficial owner of new notes and certifies to the applicable withholding agent, under penalties of perjury, that it is not a United States person and provides its name and address on a duly executed IRS Form W-8BEN or IRS Form W-8BEN-E, as applicable (or a suitable substitute form).</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379"/>
        <w:spacing w:after="0" w:line="268" w:lineRule="auto"/>
        <w:rPr>
          <w:sz w:val="20"/>
          <w:szCs w:val="20"/>
          <w:color w:val="auto"/>
        </w:rPr>
      </w:pPr>
      <w:r>
        <w:rPr>
          <w:rFonts w:ascii="Times New Roman" w:cs="Times New Roman" w:eastAsia="Times New Roman" w:hAnsi="Times New Roman"/>
          <w:sz w:val="13"/>
          <w:szCs w:val="13"/>
          <w:color w:val="auto"/>
        </w:rPr>
        <w:t>Information reporting and backup withholding generally will not apply to a payment of the proceeds of a sale, redemption, retirement or other taxable disposition of the new notes effected outside the United States by a foreign office of a foreign broker. However, information reporting requirements (but not backup withholding) will apply to a payment of the proceeds of a sale, redemption, retirement or other taxable disposition of the new notes effected outside the United States by a foreign office of a broker if the broker (i) is a United States person, (ii) derives 50 percent or more of its gross income for certain periods from the conduct of a trade or business in the United States, (iii) is a “controlled foreign corporation” for U.S. federal income tax purposes, or (iv) is a foreign partnership that, at any time during its taxable year is 50 percent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of the proceeds of a sale,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39" w:lineRule="exact"/>
        <w:rPr>
          <w:sz w:val="20"/>
          <w:szCs w:val="20"/>
          <w:color w:val="auto"/>
        </w:rPr>
      </w:pPr>
    </w:p>
    <w:p>
      <w:pPr>
        <w:ind w:left="1460" w:right="479"/>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i w:val="1"/>
          <w:iCs w:val="1"/>
          <w:color w:val="auto"/>
        </w:rPr>
        <w:t>Foreign Account Tax Compliance Act</w:t>
      </w:r>
    </w:p>
    <w:p>
      <w:pPr>
        <w:spacing w:after="0" w:line="90" w:lineRule="exact"/>
        <w:rPr>
          <w:sz w:val="20"/>
          <w:szCs w:val="20"/>
          <w:color w:val="auto"/>
        </w:rPr>
      </w:pPr>
    </w:p>
    <w:p>
      <w:pPr>
        <w:ind w:left="1460" w:right="319"/>
        <w:spacing w:after="0" w:line="247" w:lineRule="auto"/>
        <w:rPr>
          <w:sz w:val="20"/>
          <w:szCs w:val="20"/>
          <w:color w:val="auto"/>
        </w:rPr>
      </w:pPr>
      <w:r>
        <w:rPr>
          <w:rFonts w:ascii="Times New Roman" w:cs="Times New Roman" w:eastAsia="Times New Roman" w:hAnsi="Times New Roman"/>
          <w:sz w:val="14"/>
          <w:szCs w:val="14"/>
          <w:color w:val="auto"/>
        </w:rPr>
        <w:t>Under the Foreign Account Tax Compliance Act (“FATCA”), a 30 percent withholding tax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percent on payments to non-compliant foreign financial institutions and certain other account holders.</w:t>
      </w:r>
    </w:p>
    <w:p>
      <w:pPr>
        <w:spacing w:after="0" w:line="151" w:lineRule="exact"/>
        <w:rPr>
          <w:sz w:val="20"/>
          <w:szCs w:val="20"/>
          <w:color w:val="auto"/>
        </w:rPr>
      </w:pPr>
    </w:p>
    <w:p>
      <w:pPr>
        <w:ind w:left="1460" w:right="339"/>
        <w:spacing w:after="0" w:line="278" w:lineRule="auto"/>
        <w:rPr>
          <w:sz w:val="20"/>
          <w:szCs w:val="20"/>
          <w:color w:val="auto"/>
        </w:rPr>
      </w:pPr>
      <w:r>
        <w:rPr>
          <w:rFonts w:ascii="Times New Roman" w:cs="Times New Roman" w:eastAsia="Times New Roman" w:hAnsi="Times New Roman"/>
          <w:sz w:val="13"/>
          <w:szCs w:val="13"/>
          <w:color w:val="auto"/>
        </w:rPr>
        <w:t>The withholding provisions described above generally apply to interest payments on the notes. Although existing FATCA regulations would also impose FATCA withholding on payments of gross proceeds from the sale or disposition (including a retirement or redemption) of the notes, under proposed regulations, no such withholding would apply to gross proceeds. Taxpayers generally may rely on those proposed regulations until final regulations are issued. Persons considering an investment in the notes should consult their tax advisors regarding FATCA and the regulations thereunder.</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ind w:left="1460" w:right="339"/>
        <w:spacing w:after="0" w:line="248" w:lineRule="auto"/>
        <w:rPr>
          <w:sz w:val="20"/>
          <w:szCs w:val="20"/>
          <w:color w:val="auto"/>
        </w:rPr>
      </w:pPr>
      <w:r>
        <w:rPr>
          <w:rFonts w:ascii="Times New Roman" w:cs="Times New Roman" w:eastAsia="Times New Roman" w:hAnsi="Times New Roman"/>
          <w:sz w:val="14"/>
          <w:szCs w:val="14"/>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49" w:lineRule="exact"/>
        <w:rPr>
          <w:sz w:val="20"/>
          <w:szCs w:val="20"/>
          <w:color w:val="auto"/>
        </w:rPr>
      </w:pPr>
    </w:p>
    <w:p>
      <w:pPr>
        <w:ind w:left="1460" w:right="419"/>
        <w:spacing w:after="0" w:line="249"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 such resale. In addition, until , 2026, all dealers effecting transactions in the new notes may be required to deliver a prospectus.</w:t>
      </w:r>
    </w:p>
    <w:p>
      <w:pPr>
        <w:spacing w:after="0" w:line="149" w:lineRule="exact"/>
        <w:rPr>
          <w:sz w:val="20"/>
          <w:szCs w:val="20"/>
          <w:color w:val="auto"/>
        </w:rPr>
      </w:pPr>
    </w:p>
    <w:p>
      <w:pPr>
        <w:ind w:left="1460" w:right="319"/>
        <w:spacing w:after="0" w:line="247" w:lineRule="auto"/>
        <w:rPr>
          <w:sz w:val="20"/>
          <w:szCs w:val="20"/>
          <w:color w:val="auto"/>
        </w:rPr>
      </w:pPr>
      <w:r>
        <w:rPr>
          <w:rFonts w:ascii="Times New Roman" w:cs="Times New Roman" w:eastAsia="Times New Roman" w:hAnsi="Times New Roman"/>
          <w:sz w:val="14"/>
          <w:szCs w:val="14"/>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52" w:lineRule="exact"/>
        <w:rPr>
          <w:sz w:val="20"/>
          <w:szCs w:val="20"/>
          <w:color w:val="auto"/>
        </w:rPr>
      </w:pPr>
    </w:p>
    <w:p>
      <w:pPr>
        <w:ind w:left="1460" w:right="379"/>
        <w:spacing w:after="0" w:line="250" w:lineRule="auto"/>
        <w:rPr>
          <w:sz w:val="20"/>
          <w:szCs w:val="20"/>
          <w:color w:val="auto"/>
        </w:rPr>
      </w:pPr>
      <w:r>
        <w:rPr>
          <w:rFonts w:ascii="Times New Roman" w:cs="Times New Roman" w:eastAsia="Times New Roman" w:hAnsi="Times New Roman"/>
          <w:sz w:val="14"/>
          <w:szCs w:val="14"/>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ind w:left="1460" w:right="439"/>
        <w:spacing w:after="0" w:line="267" w:lineRule="auto"/>
        <w:rPr>
          <w:sz w:val="20"/>
          <w:szCs w:val="20"/>
          <w:color w:val="auto"/>
        </w:rPr>
      </w:pPr>
      <w:r>
        <w:rPr>
          <w:rFonts w:ascii="Times New Roman" w:cs="Times New Roman" w:eastAsia="Times New Roman" w:hAnsi="Times New Roman"/>
          <w:sz w:val="14"/>
          <w:szCs w:val="14"/>
          <w:color w:val="auto"/>
        </w:rPr>
        <w:t>Certain legal matters with regard to the validity of the new notes and the new note guarantees will be passed upon for us and the guarantors by Dechert LLP, Philadelphia, Pennsylvania.</w:t>
      </w:r>
    </w:p>
    <w:p>
      <w:pPr>
        <w:spacing w:after="0" w:line="29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ind w:left="1460" w:right="559"/>
        <w:spacing w:after="0" w:line="278" w:lineRule="auto"/>
        <w:rPr>
          <w:sz w:val="20"/>
          <w:szCs w:val="20"/>
          <w:color w:val="auto"/>
        </w:rPr>
      </w:pPr>
      <w:r>
        <w:rPr>
          <w:rFonts w:ascii="Times New Roman" w:cs="Times New Roman" w:eastAsia="Times New Roman" w:hAnsi="Times New Roman"/>
          <w:sz w:val="13"/>
          <w:szCs w:val="13"/>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2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2" w:lineRule="exact"/>
        <w:rPr>
          <w:sz w:val="20"/>
          <w:szCs w:val="20"/>
          <w:color w:val="auto"/>
        </w:rPr>
      </w:pPr>
    </w:p>
    <w:p>
      <w:pPr>
        <w:ind w:left="1460" w:right="339"/>
        <w:spacing w:after="0" w:line="247" w:lineRule="auto"/>
        <w:rPr>
          <w:sz w:val="20"/>
          <w:szCs w:val="20"/>
          <w:color w:val="auto"/>
        </w:rPr>
      </w:pPr>
      <w:r>
        <w:rPr>
          <w:rFonts w:ascii="Times New Roman" w:cs="Times New Roman" w:eastAsia="Times New Roman" w:hAnsi="Times New Roman"/>
          <w:sz w:val="14"/>
          <w:szCs w:val="14"/>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Times New Roman" w:cs="Times New Roman" w:eastAsia="Times New Roman" w:hAnsi="Times New Roman"/>
          <w:sz w:val="14"/>
          <w:szCs w:val="14"/>
          <w:i w:val="1"/>
          <w:iCs w:val="1"/>
          <w:color w:val="auto"/>
        </w:rPr>
        <w:t xml:space="preserve">http://www.sec.gov. </w:t>
      </w:r>
      <w:r>
        <w:rPr>
          <w:rFonts w:ascii="Times New Roman" w:cs="Times New Roman" w:eastAsia="Times New Roman" w:hAnsi="Times New Roman"/>
          <w:sz w:val="14"/>
          <w:szCs w:val="14"/>
          <w:color w:val="auto"/>
        </w:rPr>
        <w:t>In addition, Crown posts its filed documents on its website at</w:t>
      </w:r>
      <w:r>
        <w:rPr>
          <w:rFonts w:ascii="Times New Roman" w:cs="Times New Roman" w:eastAsia="Times New Roman" w:hAnsi="Times New Roman"/>
          <w:sz w:val="14"/>
          <w:szCs w:val="14"/>
          <w:i w:val="1"/>
          <w:iCs w:val="1"/>
          <w:color w:val="auto"/>
        </w:rPr>
        <w:t xml:space="preserve"> http://www.crowncork.com</w:t>
      </w:r>
      <w:r>
        <w:rPr>
          <w:rFonts w:ascii="Times New Roman" w:cs="Times New Roman" w:eastAsia="Times New Roman" w:hAnsi="Times New Roman"/>
          <w:sz w:val="14"/>
          <w:szCs w:val="14"/>
          <w:color w:val="auto"/>
        </w:rPr>
        <w:t>. Except for the documents specifically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3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7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following documents filed by Crown with the SEC under the Exchange Act are incorporated by reference in this prospectus:</w:t>
      </w:r>
    </w:p>
    <w:p>
      <w:pPr>
        <w:spacing w:after="0" w:line="96" w:lineRule="exact"/>
        <w:rPr>
          <w:sz w:val="20"/>
          <w:szCs w:val="20"/>
          <w:color w:val="auto"/>
        </w:rPr>
      </w:pPr>
    </w:p>
    <w:p>
      <w:pPr>
        <w:ind w:left="1780" w:right="779" w:hanging="247"/>
        <w:spacing w:after="0" w:line="267" w:lineRule="auto"/>
        <w:tabs>
          <w:tab w:leader="none" w:pos="1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Crown’s Annual Report on </w:t>
      </w:r>
      <w:hyperlink r:id="rId8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2024, filed with the SEC on March 3, 2025, including portions of Crown’s </w:t>
      </w:r>
      <w:hyperlink r:id="rId89">
        <w:r>
          <w:rPr>
            <w:rFonts w:ascii="Times New Roman" w:cs="Times New Roman" w:eastAsia="Times New Roman" w:hAnsi="Times New Roman"/>
            <w:sz w:val="14"/>
            <w:szCs w:val="14"/>
            <w:u w:val="single" w:color="auto"/>
            <w:color w:val="0000EE"/>
          </w:rPr>
          <w:t>Proxy Statement</w:t>
        </w:r>
      </w:hyperlink>
      <w:r>
        <w:rPr>
          <w:rFonts w:ascii="Times New Roman" w:cs="Times New Roman" w:eastAsia="Times New Roman" w:hAnsi="Times New Roman"/>
          <w:sz w:val="14"/>
          <w:szCs w:val="14"/>
          <w:color w:val="auto"/>
        </w:rPr>
        <w:t>, filed with the SEC on March 24, 2025, to the extent specifically incorporated by reference therein;</w:t>
      </w:r>
    </w:p>
    <w:p>
      <w:pPr>
        <w:spacing w:after="0" w:line="63"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Crown’s Quarterly Report on </w:t>
      </w:r>
      <w:hyperlink r:id="rId90">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2025, filed with the SEC on May 2, 2025;</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Crown’s Quarterly Report on </w:t>
      </w:r>
      <w:hyperlink r:id="rId91">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June 30, 2025, filed with the SEC on July 29, 2025;</w:t>
      </w:r>
    </w:p>
    <w:p>
      <w:pPr>
        <w:spacing w:after="0" w:line="95" w:lineRule="exact"/>
        <w:rPr>
          <w:rFonts w:ascii="Times New Roman" w:cs="Times New Roman" w:eastAsia="Times New Roman" w:hAnsi="Times New Roman"/>
          <w:sz w:val="14"/>
          <w:szCs w:val="14"/>
          <w:color w:val="auto"/>
        </w:rPr>
      </w:pPr>
    </w:p>
    <w:p>
      <w:pPr>
        <w:ind w:left="1780" w:hanging="247"/>
        <w:spacing w:after="0"/>
        <w:tabs>
          <w:tab w:leader="none" w:pos="1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Crown’s Quarterly Report on </w:t>
      </w:r>
      <w:hyperlink r:id="rId92">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September 30, 2025, filed with the SEC on October 30, 2025; and</w:t>
      </w:r>
    </w:p>
    <w:p>
      <w:pPr>
        <w:spacing w:after="0" w:line="95" w:lineRule="exact"/>
        <w:rPr>
          <w:rFonts w:ascii="Times New Roman" w:cs="Times New Roman" w:eastAsia="Times New Roman" w:hAnsi="Times New Roman"/>
          <w:sz w:val="14"/>
          <w:szCs w:val="14"/>
          <w:color w:val="auto"/>
        </w:rPr>
      </w:pPr>
    </w:p>
    <w:p>
      <w:pPr>
        <w:ind w:left="1780" w:right="799" w:hanging="247"/>
        <w:spacing w:after="0" w:line="267" w:lineRule="auto"/>
        <w:tabs>
          <w:tab w:leader="none" w:pos="1780" w:val="left"/>
        </w:tabs>
        <w:numPr>
          <w:ilvl w:val="0"/>
          <w:numId w:val="7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Crown’s Current Reports on Form 8-K filed with the SEC on </w:t>
      </w:r>
      <w:hyperlink r:id="rId93">
        <w:r>
          <w:rPr>
            <w:rFonts w:ascii="Times New Roman" w:cs="Times New Roman" w:eastAsia="Times New Roman" w:hAnsi="Times New Roman"/>
            <w:sz w:val="14"/>
            <w:szCs w:val="14"/>
            <w:u w:val="single" w:color="auto"/>
            <w:color w:val="0000EE"/>
          </w:rPr>
          <w:t>May 13, 2025</w:t>
        </w:r>
      </w:hyperlink>
      <w:r>
        <w:rPr>
          <w:rFonts w:ascii="Times New Roman" w:cs="Times New Roman" w:eastAsia="Times New Roman" w:hAnsi="Times New Roman"/>
          <w:sz w:val="14"/>
          <w:szCs w:val="14"/>
          <w:color w:val="auto"/>
        </w:rPr>
        <w:t xml:space="preserve">, </w:t>
      </w:r>
      <w:hyperlink r:id="rId94">
        <w:r>
          <w:rPr>
            <w:rFonts w:ascii="Times New Roman" w:cs="Times New Roman" w:eastAsia="Times New Roman" w:hAnsi="Times New Roman"/>
            <w:sz w:val="14"/>
            <w:szCs w:val="14"/>
            <w:u w:val="single" w:color="auto"/>
            <w:color w:val="0000EE"/>
          </w:rPr>
          <w:t>May 16, 2025</w:t>
        </w:r>
      </w:hyperlink>
      <w:r>
        <w:rPr>
          <w:rFonts w:ascii="Times New Roman" w:cs="Times New Roman" w:eastAsia="Times New Roman" w:hAnsi="Times New Roman"/>
          <w:sz w:val="14"/>
          <w:szCs w:val="14"/>
          <w:color w:val="auto"/>
        </w:rPr>
        <w:t xml:space="preserve">, </w:t>
      </w:r>
      <w:hyperlink r:id="rId95">
        <w:r>
          <w:rPr>
            <w:rFonts w:ascii="Times New Roman" w:cs="Times New Roman" w:eastAsia="Times New Roman" w:hAnsi="Times New Roman"/>
            <w:sz w:val="14"/>
            <w:szCs w:val="14"/>
            <w:u w:val="single" w:color="auto"/>
            <w:color w:val="0000EE"/>
          </w:rPr>
          <w:t>May 28, 2025</w:t>
        </w:r>
      </w:hyperlink>
      <w:r>
        <w:rPr>
          <w:rFonts w:ascii="Times New Roman" w:cs="Times New Roman" w:eastAsia="Times New Roman" w:hAnsi="Times New Roman"/>
          <w:sz w:val="14"/>
          <w:szCs w:val="14"/>
          <w:color w:val="auto"/>
        </w:rPr>
        <w:t xml:space="preserve">, </w:t>
      </w:r>
      <w:hyperlink r:id="rId96">
        <w:r>
          <w:rPr>
            <w:rFonts w:ascii="Times New Roman" w:cs="Times New Roman" w:eastAsia="Times New Roman" w:hAnsi="Times New Roman"/>
            <w:sz w:val="14"/>
            <w:szCs w:val="14"/>
            <w:u w:val="single" w:color="auto"/>
            <w:color w:val="0000EE"/>
          </w:rPr>
          <w:t>June 9, 2025</w:t>
        </w:r>
      </w:hyperlink>
      <w:r>
        <w:rPr>
          <w:rFonts w:ascii="Times New Roman" w:cs="Times New Roman" w:eastAsia="Times New Roman" w:hAnsi="Times New Roman"/>
          <w:sz w:val="14"/>
          <w:szCs w:val="14"/>
          <w:color w:val="auto"/>
        </w:rPr>
        <w:t xml:space="preserve">, </w:t>
      </w:r>
      <w:hyperlink r:id="rId97">
        <w:r>
          <w:rPr>
            <w:rFonts w:ascii="Times New Roman" w:cs="Times New Roman" w:eastAsia="Times New Roman" w:hAnsi="Times New Roman"/>
            <w:sz w:val="14"/>
            <w:szCs w:val="14"/>
            <w:u w:val="single" w:color="auto"/>
            <w:color w:val="0000EE"/>
          </w:rPr>
          <w:t>June 16, 2025</w:t>
        </w:r>
      </w:hyperlink>
      <w:r>
        <w:rPr>
          <w:rFonts w:ascii="Times New Roman" w:cs="Times New Roman" w:eastAsia="Times New Roman" w:hAnsi="Times New Roman"/>
          <w:sz w:val="14"/>
          <w:szCs w:val="14"/>
          <w:color w:val="auto"/>
        </w:rPr>
        <w:t xml:space="preserve">, </w:t>
      </w:r>
      <w:hyperlink r:id="rId98">
        <w:r>
          <w:rPr>
            <w:rFonts w:ascii="Times New Roman" w:cs="Times New Roman" w:eastAsia="Times New Roman" w:hAnsi="Times New Roman"/>
            <w:sz w:val="14"/>
            <w:szCs w:val="14"/>
            <w:u w:val="single" w:color="auto"/>
            <w:color w:val="0000EE"/>
          </w:rPr>
          <w:t>September 23,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99">
        <w:r>
          <w:rPr>
            <w:rFonts w:ascii="Times New Roman" w:cs="Times New Roman" w:eastAsia="Times New Roman" w:hAnsi="Times New Roman"/>
            <w:sz w:val="14"/>
            <w:szCs w:val="14"/>
            <w:u w:val="single" w:color="auto"/>
            <w:color w:val="0000EE"/>
          </w:rPr>
          <w:t>October 8,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100">
        <w:r>
          <w:rPr>
            <w:rFonts w:ascii="Times New Roman" w:cs="Times New Roman" w:eastAsia="Times New Roman" w:hAnsi="Times New Roman"/>
            <w:sz w:val="14"/>
            <w:szCs w:val="14"/>
            <w:u w:val="single" w:color="auto"/>
            <w:color w:val="0000EE"/>
          </w:rPr>
          <w:t xml:space="preserve">November 12, 2025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01">
        <w:r>
          <w:rPr>
            <w:rFonts w:ascii="Times New Roman" w:cs="Times New Roman" w:eastAsia="Times New Roman" w:hAnsi="Times New Roman"/>
            <w:sz w:val="14"/>
            <w:szCs w:val="14"/>
            <w:u w:val="single" w:color="auto"/>
            <w:color w:val="0000EE"/>
          </w:rPr>
          <w:t>November 19,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84" w:lineRule="exact"/>
        <w:rPr>
          <w:rFonts w:ascii="Times New Roman" w:cs="Times New Roman" w:eastAsia="Times New Roman" w:hAnsi="Times New Roman"/>
          <w:sz w:val="14"/>
          <w:szCs w:val="14"/>
          <w:color w:val="0000EE"/>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0"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539"/>
        <w:spacing w:after="0" w:line="249" w:lineRule="auto"/>
        <w:rPr>
          <w:sz w:val="20"/>
          <w:szCs w:val="20"/>
          <w:color w:val="auto"/>
        </w:rPr>
      </w:pPr>
      <w:r>
        <w:rPr>
          <w:rFonts w:ascii="Times New Roman" w:cs="Times New Roman" w:eastAsia="Times New Roman" w:hAnsi="Times New Roman"/>
          <w:sz w:val="14"/>
          <w:szCs w:val="14"/>
          <w:color w:val="auto"/>
        </w:rPr>
        <w:t>Any future filings Crown makes with the SEC under Sections 13(a), 13(c), 14 or 15(d) of the Exchange Act after (i) the date of the initial registration statement and prior to effectiveness of the registration statement and (ii) the 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information which is subsequently modified or superseded will not constitute a part of this prospectus, except as so modified or superseded.</w:t>
      </w:r>
    </w:p>
    <w:p>
      <w:pPr>
        <w:spacing w:after="0" w:line="156" w:lineRule="exact"/>
        <w:rPr>
          <w:sz w:val="20"/>
          <w:szCs w:val="20"/>
          <w:color w:val="auto"/>
        </w:rPr>
      </w:pPr>
    </w:p>
    <w:p>
      <w:pPr>
        <w:ind w:left="1460" w:right="359"/>
        <w:spacing w:after="0" w:line="256" w:lineRule="auto"/>
        <w:rPr>
          <w:sz w:val="20"/>
          <w:szCs w:val="20"/>
          <w:color w:val="auto"/>
        </w:rPr>
      </w:pPr>
      <w:r>
        <w:rPr>
          <w:rFonts w:ascii="Times New Roman" w:cs="Times New Roman" w:eastAsia="Times New Roman" w:hAnsi="Times New Roman"/>
          <w:sz w:val="14"/>
          <w:szCs w:val="14"/>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14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Crown Americas LLC</w:t>
      </w:r>
    </w:p>
    <w:p>
      <w:pPr>
        <w:spacing w:after="0" w:line="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c/o Crown Holdings, Inc.</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14025 Riveredge Drive, Suite 300</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Tampa, Florida 33637</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U.S.A.</w:t>
      </w:r>
    </w:p>
    <w:p>
      <w:pPr>
        <w:spacing w:after="0" w:line="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(215) 698-5100</w:t>
      </w:r>
    </w:p>
    <w:p>
      <w:pPr>
        <w:spacing w:after="0" w:line="152" w:lineRule="exact"/>
        <w:rPr>
          <w:sz w:val="20"/>
          <w:szCs w:val="20"/>
          <w:color w:val="auto"/>
        </w:rPr>
      </w:pPr>
    </w:p>
    <w:p>
      <w:pPr>
        <w:ind w:left="1460" w:right="399"/>
        <w:spacing w:after="0" w:line="273" w:lineRule="auto"/>
        <w:rPr>
          <w:sz w:val="20"/>
          <w:szCs w:val="20"/>
          <w:color w:val="auto"/>
        </w:rPr>
      </w:pPr>
      <w:r>
        <w:rPr>
          <w:rFonts w:ascii="Times New Roman" w:cs="Times New Roman" w:eastAsia="Times New Roman" w:hAnsi="Times New Roman"/>
          <w:sz w:val="14"/>
          <w:szCs w:val="14"/>
          <w:b w:val="1"/>
          <w:bCs w:val="1"/>
          <w:color w:val="auto"/>
        </w:rPr>
        <w:t>In order to obtain timely delivery, you must request such documents no later than five business days before the expiration date. The expiration date is , 2025.</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0"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189865</wp:posOffset>
            </wp:positionV>
            <wp:extent cx="532511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5325110" cy="13335"/>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229235</wp:posOffset>
            </wp:positionV>
            <wp:extent cx="532511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496570</wp:posOffset>
            </wp:positionV>
            <wp:extent cx="2120900" cy="260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2120900" cy="26098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33"/>
          <w:szCs w:val="33"/>
          <w:b w:val="1"/>
          <w:bCs w:val="1"/>
          <w:color w:val="auto"/>
        </w:rPr>
        <w:t>Crown Americas LLC</w:t>
      </w:r>
    </w:p>
    <w:p>
      <w:pPr>
        <w:spacing w:after="0" w:line="34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OFFER TO EXCHANGE</w:t>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$700,000,000 5.875% Senior Unsecured Notes due 2033 and related Guarantees for all outstanding</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5.875% Senior Unsecured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1510030</wp:posOffset>
            </wp:positionV>
            <wp:extent cx="112268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186055</wp:posOffset>
            </wp:positionV>
            <wp:extent cx="112268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325755</wp:posOffset>
            </wp:positionV>
            <wp:extent cx="532511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921385</wp:posOffset>
            </wp:positionH>
            <wp:positionV relativeFrom="paragraph">
              <wp:posOffset>378460</wp:posOffset>
            </wp:positionV>
            <wp:extent cx="532511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5325110" cy="13335"/>
                    </a:xfrm>
                    <a:prstGeom prst="rect">
                      <a:avLst/>
                    </a:prstGeom>
                    <a:noFill/>
                  </pic:spPr>
                </pic:pic>
              </a:graphicData>
            </a:graphic>
          </wp:anchor>
        </w:drawing>
      </w:r>
    </w:p>
    <w:p>
      <w:pPr>
        <w:sectPr>
          <w:pgSz w:w="11900" w:h="16838" w:orient="portrait"/>
          <w:cols w:equalWidth="0" w:num="1">
            <w:col w:w="10159"/>
          </w:cols>
          <w:pgMar w:left="300" w:top="380"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90" w:lineRule="exact"/>
        <w:rPr>
          <w:sz w:val="20"/>
          <w:szCs w:val="20"/>
          <w:color w:val="auto"/>
        </w:rPr>
      </w:pPr>
    </w:p>
    <w:p>
      <w:pPr>
        <w:ind w:left="1460" w:right="339"/>
        <w:spacing w:after="0" w:line="270" w:lineRule="auto"/>
        <w:rPr>
          <w:sz w:val="20"/>
          <w:szCs w:val="20"/>
          <w:color w:val="auto"/>
        </w:rPr>
      </w:pPr>
      <w:r>
        <w:rPr>
          <w:rFonts w:ascii="Times New Roman" w:cs="Times New Roman" w:eastAsia="Times New Roman" w:hAnsi="Times New Roman"/>
          <w:sz w:val="13"/>
          <w:szCs w:val="13"/>
          <w:color w:val="auto"/>
        </w:rPr>
        <w:t>Sections 1741 and 1742 of the Pennsylvania Business Corporation Law (the “BCL”) provide that a corporation may indemnify its representatives (including directors and officers) against expenses (including attorneys’ fees), judgments, fines and amounts paid in settlement actually and reasonably incurred in such capacities, provided certain standards are met, including good faith and the reasonable belief that the particular action is in, or not opposed to, the best interests of the corporation or, in a criminal proceeding, that such representatives had no reasonable cause to believe their conduct was unlawful. In the case of actions against a director or officer by or in the right of the corporation, the power to indemnify extends only to expenses actually and reasonably incurred in connection with the defense or settlement, and such power generally does not exist if the person otherwise entitled to indemnification shall have been adjudged to be liable to the corporation, unless it is judicially determined that, despite the adjudication of liability but in view of all the circumstances of the case, the person is fairly and reasonably entitled to indemnification for specified expenses.</w:t>
      </w:r>
    </w:p>
    <w:p>
      <w:pPr>
        <w:spacing w:after="0" w:line="134" w:lineRule="exact"/>
        <w:rPr>
          <w:sz w:val="20"/>
          <w:szCs w:val="20"/>
          <w:color w:val="auto"/>
        </w:rPr>
      </w:pPr>
    </w:p>
    <w:p>
      <w:pPr>
        <w:ind w:left="1460" w:right="519"/>
        <w:spacing w:after="0" w:line="256" w:lineRule="auto"/>
        <w:rPr>
          <w:sz w:val="20"/>
          <w:szCs w:val="20"/>
          <w:color w:val="auto"/>
        </w:rPr>
      </w:pPr>
      <w:r>
        <w:rPr>
          <w:rFonts w:ascii="Times New Roman" w:cs="Times New Roman" w:eastAsia="Times New Roman" w:hAnsi="Times New Roman"/>
          <w:sz w:val="14"/>
          <w:szCs w:val="14"/>
          <w:color w:val="auto"/>
        </w:rPr>
        <w:t>In addition, Section 1744 of the BCL provides that, unless ordered by a court, any indemnification referred to above shall be made by the corporation only as authorized in the specific case upon a determination that indemnification is proper in the circumstances because the indemnitee has met the applicable standard of conduct. Such determination shall be made:</w:t>
      </w:r>
    </w:p>
    <w:p>
      <w:pPr>
        <w:spacing w:after="0" w:line="143" w:lineRule="exact"/>
        <w:rPr>
          <w:sz w:val="20"/>
          <w:szCs w:val="20"/>
          <w:color w:val="auto"/>
        </w:rPr>
      </w:pPr>
    </w:p>
    <w:p>
      <w:pPr>
        <w:ind w:left="1640" w:hanging="189"/>
        <w:spacing w:after="0"/>
        <w:tabs>
          <w:tab w:leader="none" w:pos="1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board of directors by a majority vote of a quorum consisting of directors who were not parties to the proceeding;</w:t>
      </w:r>
    </w:p>
    <w:p>
      <w:pPr>
        <w:spacing w:after="0" w:line="167" w:lineRule="exact"/>
        <w:rPr>
          <w:rFonts w:ascii="Times New Roman" w:cs="Times New Roman" w:eastAsia="Times New Roman" w:hAnsi="Times New Roman"/>
          <w:sz w:val="14"/>
          <w:szCs w:val="14"/>
          <w:color w:val="auto"/>
        </w:rPr>
      </w:pPr>
    </w:p>
    <w:p>
      <w:pPr>
        <w:ind w:left="1460" w:right="339" w:hanging="9"/>
        <w:spacing w:after="0" w:line="267" w:lineRule="auto"/>
        <w:tabs>
          <w:tab w:leader="none" w:pos="165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a quorum is not obtainable, or if obtainable and a majority vote of a quorum of disinterested directors so directs, by independent legal counsel in a written opinion; or</w:t>
      </w:r>
    </w:p>
    <w:p>
      <w:pPr>
        <w:spacing w:after="0" w:line="135" w:lineRule="exact"/>
        <w:rPr>
          <w:rFonts w:ascii="Times New Roman" w:cs="Times New Roman" w:eastAsia="Times New Roman" w:hAnsi="Times New Roman"/>
          <w:sz w:val="14"/>
          <w:szCs w:val="14"/>
          <w:color w:val="auto"/>
        </w:rPr>
      </w:pPr>
    </w:p>
    <w:p>
      <w:pPr>
        <w:ind w:left="1640" w:hanging="189"/>
        <w:spacing w:after="0"/>
        <w:tabs>
          <w:tab w:leader="none" w:pos="1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shareholders.</w:t>
      </w:r>
    </w:p>
    <w:p>
      <w:pPr>
        <w:spacing w:after="0" w:line="168" w:lineRule="exact"/>
        <w:rPr>
          <w:sz w:val="20"/>
          <w:szCs w:val="20"/>
          <w:color w:val="auto"/>
        </w:rPr>
      </w:pPr>
    </w:p>
    <w:p>
      <w:pPr>
        <w:ind w:left="1460" w:right="619"/>
        <w:spacing w:after="0" w:line="256" w:lineRule="auto"/>
        <w:rPr>
          <w:sz w:val="20"/>
          <w:szCs w:val="20"/>
          <w:color w:val="auto"/>
        </w:rPr>
      </w:pPr>
      <w:r>
        <w:rPr>
          <w:rFonts w:ascii="Times New Roman" w:cs="Times New Roman" w:eastAsia="Times New Roman" w:hAnsi="Times New Roman"/>
          <w:sz w:val="14"/>
          <w:szCs w:val="14"/>
          <w:color w:val="auto"/>
        </w:rPr>
        <w:t>Notwithstanding the above, under Section 1743 of the BCL, a corporation is required to indemnify directors and officers against expenses they may incur in defending actions to which they are made a party by reason of their status as such if they are successful on the merits, or otherwise, in the defense of such actions.</w:t>
      </w:r>
    </w:p>
    <w:p>
      <w:pPr>
        <w:spacing w:after="0" w:line="143" w:lineRule="exact"/>
        <w:rPr>
          <w:sz w:val="20"/>
          <w:szCs w:val="20"/>
          <w:color w:val="auto"/>
        </w:rPr>
      </w:pPr>
    </w:p>
    <w:p>
      <w:pPr>
        <w:jc w:val="both"/>
        <w:ind w:left="1460" w:right="379"/>
        <w:spacing w:after="0" w:line="256" w:lineRule="auto"/>
        <w:rPr>
          <w:sz w:val="20"/>
          <w:szCs w:val="20"/>
          <w:color w:val="auto"/>
        </w:rPr>
      </w:pPr>
      <w:r>
        <w:rPr>
          <w:rFonts w:ascii="Times New Roman" w:cs="Times New Roman" w:eastAsia="Times New Roman" w:hAnsi="Times New Roman"/>
          <w:sz w:val="14"/>
          <w:szCs w:val="14"/>
          <w:color w:val="auto"/>
        </w:rPr>
        <w:t>Under Section 1745 of the BCL, a corporation may pay the expenses of a director or officer incurred in defending an action or proceeding in advance of the final disposition thereof upon receipt of an undertaking by or on behalf of such person to repay the amounts advanced, if it is ultimately determined that such person is not entitled to indemnification from the corporation.</w:t>
      </w:r>
    </w:p>
    <w:p>
      <w:pPr>
        <w:spacing w:after="0" w:line="143" w:lineRule="exact"/>
        <w:rPr>
          <w:sz w:val="20"/>
          <w:szCs w:val="20"/>
          <w:color w:val="auto"/>
        </w:rPr>
      </w:pPr>
    </w:p>
    <w:p>
      <w:pPr>
        <w:ind w:left="1460" w:right="619"/>
        <w:spacing w:after="0" w:line="252" w:lineRule="auto"/>
        <w:rPr>
          <w:sz w:val="20"/>
          <w:szCs w:val="20"/>
          <w:color w:val="auto"/>
        </w:rPr>
      </w:pPr>
      <w:r>
        <w:rPr>
          <w:rFonts w:ascii="Times New Roman" w:cs="Times New Roman" w:eastAsia="Times New Roman" w:hAnsi="Times New Roman"/>
          <w:sz w:val="14"/>
          <w:szCs w:val="14"/>
          <w:color w:val="auto"/>
        </w:rPr>
        <w:t>Section 1746 of the BCL provides that the foregoing provisions shall not be deemed exclusive of any other rights to which a person seeking indemnification may be entitled under, among other things, any provision in the corporation’s articles of incorporation or bylaws, provided that no indemnification may be made in any case where the act or failure to act giving rise to the claim for indemnification is determined by a court to have constituted willful misconduct or recklessness.</w:t>
      </w:r>
    </w:p>
    <w:p>
      <w:pPr>
        <w:spacing w:after="0" w:line="146" w:lineRule="exact"/>
        <w:rPr>
          <w:sz w:val="20"/>
          <w:szCs w:val="20"/>
          <w:color w:val="auto"/>
        </w:rPr>
      </w:pPr>
    </w:p>
    <w:p>
      <w:pPr>
        <w:ind w:left="1460" w:right="359"/>
        <w:spacing w:after="0" w:line="285" w:lineRule="auto"/>
        <w:rPr>
          <w:sz w:val="20"/>
          <w:szCs w:val="20"/>
          <w:color w:val="auto"/>
        </w:rPr>
      </w:pPr>
      <w:r>
        <w:rPr>
          <w:rFonts w:ascii="Times New Roman" w:cs="Times New Roman" w:eastAsia="Times New Roman" w:hAnsi="Times New Roman"/>
          <w:sz w:val="13"/>
          <w:szCs w:val="13"/>
          <w:color w:val="auto"/>
        </w:rPr>
        <w:t>Section 1747 of the BCL permits a Pennsylvania business corporation to purchase and maintain insurance on behalf of any person who is or was a director or officer against any liability asserted against such person and incurred by such person in any such capacity, or arising out of such person’s status as such, whether or not the corporation would have the power to indemnify the person against such liability under the provisions described above.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right="419"/>
        <w:spacing w:after="0" w:line="250" w:lineRule="auto"/>
        <w:rPr>
          <w:sz w:val="20"/>
          <w:szCs w:val="20"/>
          <w:color w:val="auto"/>
        </w:rPr>
      </w:pPr>
      <w:r>
        <w:rPr>
          <w:rFonts w:ascii="Times New Roman" w:cs="Times New Roman" w:eastAsia="Times New Roman" w:hAnsi="Times New Roman"/>
          <w:sz w:val="14"/>
          <w:szCs w:val="14"/>
          <w:color w:val="auto"/>
        </w:rPr>
        <w:t>Sections 1748 and 1749 of the BCL extend the indemnification and advancement of expenses provisions to successor corporations in consolidations, mergers or divisions and to representatives serving as fiduciaries of employee benefit plans. Section 1750 of the BCL provides that the indemnification and advancement of expenses provided by, or granted pursuant to, Subchapter D of Chapter 17 of Title 15 of the BCL, shall, unless otherwise provided when authorized or ratified, continue as to a person who has ceased to be a representative of the corporation and shall inure to the benefit of the heirs and personal representative of such person.</w:t>
      </w:r>
    </w:p>
    <w:p>
      <w:pPr>
        <w:spacing w:after="0" w:line="148" w:lineRule="exact"/>
        <w:rPr>
          <w:sz w:val="20"/>
          <w:szCs w:val="20"/>
          <w:color w:val="auto"/>
        </w:rPr>
      </w:pPr>
    </w:p>
    <w:p>
      <w:pPr>
        <w:ind w:left="1460" w:right="399"/>
        <w:spacing w:after="0" w:line="250" w:lineRule="auto"/>
        <w:rPr>
          <w:sz w:val="20"/>
          <w:szCs w:val="20"/>
          <w:color w:val="auto"/>
        </w:rPr>
      </w:pPr>
      <w:r>
        <w:rPr>
          <w:rFonts w:ascii="Times New Roman" w:cs="Times New Roman" w:eastAsia="Times New Roman" w:hAnsi="Times New Roman"/>
          <w:sz w:val="14"/>
          <w:szCs w:val="14"/>
          <w:color w:val="auto"/>
        </w:rPr>
        <w:t>The Registrant’s By-Laws provide that the Registrant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the Registrant,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Registrant.</w:t>
      </w:r>
    </w:p>
    <w:p>
      <w:pPr>
        <w:spacing w:after="0" w:line="148" w:lineRule="exact"/>
        <w:rPr>
          <w:sz w:val="20"/>
          <w:szCs w:val="20"/>
          <w:color w:val="auto"/>
        </w:rPr>
      </w:pPr>
    </w:p>
    <w:p>
      <w:pPr>
        <w:ind w:left="1460" w:right="459"/>
        <w:spacing w:after="0" w:line="252" w:lineRule="auto"/>
        <w:rPr>
          <w:sz w:val="20"/>
          <w:szCs w:val="20"/>
          <w:color w:val="auto"/>
        </w:rPr>
      </w:pPr>
      <w:r>
        <w:rPr>
          <w:rFonts w:ascii="Times New Roman" w:cs="Times New Roman" w:eastAsia="Times New Roman" w:hAnsi="Times New Roman"/>
          <w:sz w:val="14"/>
          <w:szCs w:val="14"/>
          <w:color w:val="auto"/>
        </w:rPr>
        <w:t>The Registrant’s By-Laws also provide that expenses incurred by a person who is or was a director or officer in defending (or acting as a witness in) a proceeding shall be paid by the Registrant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Registrant under the Registrant’s By-Laws or applicable law.</w:t>
      </w:r>
    </w:p>
    <w:p>
      <w:pPr>
        <w:spacing w:after="0" w:line="146" w:lineRule="exact"/>
        <w:rPr>
          <w:sz w:val="20"/>
          <w:szCs w:val="20"/>
          <w:color w:val="auto"/>
        </w:rPr>
      </w:pPr>
    </w:p>
    <w:p>
      <w:pPr>
        <w:ind w:left="1460" w:right="359"/>
        <w:spacing w:after="0" w:line="250" w:lineRule="auto"/>
        <w:rPr>
          <w:sz w:val="20"/>
          <w:szCs w:val="20"/>
          <w:color w:val="auto"/>
        </w:rPr>
      </w:pPr>
      <w:r>
        <w:rPr>
          <w:rFonts w:ascii="Times New Roman" w:cs="Times New Roman" w:eastAsia="Times New Roman" w:hAnsi="Times New Roman"/>
          <w:sz w:val="14"/>
          <w:szCs w:val="14"/>
          <w:color w:val="auto"/>
        </w:rPr>
        <w:t>Additionally, the Registrant’s By-Laws limit directors’ personal liability for monetary damages for any action taken, or any failure to take any action, unless (a) the director has breached or failed to perform the duties of his or her office under Subchapter B of Chapter 17 of the BCL (relating to standard of care and justifiable reliance) and (b) the breach or failure to perform constitutes self-dealing, willful misconduct or recklessness. However, these provisions do not apply to (a) the responsibility or liability of a director pursuant to any criminal statute or (b) the liability of a director for the payment of taxes pursuant to local, state or federal law.</w:t>
      </w:r>
    </w:p>
    <w:p>
      <w:pPr>
        <w:spacing w:after="0" w:line="148" w:lineRule="exact"/>
        <w:rPr>
          <w:sz w:val="20"/>
          <w:szCs w:val="20"/>
          <w:color w:val="auto"/>
        </w:rPr>
      </w:pPr>
    </w:p>
    <w:p>
      <w:pPr>
        <w:ind w:left="1460" w:right="459"/>
        <w:spacing w:after="0" w:line="267" w:lineRule="auto"/>
        <w:rPr>
          <w:sz w:val="20"/>
          <w:szCs w:val="20"/>
          <w:color w:val="auto"/>
        </w:rPr>
      </w:pPr>
      <w:r>
        <w:rPr>
          <w:rFonts w:ascii="Times New Roman" w:cs="Times New Roman" w:eastAsia="Times New Roman" w:hAnsi="Times New Roman"/>
          <w:sz w:val="14"/>
          <w:szCs w:val="14"/>
          <w:color w:val="auto"/>
        </w:rPr>
        <w:t>The Registrant has purchased directors’ and officers’ liability insurance covering certain liabilities which may be incurred by the officers and directors of the Registrant in connection with the performance of their duties.</w:t>
      </w:r>
    </w:p>
    <w:p>
      <w:pPr>
        <w:spacing w:after="0" w:line="2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 Exhibits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The following exhibits are filed herewith unless otherwise indicated:</w:t>
      </w:r>
    </w:p>
    <w:p>
      <w:pPr>
        <w:spacing w:after="0" w:line="188" w:lineRule="exact"/>
        <w:rPr>
          <w:sz w:val="20"/>
          <w:szCs w:val="20"/>
          <w:color w:val="auto"/>
        </w:rPr>
      </w:pPr>
    </w:p>
    <w:p>
      <w:pPr>
        <w:ind w:left="1960" w:right="439" w:hanging="503"/>
        <w:spacing w:after="0" w:line="267" w:lineRule="auto"/>
        <w:tabs>
          <w:tab w:leader="none" w:pos="19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3.a</w:t>
      </w:r>
      <w:r>
        <w:rPr>
          <w:sz w:val="20"/>
          <w:szCs w:val="20"/>
          <w:color w:val="auto"/>
        </w:rPr>
        <w:tab/>
      </w:r>
      <w:hyperlink r:id="rId113">
        <w:r>
          <w:rPr>
            <w:rFonts w:ascii="Times New Roman" w:cs="Times New Roman" w:eastAsia="Times New Roman" w:hAnsi="Times New Roman"/>
            <w:sz w:val="14"/>
            <w:szCs w:val="14"/>
            <w:u w:val="single" w:color="auto"/>
            <w:color w:val="0000EE"/>
          </w:rPr>
          <w:t>Articles of Incorporation of Crown Holdings, Inc., as amended (incorporated by reference to Exhibit 3.a of the Registrant’s Annual Report on</w:t>
        </w:r>
      </w:hyperlink>
      <w:r>
        <w:rPr>
          <w:rFonts w:ascii="Times New Roman" w:cs="Times New Roman" w:eastAsia="Times New Roman" w:hAnsi="Times New Roman"/>
          <w:sz w:val="14"/>
          <w:szCs w:val="14"/>
          <w:u w:val="single" w:color="auto"/>
          <w:color w:val="0000EE"/>
        </w:rPr>
        <w:t xml:space="preserve"> </w:t>
      </w:r>
      <w:hyperlink r:id="rId113">
        <w:r>
          <w:rPr>
            <w:rFonts w:ascii="Times New Roman" w:cs="Times New Roman" w:eastAsia="Times New Roman" w:hAnsi="Times New Roman"/>
            <w:sz w:val="14"/>
            <w:szCs w:val="14"/>
            <w:u w:val="single" w:color="auto"/>
            <w:color w:val="0000EE"/>
          </w:rPr>
          <w:t>Form 10-K for the year ended December 31, 2004 (File No. 0-50189)).</w:t>
        </w:r>
      </w:hyperlink>
    </w:p>
    <w:p>
      <w:pPr>
        <w:spacing w:after="0" w:line="53" w:lineRule="exact"/>
        <w:rPr>
          <w:sz w:val="20"/>
          <w:szCs w:val="20"/>
          <w:color w:val="auto"/>
        </w:rPr>
      </w:pPr>
    </w:p>
    <w:p>
      <w:pPr>
        <w:ind w:left="1460"/>
        <w:spacing w:after="0"/>
        <w:tabs>
          <w:tab w:leader="none" w:pos="194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3.b</w:t>
      </w:r>
      <w:r>
        <w:rPr>
          <w:sz w:val="20"/>
          <w:szCs w:val="20"/>
          <w:color w:val="auto"/>
        </w:rPr>
        <w:tab/>
      </w:r>
      <w:hyperlink r:id="rId114">
        <w:r>
          <w:rPr>
            <w:rFonts w:ascii="Times New Roman" w:cs="Times New Roman" w:eastAsia="Times New Roman" w:hAnsi="Times New Roman"/>
            <w:sz w:val="13"/>
            <w:szCs w:val="13"/>
            <w:u w:val="single" w:color="auto"/>
            <w:color w:val="0000EE"/>
          </w:rPr>
          <w:t>Amended and Restated By-Laws of Crown Holdings, Inc. (incorporated by reference to Exhibit 3.1 of the Registrant’s Current Report on Form</w:t>
        </w:r>
      </w:hyperlink>
    </w:p>
    <w:p>
      <w:pPr>
        <w:spacing w:after="0" w:line="15" w:lineRule="exact"/>
        <w:rPr>
          <w:sz w:val="20"/>
          <w:szCs w:val="20"/>
          <w:color w:val="auto"/>
        </w:rPr>
      </w:pPr>
    </w:p>
    <w:p>
      <w:pPr>
        <w:ind w:left="1960"/>
        <w:spacing w:after="0"/>
        <w:rPr>
          <w:rFonts w:ascii="Times New Roman" w:cs="Times New Roman" w:eastAsia="Times New Roman" w:hAnsi="Times New Roman"/>
          <w:sz w:val="14"/>
          <w:szCs w:val="14"/>
          <w:u w:val="single" w:color="auto"/>
          <w:color w:val="0000EE"/>
        </w:rPr>
      </w:pPr>
      <w:hyperlink r:id="rId114">
        <w:r>
          <w:rPr>
            <w:rFonts w:ascii="Times New Roman" w:cs="Times New Roman" w:eastAsia="Times New Roman" w:hAnsi="Times New Roman"/>
            <w:sz w:val="14"/>
            <w:szCs w:val="14"/>
            <w:u w:val="single" w:color="auto"/>
            <w:color w:val="0000EE"/>
          </w:rPr>
          <w:t>8-K dated December 13, 2022 (File No. 001-41550)).</w:t>
        </w:r>
      </w:hyperlink>
    </w:p>
    <w:p>
      <w:pPr>
        <w:spacing w:after="0" w:line="74" w:lineRule="exact"/>
        <w:rPr>
          <w:sz w:val="20"/>
          <w:szCs w:val="20"/>
          <w:color w:val="auto"/>
        </w:rPr>
      </w:pPr>
    </w:p>
    <w:p>
      <w:pPr>
        <w:ind w:left="1960" w:right="799" w:hanging="503"/>
        <w:spacing w:after="0" w:line="267" w:lineRule="auto"/>
        <w:tabs>
          <w:tab w:leader="none" w:pos="19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3.c</w:t>
      </w:r>
      <w:r>
        <w:rPr>
          <w:sz w:val="20"/>
          <w:szCs w:val="20"/>
          <w:color w:val="auto"/>
        </w:rPr>
        <w:tab/>
      </w:r>
      <w:hyperlink r:id="rId115">
        <w:r>
          <w:rPr>
            <w:rFonts w:ascii="Times New Roman" w:cs="Times New Roman" w:eastAsia="Times New Roman" w:hAnsi="Times New Roman"/>
            <w:sz w:val="14"/>
            <w:szCs w:val="14"/>
            <w:u w:val="single" w:color="auto"/>
            <w:color w:val="0000EE"/>
          </w:rPr>
          <w:t>Certificate of Organization of Crown Americas LLC (incorporated by reference to Exhibit 3.c of Amendment No. 2 to the Registrant’s</w:t>
        </w:r>
      </w:hyperlink>
      <w:r>
        <w:rPr>
          <w:rFonts w:ascii="Times New Roman" w:cs="Times New Roman" w:eastAsia="Times New Roman" w:hAnsi="Times New Roman"/>
          <w:sz w:val="14"/>
          <w:szCs w:val="14"/>
          <w:u w:val="single" w:color="auto"/>
          <w:color w:val="0000EE"/>
        </w:rPr>
        <w:t xml:space="preserve"> </w:t>
      </w:r>
      <w:hyperlink r:id="rId115">
        <w:r>
          <w:rPr>
            <w:rFonts w:ascii="Times New Roman" w:cs="Times New Roman" w:eastAsia="Times New Roman" w:hAnsi="Times New Roman"/>
            <w:sz w:val="14"/>
            <w:szCs w:val="14"/>
            <w:u w:val="single" w:color="auto"/>
            <w:color w:val="0000EE"/>
          </w:rPr>
          <w:t>Registration Statement on Form S-4 dated October 17, 2013 (File No. 333-190694)).</w:t>
        </w:r>
      </w:hyperlink>
    </w:p>
    <w:p>
      <w:pPr>
        <w:spacing w:after="0" w:line="53" w:lineRule="exact"/>
        <w:rPr>
          <w:sz w:val="20"/>
          <w:szCs w:val="20"/>
          <w:color w:val="auto"/>
        </w:rPr>
      </w:pPr>
    </w:p>
    <w:p>
      <w:pPr>
        <w:ind w:left="1960" w:right="399" w:hanging="503"/>
        <w:spacing w:after="0" w:line="267" w:lineRule="auto"/>
        <w:tabs>
          <w:tab w:leader="none" w:pos="19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3.d</w:t>
      </w:r>
      <w:r>
        <w:rPr>
          <w:sz w:val="20"/>
          <w:szCs w:val="20"/>
          <w:color w:val="auto"/>
        </w:rPr>
        <w:tab/>
      </w:r>
      <w:hyperlink r:id="rId116">
        <w:r>
          <w:rPr>
            <w:rFonts w:ascii="Times New Roman" w:cs="Times New Roman" w:eastAsia="Times New Roman" w:hAnsi="Times New Roman"/>
            <w:sz w:val="14"/>
            <w:szCs w:val="14"/>
            <w:u w:val="single" w:color="auto"/>
            <w:color w:val="0000EE"/>
          </w:rPr>
          <w:t>Limited Liability Company Agreement of Crown Americas LLC, dated as of September 27, 2005 (incorporated by reference to Exhibit 3.d of</w:t>
        </w:r>
      </w:hyperlink>
      <w:r>
        <w:rPr>
          <w:rFonts w:ascii="Times New Roman" w:cs="Times New Roman" w:eastAsia="Times New Roman" w:hAnsi="Times New Roman"/>
          <w:sz w:val="14"/>
          <w:szCs w:val="14"/>
          <w:u w:val="single" w:color="auto"/>
          <w:color w:val="0000EE"/>
        </w:rPr>
        <w:t xml:space="preserve"> </w:t>
      </w:r>
      <w:hyperlink r:id="rId116">
        <w:r>
          <w:rPr>
            <w:rFonts w:ascii="Times New Roman" w:cs="Times New Roman" w:eastAsia="Times New Roman" w:hAnsi="Times New Roman"/>
            <w:sz w:val="14"/>
            <w:szCs w:val="14"/>
            <w:u w:val="single" w:color="auto"/>
            <w:color w:val="0000EE"/>
          </w:rPr>
          <w:t>Amendment No. 2 to the Registrant’s Registration Statement on Form S-4 dated October 17, 2013 (File No. 333-190694)).</w:t>
        </w:r>
      </w:hyperlink>
    </w:p>
    <w:p>
      <w:pPr>
        <w:spacing w:after="0" w:line="53" w:lineRule="exact"/>
        <w:rPr>
          <w:sz w:val="20"/>
          <w:szCs w:val="20"/>
          <w:color w:val="auto"/>
        </w:rPr>
      </w:pPr>
    </w:p>
    <w:p>
      <w:pPr>
        <w:ind w:left="1960" w:right="899" w:hanging="503"/>
        <w:spacing w:after="0" w:line="267" w:lineRule="auto"/>
        <w:tabs>
          <w:tab w:leader="none" w:pos="19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3.e</w:t>
      </w:r>
      <w:r>
        <w:rPr>
          <w:sz w:val="20"/>
          <w:szCs w:val="20"/>
          <w:color w:val="auto"/>
        </w:rPr>
        <w:tab/>
      </w:r>
      <w:hyperlink r:id="rId117">
        <w:r>
          <w:rPr>
            <w:rFonts w:ascii="Times New Roman" w:cs="Times New Roman" w:eastAsia="Times New Roman" w:hAnsi="Times New Roman"/>
            <w:sz w:val="14"/>
            <w:szCs w:val="14"/>
            <w:u w:val="single" w:color="auto"/>
            <w:color w:val="0000EE"/>
          </w:rPr>
          <w:t>Certificate of Incorporation of Crown Beverage Packaging Puerto Rico, Inc., as amended (incorporated by reference to Exhibit 3.g of</w:t>
        </w:r>
      </w:hyperlink>
      <w:r>
        <w:rPr>
          <w:rFonts w:ascii="Times New Roman" w:cs="Times New Roman" w:eastAsia="Times New Roman" w:hAnsi="Times New Roman"/>
          <w:sz w:val="14"/>
          <w:szCs w:val="14"/>
          <w:u w:val="single" w:color="auto"/>
          <w:color w:val="0000EE"/>
        </w:rPr>
        <w:t xml:space="preserve"> </w:t>
      </w:r>
      <w:hyperlink r:id="rId117">
        <w:r>
          <w:rPr>
            <w:rFonts w:ascii="Times New Roman" w:cs="Times New Roman" w:eastAsia="Times New Roman" w:hAnsi="Times New Roman"/>
            <w:sz w:val="14"/>
            <w:szCs w:val="14"/>
            <w:u w:val="single" w:color="auto"/>
            <w:color w:val="0000EE"/>
          </w:rPr>
          <w:t>Amendment No. 2 to the Registrant’s Registration Statement on Form S-4 dated October 17, 2013 (File No. 333-190694)).</w:t>
        </w:r>
      </w:hyperlink>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3.f</w:t>
            </w:r>
          </w:p>
        </w:tc>
        <w:tc>
          <w:tcPr>
            <w:tcW w:w="76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8"/>
              </w:rPr>
            </w:pPr>
            <w:hyperlink r:id="rId119">
              <w:r>
                <w:rPr>
                  <w:rFonts w:ascii="Times New Roman" w:cs="Times New Roman" w:eastAsia="Times New Roman" w:hAnsi="Times New Roman"/>
                  <w:sz w:val="14"/>
                  <w:szCs w:val="14"/>
                  <w:color w:val="0000EE"/>
                  <w:w w:val="98"/>
                </w:rPr>
                <w:t>Bylaws of Crown Beverage Packaging Puerto Rico, Inc. (incorporated by reference to Exhibit 3.h of Amendment No. 2 to the Registrant’s</w:t>
              </w:r>
            </w:hyperlink>
          </w:p>
        </w:tc>
        <w:tc>
          <w:tcPr>
            <w:tcW w:w="120" w:type="dxa"/>
            <w:vAlign w:val="bottom"/>
            <w:gridSpan w:val="4"/>
          </w:tcPr>
          <w:p>
            <w:pPr>
              <w:spacing w:after="0"/>
              <w:rPr>
                <w:sz w:val="13"/>
                <w:szCs w:val="13"/>
                <w:color w:val="auto"/>
              </w:rPr>
            </w:pPr>
          </w:p>
        </w:tc>
      </w:tr>
      <w:tr>
        <w:trPr>
          <w:trHeight w:val="144"/>
        </w:trPr>
        <w:tc>
          <w:tcPr>
            <w:tcW w:w="580" w:type="dxa"/>
            <w:vAlign w:val="bottom"/>
          </w:tcPr>
          <w:p>
            <w:pPr>
              <w:spacing w:after="0"/>
              <w:rPr>
                <w:sz w:val="12"/>
                <w:szCs w:val="12"/>
                <w:color w:val="auto"/>
              </w:rPr>
            </w:pPr>
          </w:p>
        </w:tc>
        <w:tc>
          <w:tcPr>
            <w:tcW w:w="468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119">
              <w:r>
                <w:rPr>
                  <w:rFonts w:ascii="Times New Roman" w:cs="Times New Roman" w:eastAsia="Times New Roman" w:hAnsi="Times New Roman"/>
                  <w:sz w:val="14"/>
                  <w:szCs w:val="14"/>
                  <w:color w:val="0000EE"/>
                  <w:w w:val="97"/>
                </w:rPr>
                <w:t>Registration Statement on Form S-4 dated October 17, 2013 (File No. 333-190694)).</w:t>
              </w:r>
            </w:hyperlink>
          </w:p>
        </w:tc>
        <w:tc>
          <w:tcPr>
            <w:tcW w:w="3080" w:type="dxa"/>
            <w:vAlign w:val="bottom"/>
            <w:gridSpan w:val="20"/>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3.g</w:t>
            </w:r>
          </w:p>
        </w:tc>
        <w:tc>
          <w:tcPr>
            <w:tcW w:w="7760" w:type="dxa"/>
            <w:vAlign w:val="bottom"/>
            <w:gridSpan w:val="25"/>
          </w:tcPr>
          <w:p>
            <w:pPr>
              <w:spacing w:after="0"/>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Articles of Incorporation of Crown Consultants, Inc. (incorporated by reference to Exhibit 3.i of Amendment No. 2 to the Registrant’s</w:t>
              </w:r>
            </w:hyperlink>
          </w:p>
        </w:tc>
      </w:tr>
      <w:tr>
        <w:trPr>
          <w:trHeight w:val="144"/>
        </w:trPr>
        <w:tc>
          <w:tcPr>
            <w:tcW w:w="580" w:type="dxa"/>
            <w:vAlign w:val="bottom"/>
          </w:tcPr>
          <w:p>
            <w:pPr>
              <w:spacing w:after="0"/>
              <w:rPr>
                <w:sz w:val="12"/>
                <w:szCs w:val="12"/>
                <w:color w:val="auto"/>
              </w:rPr>
            </w:pPr>
          </w:p>
        </w:tc>
        <w:tc>
          <w:tcPr>
            <w:tcW w:w="4680" w:type="dxa"/>
            <w:vAlign w:val="bottom"/>
            <w:tcBorders>
              <w:top w:val="single" w:sz="8" w:color="0000EE"/>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120">
              <w:r>
                <w:rPr>
                  <w:rFonts w:ascii="Times New Roman" w:cs="Times New Roman" w:eastAsia="Times New Roman" w:hAnsi="Times New Roman"/>
                  <w:sz w:val="14"/>
                  <w:szCs w:val="14"/>
                  <w:color w:val="0000EE"/>
                  <w:w w:val="97"/>
                </w:rPr>
                <w:t>Registration Statement on Form S-4 dated October 17, 2013 (File No. 333-190694)).</w:t>
              </w:r>
            </w:hyperlink>
          </w:p>
        </w:tc>
        <w:tc>
          <w:tcPr>
            <w:tcW w:w="2700" w:type="dxa"/>
            <w:vAlign w:val="bottom"/>
            <w:tcBorders>
              <w:top w:val="single" w:sz="8" w:color="0000EE"/>
            </w:tcBorders>
            <w:gridSpan w:val="12"/>
          </w:tcPr>
          <w:p>
            <w:pPr>
              <w:spacing w:after="0"/>
              <w:rPr>
                <w:sz w:val="12"/>
                <w:szCs w:val="12"/>
                <w:color w:val="auto"/>
              </w:rPr>
            </w:pPr>
          </w:p>
        </w:tc>
        <w:tc>
          <w:tcPr>
            <w:tcW w:w="380" w:type="dxa"/>
            <w:vAlign w:val="bottom"/>
            <w:gridSpan w:val="8"/>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3.h</w:t>
            </w:r>
          </w:p>
        </w:tc>
        <w:tc>
          <w:tcPr>
            <w:tcW w:w="774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121">
              <w:r>
                <w:rPr>
                  <w:rFonts w:ascii="Times New Roman" w:cs="Times New Roman" w:eastAsia="Times New Roman" w:hAnsi="Times New Roman"/>
                  <w:sz w:val="14"/>
                  <w:szCs w:val="14"/>
                  <w:color w:val="0000EE"/>
                  <w:w w:val="98"/>
                </w:rPr>
                <w:t>Bylaws of Crown Consultants, Inc. (incorporated by reference to Exhibit 3.j of Amendment No. 2 to the Registrant’s Registration Statement</w:t>
              </w:r>
            </w:hyperlink>
          </w:p>
        </w:tc>
        <w:tc>
          <w:tcPr>
            <w:tcW w:w="20" w:type="dxa"/>
            <w:vAlign w:val="bottom"/>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7760" w:type="dxa"/>
            <w:vAlign w:val="bottom"/>
            <w:gridSpan w:val="25"/>
          </w:tcPr>
          <w:p>
            <w:pPr>
              <w:spacing w:after="0" w:line="14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on Form S-4 dated October 17, 2013 (File No. 333-190694)).</w:t>
              </w:r>
            </w:hyperlink>
          </w:p>
        </w:tc>
      </w:tr>
      <w:tr>
        <w:trPr>
          <w:trHeight w:val="20"/>
        </w:trPr>
        <w:tc>
          <w:tcPr>
            <w:tcW w:w="5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3.i</w:t>
            </w:r>
          </w:p>
        </w:tc>
        <w:tc>
          <w:tcPr>
            <w:tcW w:w="77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8"/>
              </w:rPr>
            </w:pPr>
            <w:hyperlink r:id="rId122">
              <w:r>
                <w:rPr>
                  <w:rFonts w:ascii="Times New Roman" w:cs="Times New Roman" w:eastAsia="Times New Roman" w:hAnsi="Times New Roman"/>
                  <w:sz w:val="14"/>
                  <w:szCs w:val="14"/>
                  <w:color w:val="0000EE"/>
                  <w:w w:val="98"/>
                </w:rPr>
                <w:t>Certificate of Formation of Crown Cork &amp; Seal Company (DE), LLC, as amended (incorporated by reference to Exhibit 3.k of Amendment</w:t>
              </w:r>
            </w:hyperlink>
          </w:p>
        </w:tc>
        <w:tc>
          <w:tcPr>
            <w:tcW w:w="60" w:type="dxa"/>
            <w:vAlign w:val="bottom"/>
            <w:gridSpan w:val="3"/>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7760" w:type="dxa"/>
            <w:vAlign w:val="bottom"/>
            <w:gridSpan w:val="25"/>
          </w:tcPr>
          <w:p>
            <w:pPr>
              <w:spacing w:after="0" w:line="14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No. 2 to the Registrant’s Registration Statement on Form S-4 dated October 17, 2013 (File No. 333-190694)).</w:t>
              </w:r>
            </w:hyperlink>
          </w:p>
        </w:tc>
      </w:tr>
      <w:tr>
        <w:trPr>
          <w:trHeight w:val="20"/>
        </w:trPr>
        <w:tc>
          <w:tcPr>
            <w:tcW w:w="5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3.j</w:t>
            </w:r>
          </w:p>
        </w:tc>
        <w:tc>
          <w:tcPr>
            <w:tcW w:w="73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123">
              <w:r>
                <w:rPr>
                  <w:rFonts w:ascii="Times New Roman" w:cs="Times New Roman" w:eastAsia="Times New Roman" w:hAnsi="Times New Roman"/>
                  <w:sz w:val="14"/>
                  <w:szCs w:val="14"/>
                  <w:color w:val="0000EE"/>
                  <w:w w:val="98"/>
                </w:rPr>
                <w:t>Limited Liability Company Agreement of Crown Cork &amp; Seal Company (DE), LLC, dated as of September 1, 2001 (incorporated by</w:t>
              </w:r>
            </w:hyperlink>
          </w:p>
        </w:tc>
        <w:tc>
          <w:tcPr>
            <w:tcW w:w="420" w:type="dxa"/>
            <w:vAlign w:val="bottom"/>
            <w:gridSpan w:val="10"/>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7760" w:type="dxa"/>
            <w:vAlign w:val="bottom"/>
            <w:gridSpan w:val="25"/>
          </w:tcPr>
          <w:p>
            <w:pPr>
              <w:spacing w:after="0" w:line="14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reference to Exhibit 3.l of Amendment No. 2 to the Registrant’s Registration Statement on Form S-4 dated October 17, 2013 (File</w:t>
              </w:r>
            </w:hyperlink>
          </w:p>
        </w:tc>
      </w:tr>
      <w:tr>
        <w:trPr>
          <w:trHeight w:val="144"/>
        </w:trPr>
        <w:tc>
          <w:tcPr>
            <w:tcW w:w="580" w:type="dxa"/>
            <w:vAlign w:val="bottom"/>
          </w:tcPr>
          <w:p>
            <w:pPr>
              <w:spacing w:after="0"/>
              <w:rPr>
                <w:sz w:val="12"/>
                <w:szCs w:val="12"/>
                <w:color w:val="auto"/>
              </w:rPr>
            </w:pPr>
          </w:p>
        </w:tc>
        <w:tc>
          <w:tcPr>
            <w:tcW w:w="7120" w:type="dxa"/>
            <w:vAlign w:val="bottom"/>
            <w:tcBorders>
              <w:top w:val="single" w:sz="8" w:color="0000EE"/>
            </w:tcBorders>
            <w:gridSpan w:val="12"/>
          </w:tcPr>
          <w:p>
            <w:pPr>
              <w:spacing w:after="0" w:line="14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No. 333-190694)).</w:t>
              </w:r>
            </w:hyperlink>
          </w:p>
        </w:tc>
        <w:tc>
          <w:tcPr>
            <w:tcW w:w="640" w:type="dxa"/>
            <w:vAlign w:val="bottom"/>
            <w:gridSpan w:val="13"/>
          </w:tcPr>
          <w:p>
            <w:pPr>
              <w:spacing w:after="0"/>
              <w:rPr>
                <w:sz w:val="12"/>
                <w:szCs w:val="12"/>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3.k</w:t>
            </w:r>
          </w:p>
        </w:tc>
        <w:tc>
          <w:tcPr>
            <w:tcW w:w="728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8"/>
              </w:rPr>
            </w:pPr>
            <w:hyperlink r:id="rId124">
              <w:r>
                <w:rPr>
                  <w:rFonts w:ascii="Times New Roman" w:cs="Times New Roman" w:eastAsia="Times New Roman" w:hAnsi="Times New Roman"/>
                  <w:sz w:val="14"/>
                  <w:szCs w:val="14"/>
                  <w:color w:val="0000EE"/>
                  <w:w w:val="98"/>
                </w:rPr>
                <w:t>Amended and Restated Articles of Incorporation of Crown Cork &amp; Seal Company, Inc. (incorporated by reference to Exhibit 3.m of</w:t>
              </w:r>
            </w:hyperlink>
          </w:p>
        </w:tc>
        <w:tc>
          <w:tcPr>
            <w:tcW w:w="480" w:type="dxa"/>
            <w:vAlign w:val="bottom"/>
            <w:gridSpan w:val="11"/>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6740" w:type="dxa"/>
            <w:vAlign w:val="bottom"/>
            <w:tcBorders>
              <w:bottom w:val="single" w:sz="8" w:color="0000EE"/>
            </w:tcBorders>
            <w:gridSpan w:val="11"/>
          </w:tcPr>
          <w:p>
            <w:pPr>
              <w:spacing w:after="0" w:line="145" w:lineRule="exact"/>
              <w:rPr>
                <w:rFonts w:ascii="Times New Roman" w:cs="Times New Roman" w:eastAsia="Times New Roman" w:hAnsi="Times New Roman"/>
                <w:sz w:val="14"/>
                <w:szCs w:val="14"/>
                <w:color w:val="0000EE"/>
                <w:w w:val="97"/>
              </w:rPr>
            </w:pPr>
            <w:hyperlink r:id="rId124">
              <w:r>
                <w:rPr>
                  <w:rFonts w:ascii="Times New Roman" w:cs="Times New Roman" w:eastAsia="Times New Roman" w:hAnsi="Times New Roman"/>
                  <w:sz w:val="14"/>
                  <w:szCs w:val="14"/>
                  <w:color w:val="0000EE"/>
                  <w:w w:val="97"/>
                </w:rPr>
                <w:t>Amendment No. 2 to the Registrant’s Registration Statement on Form S-4 dated October 17, 2013 (File No. 333-190694)).</w:t>
              </w:r>
            </w:hyperlink>
          </w:p>
        </w:tc>
        <w:tc>
          <w:tcPr>
            <w:tcW w:w="1020" w:type="dxa"/>
            <w:vAlign w:val="bottom"/>
            <w:gridSpan w:val="14"/>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3.l</w:t>
            </w:r>
          </w:p>
        </w:tc>
        <w:tc>
          <w:tcPr>
            <w:tcW w:w="71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7"/>
              </w:rPr>
            </w:pPr>
            <w:hyperlink r:id="rId125">
              <w:r>
                <w:rPr>
                  <w:rFonts w:ascii="Times New Roman" w:cs="Times New Roman" w:eastAsia="Times New Roman" w:hAnsi="Times New Roman"/>
                  <w:sz w:val="14"/>
                  <w:szCs w:val="14"/>
                  <w:color w:val="0000EE"/>
                  <w:w w:val="97"/>
                </w:rPr>
                <w:t>By-Laws of Crown Cork &amp; Seal Company, Inc. (incorporated by reference to Exhibit 3.n of Amendment No. 2 to the Registrant’s</w:t>
              </w:r>
            </w:hyperlink>
          </w:p>
        </w:tc>
        <w:tc>
          <w:tcPr>
            <w:tcW w:w="600" w:type="dxa"/>
            <w:vAlign w:val="bottom"/>
            <w:gridSpan w:val="12"/>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7760" w:type="dxa"/>
            <w:vAlign w:val="bottom"/>
            <w:gridSpan w:val="25"/>
          </w:tcPr>
          <w:p>
            <w:pPr>
              <w:spacing w:after="0" w:line="145"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Registration Statement on Form S-4 dated October 17, 2013 (File No. 333-190694)).</w:t>
              </w:r>
            </w:hyperlink>
          </w:p>
        </w:tc>
      </w:tr>
      <w:tr>
        <w:trPr>
          <w:trHeight w:val="20"/>
        </w:trPr>
        <w:tc>
          <w:tcPr>
            <w:tcW w:w="58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3.m</w:t>
            </w:r>
          </w:p>
        </w:tc>
        <w:tc>
          <w:tcPr>
            <w:tcW w:w="7760" w:type="dxa"/>
            <w:vAlign w:val="bottom"/>
            <w:gridSpan w:val="25"/>
          </w:tcPr>
          <w:p>
            <w:pPr>
              <w:spacing w:after="0"/>
              <w:rPr>
                <w:rFonts w:ascii="Times New Roman" w:cs="Times New Roman" w:eastAsia="Times New Roman" w:hAnsi="Times New Roman"/>
                <w:sz w:val="14"/>
                <w:szCs w:val="14"/>
                <w:color w:val="0000EE"/>
                <w:w w:val="98"/>
              </w:rPr>
            </w:pPr>
            <w:hyperlink r:id="rId126">
              <w:r>
                <w:rPr>
                  <w:rFonts w:ascii="Times New Roman" w:cs="Times New Roman" w:eastAsia="Times New Roman" w:hAnsi="Times New Roman"/>
                  <w:sz w:val="14"/>
                  <w:szCs w:val="14"/>
                  <w:color w:val="0000EE"/>
                  <w:w w:val="98"/>
                </w:rPr>
                <w:t>Articles of Incorporation of Crown Financial Corporation, as amended (incorporated by reference to Exhibit 3.o of Amendment No. 2 to the</w:t>
              </w:r>
            </w:hyperlink>
          </w:p>
        </w:tc>
      </w:tr>
      <w:tr>
        <w:trPr>
          <w:trHeight w:val="144"/>
        </w:trPr>
        <w:tc>
          <w:tcPr>
            <w:tcW w:w="580" w:type="dxa"/>
            <w:vAlign w:val="bottom"/>
          </w:tcPr>
          <w:p>
            <w:pPr>
              <w:spacing w:after="0"/>
              <w:rPr>
                <w:sz w:val="12"/>
                <w:szCs w:val="12"/>
                <w:color w:val="auto"/>
              </w:rPr>
            </w:pPr>
          </w:p>
        </w:tc>
        <w:tc>
          <w:tcPr>
            <w:tcW w:w="7720" w:type="dxa"/>
            <w:vAlign w:val="bottom"/>
            <w:tcBorders>
              <w:top w:val="single" w:sz="8" w:color="0000EE"/>
            </w:tcBorders>
            <w:gridSpan w:val="23"/>
          </w:tcPr>
          <w:p>
            <w:pPr>
              <w:spacing w:after="0" w:line="145"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Registrant’s Registration Statement on Form S-4 dated October 17, 2013 (File No. 333-190694)).</w:t>
              </w:r>
            </w:hyperlink>
          </w:p>
        </w:tc>
        <w:tc>
          <w:tcPr>
            <w:tcW w:w="40" w:type="dxa"/>
            <w:vAlign w:val="bottom"/>
            <w:gridSpan w:val="2"/>
          </w:tcPr>
          <w:p>
            <w:pPr>
              <w:spacing w:after="0"/>
              <w:rPr>
                <w:sz w:val="12"/>
                <w:szCs w:val="12"/>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3.n</w:t>
            </w:r>
          </w:p>
        </w:tc>
        <w:tc>
          <w:tcPr>
            <w:tcW w:w="7760" w:type="dxa"/>
            <w:vAlign w:val="bottom"/>
            <w:gridSpan w:val="25"/>
          </w:tcPr>
          <w:p>
            <w:pPr>
              <w:spacing w:after="0"/>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By-Laws of Crown Financial Corporation (incorporated by reference to Exhibit 3.p of Amendment No. 2 to the Registrant’s Registration</w:t>
              </w:r>
            </w:hyperlink>
          </w:p>
        </w:tc>
      </w:tr>
      <w:tr>
        <w:trPr>
          <w:trHeight w:val="144"/>
        </w:trPr>
        <w:tc>
          <w:tcPr>
            <w:tcW w:w="580" w:type="dxa"/>
            <w:vAlign w:val="bottom"/>
          </w:tcPr>
          <w:p>
            <w:pPr>
              <w:spacing w:after="0"/>
              <w:rPr>
                <w:sz w:val="12"/>
                <w:szCs w:val="12"/>
                <w:color w:val="auto"/>
              </w:rPr>
            </w:pPr>
          </w:p>
        </w:tc>
        <w:tc>
          <w:tcPr>
            <w:tcW w:w="3960" w:type="dxa"/>
            <w:vAlign w:val="bottom"/>
            <w:tcBorders>
              <w:top w:val="single" w:sz="8" w:color="0000EE"/>
              <w:bottom w:val="single" w:sz="8" w:color="0000EE"/>
            </w:tcBorders>
            <w:gridSpan w:val="4"/>
          </w:tcPr>
          <w:p>
            <w:pPr>
              <w:spacing w:after="0" w:line="145" w:lineRule="exact"/>
              <w:rPr>
                <w:rFonts w:ascii="Times New Roman" w:cs="Times New Roman" w:eastAsia="Times New Roman" w:hAnsi="Times New Roman"/>
                <w:sz w:val="14"/>
                <w:szCs w:val="14"/>
                <w:color w:val="0000EE"/>
                <w:w w:val="97"/>
              </w:rPr>
            </w:pPr>
            <w:hyperlink r:id="rId127">
              <w:r>
                <w:rPr>
                  <w:rFonts w:ascii="Times New Roman" w:cs="Times New Roman" w:eastAsia="Times New Roman" w:hAnsi="Times New Roman"/>
                  <w:sz w:val="14"/>
                  <w:szCs w:val="14"/>
                  <w:color w:val="0000EE"/>
                  <w:w w:val="97"/>
                </w:rPr>
                <w:t>Statement on Form S-4 dated October 17, 2013 (File No. 333-190694)).</w:t>
              </w:r>
            </w:hyperlink>
          </w:p>
        </w:tc>
        <w:tc>
          <w:tcPr>
            <w:tcW w:w="3540" w:type="dxa"/>
            <w:vAlign w:val="bottom"/>
            <w:tcBorders>
              <w:top w:val="single" w:sz="8" w:color="0000EE"/>
            </w:tcBorders>
            <w:gridSpan w:val="14"/>
          </w:tcPr>
          <w:p>
            <w:pPr>
              <w:spacing w:after="0"/>
              <w:rPr>
                <w:sz w:val="12"/>
                <w:szCs w:val="12"/>
                <w:color w:val="auto"/>
              </w:rPr>
            </w:pPr>
          </w:p>
        </w:tc>
        <w:tc>
          <w:tcPr>
            <w:tcW w:w="260" w:type="dxa"/>
            <w:vAlign w:val="bottom"/>
            <w:gridSpan w:val="7"/>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3.o</w:t>
            </w:r>
          </w:p>
        </w:tc>
        <w:tc>
          <w:tcPr>
            <w:tcW w:w="7760" w:type="dxa"/>
            <w:vAlign w:val="bottom"/>
            <w:gridSpan w:val="25"/>
          </w:tcPr>
          <w:p>
            <w:pPr>
              <w:spacing w:after="0"/>
              <w:rPr>
                <w:sz w:val="20"/>
                <w:szCs w:val="20"/>
                <w:color w:val="auto"/>
              </w:rPr>
            </w:pPr>
            <w:r>
              <w:rPr>
                <w:rFonts w:ascii="Times New Roman" w:cs="Times New Roman" w:eastAsia="Times New Roman" w:hAnsi="Times New Roman"/>
                <w:sz w:val="14"/>
                <w:szCs w:val="14"/>
                <w:color w:val="0000EE"/>
              </w:rPr>
              <w:t>Certificate of Formation of Crown International Holdings, LLC.</w:t>
            </w:r>
          </w:p>
        </w:tc>
      </w:tr>
      <w:tr>
        <w:trPr>
          <w:trHeight w:val="20"/>
        </w:trPr>
        <w:tc>
          <w:tcPr>
            <w:tcW w:w="58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3.p</w:t>
            </w:r>
          </w:p>
        </w:tc>
        <w:tc>
          <w:tcPr>
            <w:tcW w:w="61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7"/>
              </w:rPr>
              <w:t>Limited Liability Company Agreement of Crown International Holdings, LLC, dated as of December 30, 2024.</w:t>
            </w:r>
          </w:p>
        </w:tc>
        <w:tc>
          <w:tcPr>
            <w:tcW w:w="1640" w:type="dxa"/>
            <w:vAlign w:val="bottom"/>
            <w:gridSpan w:val="15"/>
          </w:tcPr>
          <w:p>
            <w:pPr>
              <w:spacing w:after="0"/>
              <w:rPr>
                <w:sz w:val="19"/>
                <w:szCs w:val="19"/>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3.q</w:t>
            </w:r>
          </w:p>
        </w:tc>
        <w:tc>
          <w:tcPr>
            <w:tcW w:w="7760" w:type="dxa"/>
            <w:vAlign w:val="bottom"/>
            <w:gridSpan w:val="25"/>
          </w:tcPr>
          <w:p>
            <w:pPr>
              <w:spacing w:after="0"/>
              <w:rPr>
                <w:rFonts w:ascii="Times New Roman" w:cs="Times New Roman" w:eastAsia="Times New Roman" w:hAnsi="Times New Roman"/>
                <w:sz w:val="14"/>
                <w:szCs w:val="14"/>
                <w:color w:val="0000EE"/>
                <w:w w:val="99"/>
              </w:rPr>
            </w:pPr>
            <w:hyperlink r:id="rId128">
              <w:r>
                <w:rPr>
                  <w:rFonts w:ascii="Times New Roman" w:cs="Times New Roman" w:eastAsia="Times New Roman" w:hAnsi="Times New Roman"/>
                  <w:sz w:val="14"/>
                  <w:szCs w:val="14"/>
                  <w:color w:val="0000EE"/>
                  <w:w w:val="99"/>
                </w:rPr>
                <w:t>Certificate of Incorporation of CROWN Packaging Technology, Inc., as amended (incorporated by reference to Exhibit 3.s of Amendment</w:t>
              </w:r>
            </w:hyperlink>
          </w:p>
        </w:tc>
      </w:tr>
      <w:tr>
        <w:trPr>
          <w:trHeight w:val="144"/>
        </w:trPr>
        <w:tc>
          <w:tcPr>
            <w:tcW w:w="580" w:type="dxa"/>
            <w:vAlign w:val="bottom"/>
          </w:tcPr>
          <w:p>
            <w:pPr>
              <w:spacing w:after="0"/>
              <w:rPr>
                <w:sz w:val="12"/>
                <w:szCs w:val="12"/>
                <w:color w:val="auto"/>
              </w:rPr>
            </w:pPr>
          </w:p>
        </w:tc>
        <w:tc>
          <w:tcPr>
            <w:tcW w:w="6060" w:type="dxa"/>
            <w:vAlign w:val="bottom"/>
            <w:tcBorders>
              <w:top w:val="single" w:sz="8" w:color="0000EE"/>
              <w:bottom w:val="single" w:sz="8" w:color="0000EE"/>
            </w:tcBorders>
            <w:gridSpan w:val="9"/>
          </w:tcPr>
          <w:p>
            <w:pPr>
              <w:spacing w:after="0" w:line="145" w:lineRule="exact"/>
              <w:rPr>
                <w:rFonts w:ascii="Times New Roman" w:cs="Times New Roman" w:eastAsia="Times New Roman" w:hAnsi="Times New Roman"/>
                <w:sz w:val="14"/>
                <w:szCs w:val="14"/>
                <w:color w:val="0000EE"/>
                <w:w w:val="98"/>
              </w:rPr>
            </w:pPr>
            <w:hyperlink r:id="rId128">
              <w:r>
                <w:rPr>
                  <w:rFonts w:ascii="Times New Roman" w:cs="Times New Roman" w:eastAsia="Times New Roman" w:hAnsi="Times New Roman"/>
                  <w:sz w:val="14"/>
                  <w:szCs w:val="14"/>
                  <w:color w:val="0000EE"/>
                  <w:w w:val="98"/>
                </w:rPr>
                <w:t>No. 2 to the Registrant’s Registration Statement on Form S-4 dated October 17, 2013 (File No. 333-190694)).</w:t>
              </w:r>
            </w:hyperlink>
          </w:p>
        </w:tc>
        <w:tc>
          <w:tcPr>
            <w:tcW w:w="1520" w:type="dxa"/>
            <w:vAlign w:val="bottom"/>
            <w:tcBorders>
              <w:top w:val="single" w:sz="8" w:color="0000EE"/>
            </w:tcBorders>
            <w:gridSpan w:val="10"/>
          </w:tcPr>
          <w:p>
            <w:pPr>
              <w:spacing w:after="0"/>
              <w:rPr>
                <w:sz w:val="12"/>
                <w:szCs w:val="12"/>
                <w:color w:val="auto"/>
              </w:rPr>
            </w:pPr>
          </w:p>
        </w:tc>
        <w:tc>
          <w:tcPr>
            <w:tcW w:w="180" w:type="dxa"/>
            <w:vAlign w:val="bottom"/>
            <w:gridSpan w:val="6"/>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3.r</w:t>
            </w:r>
          </w:p>
        </w:tc>
        <w:tc>
          <w:tcPr>
            <w:tcW w:w="7760" w:type="dxa"/>
            <w:vAlign w:val="bottom"/>
            <w:gridSpan w:val="25"/>
          </w:tcPr>
          <w:p>
            <w:pPr>
              <w:spacing w:after="0"/>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Bylaws of CROWN Packaging Technology, Inc. (incorporated by reference to Exhibit 3.t of Amendment No. 2 to the Registrant’s</w:t>
              </w:r>
            </w:hyperlink>
          </w:p>
        </w:tc>
      </w:tr>
      <w:tr>
        <w:trPr>
          <w:trHeight w:val="144"/>
        </w:trPr>
        <w:tc>
          <w:tcPr>
            <w:tcW w:w="580" w:type="dxa"/>
            <w:vAlign w:val="bottom"/>
          </w:tcPr>
          <w:p>
            <w:pPr>
              <w:spacing w:after="0"/>
              <w:rPr>
                <w:sz w:val="12"/>
                <w:szCs w:val="12"/>
                <w:color w:val="auto"/>
              </w:rPr>
            </w:pPr>
          </w:p>
        </w:tc>
        <w:tc>
          <w:tcPr>
            <w:tcW w:w="4680" w:type="dxa"/>
            <w:vAlign w:val="bottom"/>
            <w:tcBorders>
              <w:top w:val="single" w:sz="8" w:color="0000EE"/>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129">
              <w:r>
                <w:rPr>
                  <w:rFonts w:ascii="Times New Roman" w:cs="Times New Roman" w:eastAsia="Times New Roman" w:hAnsi="Times New Roman"/>
                  <w:sz w:val="14"/>
                  <w:szCs w:val="14"/>
                  <w:color w:val="0000EE"/>
                  <w:w w:val="97"/>
                </w:rPr>
                <w:t>Registration Statement on Form S-4 dated October 17, 2013 (File No. 333-190694)).</w:t>
              </w:r>
            </w:hyperlink>
          </w:p>
        </w:tc>
        <w:tc>
          <w:tcPr>
            <w:tcW w:w="2480" w:type="dxa"/>
            <w:vAlign w:val="bottom"/>
            <w:tcBorders>
              <w:top w:val="single" w:sz="8" w:color="0000EE"/>
            </w:tcBorders>
            <w:gridSpan w:val="8"/>
          </w:tcPr>
          <w:p>
            <w:pPr>
              <w:spacing w:after="0"/>
              <w:rPr>
                <w:sz w:val="12"/>
                <w:szCs w:val="12"/>
                <w:color w:val="auto"/>
              </w:rPr>
            </w:pPr>
          </w:p>
        </w:tc>
        <w:tc>
          <w:tcPr>
            <w:tcW w:w="600" w:type="dxa"/>
            <w:vAlign w:val="bottom"/>
            <w:gridSpan w:val="12"/>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3.s</w:t>
            </w:r>
          </w:p>
        </w:tc>
        <w:tc>
          <w:tcPr>
            <w:tcW w:w="776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w w:val="98"/>
              </w:rPr>
            </w:pPr>
            <w:hyperlink r:id="rId130">
              <w:r>
                <w:rPr>
                  <w:rFonts w:ascii="Times New Roman" w:cs="Times New Roman" w:eastAsia="Times New Roman" w:hAnsi="Times New Roman"/>
                  <w:sz w:val="14"/>
                  <w:szCs w:val="14"/>
                  <w:color w:val="0000EE"/>
                  <w:w w:val="98"/>
                </w:rPr>
                <w:t>Certificate of Incorporation of Foreign Manufacturers Finance Corporation (incorporated by reference to Exhibit 3.u of Amendment No. 2 to</w:t>
              </w:r>
            </w:hyperlink>
          </w:p>
        </w:tc>
      </w:tr>
      <w:tr>
        <w:trPr>
          <w:trHeight w:val="144"/>
        </w:trPr>
        <w:tc>
          <w:tcPr>
            <w:tcW w:w="580" w:type="dxa"/>
            <w:vAlign w:val="bottom"/>
          </w:tcPr>
          <w:p>
            <w:pPr>
              <w:spacing w:after="0"/>
              <w:rPr>
                <w:sz w:val="12"/>
                <w:szCs w:val="12"/>
                <w:color w:val="auto"/>
              </w:rPr>
            </w:pPr>
          </w:p>
        </w:tc>
        <w:tc>
          <w:tcPr>
            <w:tcW w:w="7760" w:type="dxa"/>
            <w:vAlign w:val="bottom"/>
            <w:gridSpan w:val="25"/>
          </w:tcPr>
          <w:p>
            <w:pPr>
              <w:spacing w:after="0" w:line="145"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the Registrant’s Registration Statement on Form S-4 dated October 17, 2013 (File No. 333-190694)).</w:t>
              </w:r>
            </w:hyperlink>
          </w:p>
        </w:tc>
      </w:tr>
      <w:tr>
        <w:trPr>
          <w:trHeight w:val="20"/>
        </w:trPr>
        <w:tc>
          <w:tcPr>
            <w:tcW w:w="580" w:type="dxa"/>
            <w:vAlign w:val="bottom"/>
          </w:tcPr>
          <w:p>
            <w:pPr>
              <w:spacing w:after="0" w:line="20" w:lineRule="exact"/>
              <w:rPr>
                <w:sz w:val="1"/>
                <w:szCs w:val="1"/>
                <w:color w:val="auto"/>
              </w:rPr>
            </w:pPr>
          </w:p>
        </w:tc>
        <w:tc>
          <w:tcPr>
            <w:tcW w:w="5540" w:type="dxa"/>
            <w:vAlign w:val="bottom"/>
            <w:gridSpan w:val="7"/>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3.t</w:t>
            </w:r>
          </w:p>
        </w:tc>
        <w:tc>
          <w:tcPr>
            <w:tcW w:w="76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7"/>
              </w:rPr>
            </w:pPr>
            <w:hyperlink r:id="rId131">
              <w:r>
                <w:rPr>
                  <w:rFonts w:ascii="Times New Roman" w:cs="Times New Roman" w:eastAsia="Times New Roman" w:hAnsi="Times New Roman"/>
                  <w:sz w:val="14"/>
                  <w:szCs w:val="14"/>
                  <w:color w:val="0000EE"/>
                  <w:w w:val="97"/>
                </w:rPr>
                <w:t>By-Laws of Foreign Manufacturers Finance Corporation (incorporated by reference to Exhibit 3.v of Amendment No. 2 to the Registrant’s</w:t>
              </w:r>
            </w:hyperlink>
          </w:p>
        </w:tc>
        <w:tc>
          <w:tcPr>
            <w:tcW w:w="140" w:type="dxa"/>
            <w:vAlign w:val="bottom"/>
            <w:gridSpan w:val="5"/>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468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131">
              <w:r>
                <w:rPr>
                  <w:rFonts w:ascii="Times New Roman" w:cs="Times New Roman" w:eastAsia="Times New Roman" w:hAnsi="Times New Roman"/>
                  <w:sz w:val="14"/>
                  <w:szCs w:val="14"/>
                  <w:color w:val="0000EE"/>
                  <w:w w:val="97"/>
                </w:rPr>
                <w:t>Registration Statement on Form S-4 dated October 17, 2013 (File No. 333-190694)).</w:t>
              </w:r>
            </w:hyperlink>
          </w:p>
        </w:tc>
        <w:tc>
          <w:tcPr>
            <w:tcW w:w="3080" w:type="dxa"/>
            <w:vAlign w:val="bottom"/>
            <w:gridSpan w:val="20"/>
          </w:tcPr>
          <w:p>
            <w:pPr>
              <w:spacing w:after="0"/>
              <w:rPr>
                <w:sz w:val="12"/>
                <w:szCs w:val="12"/>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3.u</w:t>
            </w:r>
          </w:p>
        </w:tc>
        <w:tc>
          <w:tcPr>
            <w:tcW w:w="736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8"/>
              </w:rPr>
            </w:pPr>
            <w:hyperlink r:id="rId132">
              <w:r>
                <w:rPr>
                  <w:rFonts w:ascii="Times New Roman" w:cs="Times New Roman" w:eastAsia="Times New Roman" w:hAnsi="Times New Roman"/>
                  <w:sz w:val="14"/>
                  <w:szCs w:val="14"/>
                  <w:color w:val="0000EE"/>
                  <w:w w:val="98"/>
                </w:rPr>
                <w:t>Certificate of Incorporation of CROWN Cork &amp; Seal USA, Inc. (incorporated by reference to Exhibit 3.y of Amendment No. 2 to the</w:t>
              </w:r>
            </w:hyperlink>
          </w:p>
        </w:tc>
        <w:tc>
          <w:tcPr>
            <w:tcW w:w="400" w:type="dxa"/>
            <w:vAlign w:val="bottom"/>
            <w:gridSpan w:val="9"/>
          </w:tcPr>
          <w:p>
            <w:pPr>
              <w:spacing w:after="0"/>
              <w:rPr>
                <w:sz w:val="19"/>
                <w:szCs w:val="19"/>
                <w:color w:val="auto"/>
              </w:rPr>
            </w:pPr>
          </w:p>
        </w:tc>
      </w:tr>
      <w:tr>
        <w:trPr>
          <w:trHeight w:val="144"/>
        </w:trPr>
        <w:tc>
          <w:tcPr>
            <w:tcW w:w="580" w:type="dxa"/>
            <w:vAlign w:val="bottom"/>
          </w:tcPr>
          <w:p>
            <w:pPr>
              <w:spacing w:after="0"/>
              <w:rPr>
                <w:sz w:val="12"/>
                <w:szCs w:val="12"/>
                <w:color w:val="auto"/>
              </w:rPr>
            </w:pPr>
          </w:p>
        </w:tc>
        <w:tc>
          <w:tcPr>
            <w:tcW w:w="7760" w:type="dxa"/>
            <w:vAlign w:val="bottom"/>
            <w:gridSpan w:val="25"/>
          </w:tcPr>
          <w:p>
            <w:pPr>
              <w:spacing w:after="0" w:line="14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Registrant’s Registration Statement on Form S-4 dated October 17, 2013 (File No. 333-190694)).</w:t>
              </w:r>
            </w:hyperlink>
          </w:p>
        </w:tc>
      </w:tr>
      <w:tr>
        <w:trPr>
          <w:trHeight w:val="20"/>
        </w:trPr>
        <w:tc>
          <w:tcPr>
            <w:tcW w:w="5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0"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040" w:right="47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3.v</w:t>
      </w:r>
      <w:r>
        <w:rPr>
          <w:sz w:val="20"/>
          <w:szCs w:val="20"/>
          <w:color w:val="auto"/>
        </w:rPr>
        <w:tab/>
      </w:r>
      <w:hyperlink r:id="rId134">
        <w:r>
          <w:rPr>
            <w:rFonts w:ascii="Times New Roman" w:cs="Times New Roman" w:eastAsia="Times New Roman" w:hAnsi="Times New Roman"/>
            <w:sz w:val="14"/>
            <w:szCs w:val="14"/>
            <w:u w:val="single" w:color="auto"/>
            <w:color w:val="0000EE"/>
          </w:rPr>
          <w:t>Bylaws of CROWN Cork &amp; Seal USA, Inc. (incorporated by reference to Exhibit 3.z of Amendment No. 2 to the Registrant’s Registration</w:t>
        </w:r>
      </w:hyperlink>
      <w:r>
        <w:rPr>
          <w:rFonts w:ascii="Times New Roman" w:cs="Times New Roman" w:eastAsia="Times New Roman" w:hAnsi="Times New Roman"/>
          <w:sz w:val="14"/>
          <w:szCs w:val="14"/>
          <w:u w:val="single" w:color="auto"/>
          <w:color w:val="0000EE"/>
        </w:rPr>
        <w:t xml:space="preserve"> </w:t>
      </w:r>
      <w:hyperlink r:id="rId134">
        <w:r>
          <w:rPr>
            <w:rFonts w:ascii="Times New Roman" w:cs="Times New Roman" w:eastAsia="Times New Roman" w:hAnsi="Times New Roman"/>
            <w:sz w:val="14"/>
            <w:szCs w:val="14"/>
            <w:u w:val="single" w:color="auto"/>
            <w:color w:val="0000EE"/>
          </w:rPr>
          <w:t>Statement on Form S-4 dated October 17, 2013 (File No. 333-190694)).</w:t>
        </w:r>
      </w:hyperlink>
    </w:p>
    <w:p>
      <w:pPr>
        <w:spacing w:after="0" w:line="53" w:lineRule="exact"/>
        <w:rPr>
          <w:sz w:val="20"/>
          <w:szCs w:val="20"/>
          <w:color w:val="auto"/>
        </w:rPr>
      </w:pPr>
    </w:p>
    <w:p>
      <w:pPr>
        <w:ind w:left="2040" w:right="53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3.w</w:t>
      </w:r>
      <w:r>
        <w:rPr>
          <w:sz w:val="20"/>
          <w:szCs w:val="20"/>
          <w:color w:val="auto"/>
        </w:rPr>
        <w:tab/>
      </w:r>
      <w:hyperlink r:id="rId135">
        <w:r>
          <w:rPr>
            <w:rFonts w:ascii="Times New Roman" w:cs="Times New Roman" w:eastAsia="Times New Roman" w:hAnsi="Times New Roman"/>
            <w:sz w:val="14"/>
            <w:szCs w:val="14"/>
            <w:u w:val="single" w:color="auto"/>
            <w:color w:val="0000EE"/>
          </w:rPr>
          <w:t>Restated Certificate of Incorporation of CR USA, Inc., as amended (incorporated by reference to Exhibit 3.aa of Amendment No. 2 to the</w:t>
        </w:r>
      </w:hyperlink>
      <w:r>
        <w:rPr>
          <w:rFonts w:ascii="Times New Roman" w:cs="Times New Roman" w:eastAsia="Times New Roman" w:hAnsi="Times New Roman"/>
          <w:sz w:val="14"/>
          <w:szCs w:val="14"/>
          <w:u w:val="single" w:color="auto"/>
          <w:color w:val="0000EE"/>
        </w:rPr>
        <w:t xml:space="preserve"> </w:t>
      </w:r>
      <w:hyperlink r:id="rId135">
        <w:r>
          <w:rPr>
            <w:rFonts w:ascii="Times New Roman" w:cs="Times New Roman" w:eastAsia="Times New Roman" w:hAnsi="Times New Roman"/>
            <w:sz w:val="14"/>
            <w:szCs w:val="14"/>
            <w:u w:val="single" w:color="auto"/>
            <w:color w:val="0000EE"/>
          </w:rPr>
          <w:t>Registrant’s Registration Statement on Form S-4 dated October 17, 2013 (File No. 333-190694)).</w:t>
        </w:r>
      </w:hyperlink>
    </w:p>
    <w:p>
      <w:pPr>
        <w:spacing w:after="0" w:line="53" w:lineRule="exact"/>
        <w:rPr>
          <w:sz w:val="20"/>
          <w:szCs w:val="20"/>
          <w:color w:val="auto"/>
        </w:rPr>
      </w:pPr>
    </w:p>
    <w:p>
      <w:pPr>
        <w:ind w:left="2040" w:right="35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3.x</w:t>
      </w:r>
      <w:r>
        <w:rPr>
          <w:sz w:val="20"/>
          <w:szCs w:val="20"/>
          <w:color w:val="auto"/>
        </w:rPr>
        <w:tab/>
      </w:r>
      <w:hyperlink r:id="rId136">
        <w:r>
          <w:rPr>
            <w:rFonts w:ascii="Times New Roman" w:cs="Times New Roman" w:eastAsia="Times New Roman" w:hAnsi="Times New Roman"/>
            <w:sz w:val="14"/>
            <w:szCs w:val="14"/>
            <w:u w:val="single" w:color="auto"/>
            <w:color w:val="0000EE"/>
          </w:rPr>
          <w:t>Bylaws of CR USA, Inc. (incorporated by reference to Exhibit 3.bb of Amendment No. 2 to the Registrant’s Registration Statement on Form</w:t>
        </w:r>
      </w:hyperlink>
      <w:r>
        <w:rPr>
          <w:rFonts w:ascii="Times New Roman" w:cs="Times New Roman" w:eastAsia="Times New Roman" w:hAnsi="Times New Roman"/>
          <w:sz w:val="14"/>
          <w:szCs w:val="14"/>
          <w:u w:val="single" w:color="auto"/>
          <w:color w:val="0000EE"/>
        </w:rPr>
        <w:t xml:space="preserve"> </w:t>
      </w:r>
      <w:hyperlink r:id="rId136">
        <w:r>
          <w:rPr>
            <w:rFonts w:ascii="Times New Roman" w:cs="Times New Roman" w:eastAsia="Times New Roman" w:hAnsi="Times New Roman"/>
            <w:sz w:val="14"/>
            <w:szCs w:val="14"/>
            <w:u w:val="single" w:color="auto"/>
            <w:color w:val="0000EE"/>
          </w:rPr>
          <w:t>S-4 dated October 17, 2013 (File No. 333-190694)).</w:t>
        </w:r>
      </w:hyperlink>
    </w:p>
    <w:p>
      <w:pPr>
        <w:spacing w:after="0" w:line="53" w:lineRule="exact"/>
        <w:rPr>
          <w:sz w:val="20"/>
          <w:szCs w:val="20"/>
          <w:color w:val="auto"/>
        </w:rPr>
      </w:pPr>
    </w:p>
    <w:p>
      <w:pPr>
        <w:ind w:left="2040" w:right="83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3.y</w:t>
      </w:r>
      <w:r>
        <w:rPr>
          <w:sz w:val="20"/>
          <w:szCs w:val="20"/>
          <w:color w:val="auto"/>
        </w:rPr>
        <w:tab/>
      </w:r>
      <w:hyperlink r:id="rId137">
        <w:r>
          <w:rPr>
            <w:rFonts w:ascii="Times New Roman" w:cs="Times New Roman" w:eastAsia="Times New Roman" w:hAnsi="Times New Roman"/>
            <w:sz w:val="14"/>
            <w:szCs w:val="14"/>
            <w:u w:val="single" w:color="auto"/>
            <w:color w:val="0000EE"/>
          </w:rPr>
          <w:t>Certificate of Formation of Crown Beverage Packaging, LLC (incorporated by reference to Exhibit 3.cc of Amendment No. 2 to the</w:t>
        </w:r>
      </w:hyperlink>
      <w:r>
        <w:rPr>
          <w:rFonts w:ascii="Times New Roman" w:cs="Times New Roman" w:eastAsia="Times New Roman" w:hAnsi="Times New Roman"/>
          <w:sz w:val="14"/>
          <w:szCs w:val="14"/>
          <w:u w:val="single" w:color="auto"/>
          <w:color w:val="0000EE"/>
        </w:rPr>
        <w:t xml:space="preserve"> </w:t>
      </w:r>
      <w:hyperlink r:id="rId137">
        <w:r>
          <w:rPr>
            <w:rFonts w:ascii="Times New Roman" w:cs="Times New Roman" w:eastAsia="Times New Roman" w:hAnsi="Times New Roman"/>
            <w:sz w:val="14"/>
            <w:szCs w:val="14"/>
            <w:u w:val="single" w:color="auto"/>
            <w:color w:val="0000EE"/>
          </w:rPr>
          <w:t>Registrant’s Registration Statement on Form S-4 dated October 17, 2013 (File No. 333-190694)).</w:t>
        </w:r>
      </w:hyperlink>
    </w:p>
    <w:p>
      <w:pPr>
        <w:spacing w:after="0" w:line="53" w:lineRule="exact"/>
        <w:rPr>
          <w:sz w:val="20"/>
          <w:szCs w:val="20"/>
          <w:color w:val="auto"/>
        </w:rPr>
      </w:pPr>
    </w:p>
    <w:p>
      <w:pPr>
        <w:jc w:val="center"/>
        <w:ind w:right="-1100"/>
        <w:spacing w:after="0"/>
        <w:tabs>
          <w:tab w:leader="none" w:pos="40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3.z</w:t>
      </w:r>
      <w:r>
        <w:rPr>
          <w:sz w:val="20"/>
          <w:szCs w:val="20"/>
          <w:color w:val="auto"/>
        </w:rPr>
        <w:tab/>
      </w:r>
      <w:hyperlink r:id="rId138">
        <w:r>
          <w:rPr>
            <w:rFonts w:ascii="Times New Roman" w:cs="Times New Roman" w:eastAsia="Times New Roman" w:hAnsi="Times New Roman"/>
            <w:sz w:val="13"/>
            <w:szCs w:val="13"/>
            <w:u w:val="single" w:color="auto"/>
            <w:color w:val="0000EE"/>
          </w:rPr>
          <w:t>Limited Liability Company Agreement of Crown Beverage Packaging, LLC, dated as of June 30, 2010 (incorporated by reference to Exhibit</w:t>
        </w:r>
      </w:hyperlink>
    </w:p>
    <w:p>
      <w:pPr>
        <w:spacing w:after="0" w:line="15" w:lineRule="exact"/>
        <w:rPr>
          <w:sz w:val="20"/>
          <w:szCs w:val="20"/>
          <w:color w:val="auto"/>
        </w:rPr>
      </w:pPr>
    </w:p>
    <w:p>
      <w:pPr>
        <w:jc w:val="center"/>
        <w:ind w:right="-1120"/>
        <w:spacing w:after="0"/>
        <w:rPr>
          <w:rFonts w:ascii="Times New Roman" w:cs="Times New Roman" w:eastAsia="Times New Roman" w:hAnsi="Times New Roman"/>
          <w:sz w:val="14"/>
          <w:szCs w:val="14"/>
          <w:u w:val="single" w:color="auto"/>
          <w:color w:val="0000EE"/>
        </w:rPr>
      </w:pPr>
      <w:hyperlink r:id="rId138">
        <w:r>
          <w:rPr>
            <w:rFonts w:ascii="Times New Roman" w:cs="Times New Roman" w:eastAsia="Times New Roman" w:hAnsi="Times New Roman"/>
            <w:sz w:val="14"/>
            <w:szCs w:val="14"/>
            <w:u w:val="single" w:color="auto"/>
            <w:color w:val="0000EE"/>
          </w:rPr>
          <w:t>3.dd of Amendment No. 2 to the Registrant’s Registration Statement on Form S-4 dated October 17, 2013 (File No. 333-190694)).</w:t>
        </w:r>
      </w:hyperlink>
    </w:p>
    <w:p>
      <w:pPr>
        <w:spacing w:after="0" w:line="74" w:lineRule="exact"/>
        <w:rPr>
          <w:sz w:val="20"/>
          <w:szCs w:val="20"/>
          <w:color w:val="auto"/>
        </w:rPr>
      </w:pPr>
    </w:p>
    <w:p>
      <w:pPr>
        <w:ind w:left="2040" w:right="37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3.aa</w:t>
      </w:r>
      <w:r>
        <w:rPr>
          <w:sz w:val="20"/>
          <w:szCs w:val="20"/>
          <w:color w:val="auto"/>
        </w:rPr>
        <w:tab/>
      </w:r>
      <w:hyperlink r:id="rId139">
        <w:r>
          <w:rPr>
            <w:rFonts w:ascii="Times New Roman" w:cs="Times New Roman" w:eastAsia="Times New Roman" w:hAnsi="Times New Roman"/>
            <w:sz w:val="14"/>
            <w:szCs w:val="14"/>
            <w:u w:val="single" w:color="auto"/>
            <w:color w:val="0000EE"/>
          </w:rPr>
          <w:t>Certificate of Formation of Signode Industrial Group LLC (f/k/a SPG US LLC) (incorporated by reference to Exhibit 3.gg of the Registrant’s</w:t>
        </w:r>
      </w:hyperlink>
      <w:r>
        <w:rPr>
          <w:rFonts w:ascii="Times New Roman" w:cs="Times New Roman" w:eastAsia="Times New Roman" w:hAnsi="Times New Roman"/>
          <w:sz w:val="14"/>
          <w:szCs w:val="14"/>
          <w:u w:val="single" w:color="auto"/>
          <w:color w:val="0000EE"/>
        </w:rPr>
        <w:t xml:space="preserve"> </w:t>
      </w:r>
      <w:hyperlink r:id="rId139">
        <w:r>
          <w:rPr>
            <w:rFonts w:ascii="Times New Roman" w:cs="Times New Roman" w:eastAsia="Times New Roman" w:hAnsi="Times New Roman"/>
            <w:sz w:val="14"/>
            <w:szCs w:val="14"/>
            <w:u w:val="single" w:color="auto"/>
            <w:color w:val="0000EE"/>
          </w:rPr>
          <w:t>Registration Statement on Form S-4 filed on December 17, 2018 (File No. 333-228692)).</w:t>
        </w:r>
      </w:hyperlink>
    </w:p>
    <w:p>
      <w:pPr>
        <w:spacing w:after="0" w:line="53" w:lineRule="exact"/>
        <w:rPr>
          <w:sz w:val="20"/>
          <w:szCs w:val="20"/>
          <w:color w:val="auto"/>
        </w:rPr>
      </w:pPr>
    </w:p>
    <w:p>
      <w:pPr>
        <w:ind w:left="2040" w:right="539" w:hanging="595"/>
        <w:spacing w:after="0" w:line="256"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3.bb</w:t>
      </w:r>
      <w:r>
        <w:rPr>
          <w:sz w:val="20"/>
          <w:szCs w:val="20"/>
          <w:color w:val="auto"/>
        </w:rPr>
        <w:tab/>
      </w:r>
      <w:hyperlink r:id="rId140">
        <w:r>
          <w:rPr>
            <w:rFonts w:ascii="Times New Roman" w:cs="Times New Roman" w:eastAsia="Times New Roman" w:hAnsi="Times New Roman"/>
            <w:sz w:val="14"/>
            <w:szCs w:val="14"/>
            <w:u w:val="single" w:color="auto"/>
            <w:color w:val="0000EE"/>
          </w:rPr>
          <w:t>Second Amended and Restated Limited Liability Company Agreement of Signode Industrial Group LLC (f/k/a Premark Packaging LLC),</w:t>
        </w:r>
      </w:hyperlink>
      <w:r>
        <w:rPr>
          <w:rFonts w:ascii="Times New Roman" w:cs="Times New Roman" w:eastAsia="Times New Roman" w:hAnsi="Times New Roman"/>
          <w:sz w:val="14"/>
          <w:szCs w:val="14"/>
          <w:u w:val="single" w:color="auto"/>
          <w:color w:val="0000EE"/>
        </w:rPr>
        <w:t xml:space="preserve"> </w:t>
      </w:r>
      <w:hyperlink r:id="rId140">
        <w:r>
          <w:rPr>
            <w:rFonts w:ascii="Times New Roman" w:cs="Times New Roman" w:eastAsia="Times New Roman" w:hAnsi="Times New Roman"/>
            <w:sz w:val="14"/>
            <w:szCs w:val="14"/>
            <w:u w:val="single" w:color="auto"/>
            <w:color w:val="0000EE"/>
          </w:rPr>
          <w:t>dated as of May 1, 2014 (incorporated by reference to Exhibit 3.hh of the Registrant’s Registration Statement on Form S-4 filed on</w:t>
        </w:r>
      </w:hyperlink>
      <w:r>
        <w:rPr>
          <w:rFonts w:ascii="Times New Roman" w:cs="Times New Roman" w:eastAsia="Times New Roman" w:hAnsi="Times New Roman"/>
          <w:sz w:val="14"/>
          <w:szCs w:val="14"/>
          <w:u w:val="single" w:color="auto"/>
          <w:color w:val="0000EE"/>
        </w:rPr>
        <w:t xml:space="preserve"> </w:t>
      </w:r>
      <w:hyperlink r:id="rId140">
        <w:r>
          <w:rPr>
            <w:rFonts w:ascii="Times New Roman" w:cs="Times New Roman" w:eastAsia="Times New Roman" w:hAnsi="Times New Roman"/>
            <w:sz w:val="14"/>
            <w:szCs w:val="14"/>
            <w:u w:val="single" w:color="auto"/>
            <w:color w:val="0000EE"/>
          </w:rPr>
          <w:t>December 17, 2018 (File No. 333-228692)).</w:t>
        </w:r>
      </w:hyperlink>
    </w:p>
    <w:p>
      <w:pPr>
        <w:spacing w:after="0" w:line="60" w:lineRule="exact"/>
        <w:rPr>
          <w:rFonts w:ascii="Times New Roman" w:cs="Times New Roman" w:eastAsia="Times New Roman" w:hAnsi="Times New Roman"/>
          <w:sz w:val="14"/>
          <w:szCs w:val="14"/>
          <w:u w:val="single" w:color="auto"/>
          <w:color w:val="0000EE"/>
        </w:rPr>
      </w:pPr>
    </w:p>
    <w:p>
      <w:pPr>
        <w:ind w:left="2040" w:right="85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3.cc</w:t>
      </w:r>
      <w:r>
        <w:rPr>
          <w:sz w:val="20"/>
          <w:szCs w:val="20"/>
          <w:color w:val="auto"/>
        </w:rPr>
        <w:tab/>
      </w:r>
      <w:hyperlink r:id="rId141">
        <w:r>
          <w:rPr>
            <w:rFonts w:ascii="Times New Roman" w:cs="Times New Roman" w:eastAsia="Times New Roman" w:hAnsi="Times New Roman"/>
            <w:sz w:val="14"/>
            <w:szCs w:val="14"/>
            <w:u w:val="single" w:color="auto"/>
            <w:color w:val="0000EE"/>
          </w:rPr>
          <w:t>Certificate of Formation of Signode Pickling Holding LLC (incorporated by reference to Exhibit 3.ii of the Registrant’s Registration</w:t>
        </w:r>
      </w:hyperlink>
      <w:r>
        <w:rPr>
          <w:rFonts w:ascii="Times New Roman" w:cs="Times New Roman" w:eastAsia="Times New Roman" w:hAnsi="Times New Roman"/>
          <w:sz w:val="14"/>
          <w:szCs w:val="14"/>
          <w:u w:val="single" w:color="auto"/>
          <w:color w:val="0000EE"/>
        </w:rPr>
        <w:t xml:space="preserve"> </w:t>
      </w:r>
      <w:hyperlink r:id="rId141">
        <w:r>
          <w:rPr>
            <w:rFonts w:ascii="Times New Roman" w:cs="Times New Roman" w:eastAsia="Times New Roman" w:hAnsi="Times New Roman"/>
            <w:sz w:val="14"/>
            <w:szCs w:val="14"/>
            <w:u w:val="single" w:color="auto"/>
            <w:color w:val="0000EE"/>
          </w:rPr>
          <w:t>Statement on Form S-4 filed on December 17, 2018 (File No. 333-228692)).</w:t>
        </w:r>
      </w:hyperlink>
    </w:p>
    <w:p>
      <w:pPr>
        <w:spacing w:after="0" w:line="53" w:lineRule="exact"/>
        <w:rPr>
          <w:sz w:val="20"/>
          <w:szCs w:val="20"/>
          <w:color w:val="auto"/>
        </w:rPr>
      </w:pPr>
    </w:p>
    <w:p>
      <w:pPr>
        <w:ind w:left="1460"/>
        <w:spacing w:after="0"/>
        <w:tabs>
          <w:tab w:leader="none" w:pos="20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3.dd</w:t>
      </w:r>
      <w:r>
        <w:rPr>
          <w:sz w:val="20"/>
          <w:szCs w:val="20"/>
          <w:color w:val="auto"/>
        </w:rPr>
        <w:tab/>
      </w:r>
      <w:hyperlink r:id="rId142">
        <w:r>
          <w:rPr>
            <w:rFonts w:ascii="Times New Roman" w:cs="Times New Roman" w:eastAsia="Times New Roman" w:hAnsi="Times New Roman"/>
            <w:sz w:val="13"/>
            <w:szCs w:val="13"/>
            <w:u w:val="single" w:color="auto"/>
            <w:color w:val="0000EE"/>
          </w:rPr>
          <w:t>Limited Liability Company Agreement of Signode Pickling Holding LLC, dated as of May 22, 2009 (incorporated by reference to Exhibit</w:t>
        </w:r>
      </w:hyperlink>
    </w:p>
    <w:p>
      <w:pPr>
        <w:spacing w:after="0" w:line="15" w:lineRule="exact"/>
        <w:rPr>
          <w:sz w:val="20"/>
          <w:szCs w:val="20"/>
          <w:color w:val="auto"/>
        </w:rPr>
      </w:pPr>
    </w:p>
    <w:p>
      <w:pPr>
        <w:ind w:left="2040"/>
        <w:spacing w:after="0"/>
        <w:rPr>
          <w:rFonts w:ascii="Times New Roman" w:cs="Times New Roman" w:eastAsia="Times New Roman" w:hAnsi="Times New Roman"/>
          <w:sz w:val="14"/>
          <w:szCs w:val="14"/>
          <w:u w:val="single" w:color="auto"/>
          <w:color w:val="0000EE"/>
        </w:rPr>
      </w:pPr>
      <w:hyperlink r:id="rId142">
        <w:r>
          <w:rPr>
            <w:rFonts w:ascii="Times New Roman" w:cs="Times New Roman" w:eastAsia="Times New Roman" w:hAnsi="Times New Roman"/>
            <w:sz w:val="14"/>
            <w:szCs w:val="14"/>
            <w:u w:val="single" w:color="auto"/>
            <w:color w:val="0000EE"/>
          </w:rPr>
          <w:t>3.jj of the Registrant’s Registration Statement on Form S-4 filed on December 17, 2018 (File No. 333-228692)).</w:t>
        </w:r>
      </w:hyperlink>
    </w:p>
    <w:p>
      <w:pPr>
        <w:spacing w:after="0" w:line="74" w:lineRule="exact"/>
        <w:rPr>
          <w:sz w:val="20"/>
          <w:szCs w:val="20"/>
          <w:color w:val="auto"/>
        </w:rPr>
      </w:pPr>
    </w:p>
    <w:p>
      <w:pPr>
        <w:ind w:left="2040" w:right="45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3.ee</w:t>
      </w:r>
      <w:r>
        <w:rPr>
          <w:sz w:val="20"/>
          <w:szCs w:val="20"/>
          <w:color w:val="auto"/>
        </w:rPr>
        <w:tab/>
      </w:r>
      <w:hyperlink r:id="rId143">
        <w:r>
          <w:rPr>
            <w:rFonts w:ascii="Times New Roman" w:cs="Times New Roman" w:eastAsia="Times New Roman" w:hAnsi="Times New Roman"/>
            <w:sz w:val="14"/>
            <w:szCs w:val="14"/>
            <w:u w:val="single" w:color="auto"/>
            <w:color w:val="0000EE"/>
          </w:rPr>
          <w:t>Certificate of Formation of Signode US IP Holdings LLC (f/k/a US Packaging Acquisition LLC) (incorporated by reference to Exhibit 3.kk</w:t>
        </w:r>
      </w:hyperlink>
      <w:r>
        <w:rPr>
          <w:rFonts w:ascii="Times New Roman" w:cs="Times New Roman" w:eastAsia="Times New Roman" w:hAnsi="Times New Roman"/>
          <w:sz w:val="14"/>
          <w:szCs w:val="14"/>
          <w:u w:val="single" w:color="auto"/>
          <w:color w:val="0000EE"/>
        </w:rPr>
        <w:t xml:space="preserve"> </w:t>
      </w:r>
      <w:hyperlink r:id="rId143">
        <w:r>
          <w:rPr>
            <w:rFonts w:ascii="Times New Roman" w:cs="Times New Roman" w:eastAsia="Times New Roman" w:hAnsi="Times New Roman"/>
            <w:sz w:val="14"/>
            <w:szCs w:val="14"/>
            <w:u w:val="single" w:color="auto"/>
            <w:color w:val="0000EE"/>
          </w:rPr>
          <w:t>of the Registrant’s Registration Statement on Form S-4 filed on December 17, 2018 (File No. 333-228692)).</w:t>
        </w:r>
      </w:hyperlink>
    </w:p>
    <w:p>
      <w:pPr>
        <w:spacing w:after="0" w:line="53" w:lineRule="exact"/>
        <w:rPr>
          <w:sz w:val="20"/>
          <w:szCs w:val="20"/>
          <w:color w:val="auto"/>
        </w:rPr>
      </w:pPr>
    </w:p>
    <w:p>
      <w:pPr>
        <w:ind w:left="2040" w:right="439" w:hanging="595"/>
        <w:spacing w:after="0" w:line="253"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3.ff</w:t>
      </w:r>
      <w:r>
        <w:rPr>
          <w:sz w:val="20"/>
          <w:szCs w:val="20"/>
          <w:color w:val="auto"/>
        </w:rPr>
        <w:tab/>
      </w:r>
      <w:hyperlink r:id="rId144">
        <w:r>
          <w:rPr>
            <w:rFonts w:ascii="Times New Roman" w:cs="Times New Roman" w:eastAsia="Times New Roman" w:hAnsi="Times New Roman"/>
            <w:sz w:val="14"/>
            <w:szCs w:val="14"/>
            <w:u w:val="single" w:color="auto"/>
            <w:color w:val="0000EE"/>
          </w:rPr>
          <w:t>Limited Liability Company Agreement of Signode US IP Holdings LLC (f/k/a US Packaging Acquisition LLC), dated as of April 14, 2014</w:t>
        </w:r>
      </w:hyperlink>
      <w:r>
        <w:rPr>
          <w:rFonts w:ascii="Times New Roman" w:cs="Times New Roman" w:eastAsia="Times New Roman" w:hAnsi="Times New Roman"/>
          <w:sz w:val="14"/>
          <w:szCs w:val="14"/>
          <w:u w:val="single" w:color="auto"/>
          <w:color w:val="0000EE"/>
        </w:rPr>
        <w:t xml:space="preserve"> </w:t>
      </w:r>
      <w:hyperlink r:id="rId144">
        <w:r>
          <w:rPr>
            <w:rFonts w:ascii="Times New Roman" w:cs="Times New Roman" w:eastAsia="Times New Roman" w:hAnsi="Times New Roman"/>
            <w:sz w:val="14"/>
            <w:szCs w:val="14"/>
            <w:u w:val="single" w:color="auto"/>
            <w:color w:val="0000EE"/>
          </w:rPr>
          <w:t>(incorporated by reference to Exhibit 3.ll of the Registrant’s Registration Statement on Form S-4 filed on December 17, 2018 (File</w:t>
        </w:r>
      </w:hyperlink>
    </w:p>
    <w:p>
      <w:pPr>
        <w:spacing w:after="0" w:line="1" w:lineRule="exact"/>
        <w:rPr>
          <w:sz w:val="20"/>
          <w:szCs w:val="20"/>
          <w:color w:val="auto"/>
        </w:rPr>
      </w:pPr>
    </w:p>
    <w:p>
      <w:pPr>
        <w:ind w:left="2040"/>
        <w:spacing w:after="0"/>
        <w:rPr>
          <w:rFonts w:ascii="Times New Roman" w:cs="Times New Roman" w:eastAsia="Times New Roman" w:hAnsi="Times New Roman"/>
          <w:sz w:val="14"/>
          <w:szCs w:val="14"/>
          <w:u w:val="single" w:color="auto"/>
          <w:color w:val="0000EE"/>
        </w:rPr>
      </w:pPr>
      <w:hyperlink r:id="rId144">
        <w:r>
          <w:rPr>
            <w:rFonts w:ascii="Times New Roman" w:cs="Times New Roman" w:eastAsia="Times New Roman" w:hAnsi="Times New Roman"/>
            <w:sz w:val="14"/>
            <w:szCs w:val="14"/>
            <w:u w:val="single" w:color="auto"/>
            <w:color w:val="0000EE"/>
          </w:rPr>
          <w:t>No. 333-228692)).</w:t>
        </w:r>
      </w:hyperlink>
    </w:p>
    <w:p>
      <w:pPr>
        <w:spacing w:after="0" w:line="74" w:lineRule="exact"/>
        <w:rPr>
          <w:sz w:val="20"/>
          <w:szCs w:val="20"/>
          <w:color w:val="auto"/>
        </w:rPr>
      </w:pPr>
    </w:p>
    <w:p>
      <w:pPr>
        <w:ind w:left="1460"/>
        <w:spacing w:after="0"/>
        <w:tabs>
          <w:tab w:leader="none" w:pos="2020" w:val="left"/>
        </w:tabs>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3.gg</w:t>
      </w:r>
      <w:r>
        <w:rPr>
          <w:sz w:val="20"/>
          <w:szCs w:val="20"/>
          <w:color w:val="auto"/>
        </w:rPr>
        <w:tab/>
      </w:r>
      <w:hyperlink r:id="rId145">
        <w:r>
          <w:rPr>
            <w:rFonts w:ascii="Times New Roman" w:cs="Times New Roman" w:eastAsia="Times New Roman" w:hAnsi="Times New Roman"/>
            <w:sz w:val="13"/>
            <w:szCs w:val="13"/>
            <w:u w:val="single" w:color="auto"/>
            <w:color w:val="0000EE"/>
          </w:rPr>
          <w:t>Certificate of Incorporation of Signode Industrial Group US Inc. (f/k/a US Packaging Acquisition Inc.) (incorporated by reference to Exhibit</w:t>
        </w:r>
      </w:hyperlink>
    </w:p>
    <w:p>
      <w:pPr>
        <w:spacing w:after="0" w:line="15" w:lineRule="exact"/>
        <w:rPr>
          <w:sz w:val="20"/>
          <w:szCs w:val="20"/>
          <w:color w:val="auto"/>
        </w:rPr>
      </w:pPr>
    </w:p>
    <w:p>
      <w:pPr>
        <w:ind w:left="2040"/>
        <w:spacing w:after="0"/>
        <w:rPr>
          <w:rFonts w:ascii="Times New Roman" w:cs="Times New Roman" w:eastAsia="Times New Roman" w:hAnsi="Times New Roman"/>
          <w:sz w:val="14"/>
          <w:szCs w:val="14"/>
          <w:u w:val="single" w:color="auto"/>
          <w:color w:val="0000EE"/>
        </w:rPr>
      </w:pPr>
      <w:hyperlink r:id="rId145">
        <w:r>
          <w:rPr>
            <w:rFonts w:ascii="Times New Roman" w:cs="Times New Roman" w:eastAsia="Times New Roman" w:hAnsi="Times New Roman"/>
            <w:sz w:val="14"/>
            <w:szCs w:val="14"/>
            <w:u w:val="single" w:color="auto"/>
            <w:color w:val="0000EE"/>
          </w:rPr>
          <w:t>3.mm of the Registrant’s Registration Statement on Form S-4 filed on December 17, 2018 (File No. 333-228692)).</w:t>
        </w:r>
      </w:hyperlink>
    </w:p>
    <w:p>
      <w:pPr>
        <w:spacing w:after="0" w:line="74" w:lineRule="exact"/>
        <w:rPr>
          <w:sz w:val="20"/>
          <w:szCs w:val="20"/>
          <w:color w:val="auto"/>
        </w:rPr>
      </w:pPr>
    </w:p>
    <w:p>
      <w:pPr>
        <w:ind w:left="2040" w:right="87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3.hh</w:t>
      </w:r>
      <w:r>
        <w:rPr>
          <w:sz w:val="20"/>
          <w:szCs w:val="20"/>
          <w:color w:val="auto"/>
        </w:rPr>
        <w:tab/>
      </w:r>
      <w:hyperlink r:id="rId146">
        <w:r>
          <w:rPr>
            <w:rFonts w:ascii="Times New Roman" w:cs="Times New Roman" w:eastAsia="Times New Roman" w:hAnsi="Times New Roman"/>
            <w:sz w:val="14"/>
            <w:szCs w:val="14"/>
            <w:u w:val="single" w:color="auto"/>
            <w:color w:val="0000EE"/>
          </w:rPr>
          <w:t>Bylaws of Signode Industrial Group US Inc. (f/k/a US Packaging Acquisition Inc.) (incorporated by reference to Exhibit 3.nn of the</w:t>
        </w:r>
      </w:hyperlink>
      <w:r>
        <w:rPr>
          <w:rFonts w:ascii="Times New Roman" w:cs="Times New Roman" w:eastAsia="Times New Roman" w:hAnsi="Times New Roman"/>
          <w:sz w:val="14"/>
          <w:szCs w:val="14"/>
          <w:u w:val="single" w:color="auto"/>
          <w:color w:val="0000EE"/>
        </w:rPr>
        <w:t xml:space="preserve"> </w:t>
      </w:r>
      <w:hyperlink r:id="rId146">
        <w:r>
          <w:rPr>
            <w:rFonts w:ascii="Times New Roman" w:cs="Times New Roman" w:eastAsia="Times New Roman" w:hAnsi="Times New Roman"/>
            <w:sz w:val="14"/>
            <w:szCs w:val="14"/>
            <w:u w:val="single" w:color="auto"/>
            <w:color w:val="0000EE"/>
          </w:rPr>
          <w:t>Registrant’s Registration Statement on Form S-4 filed on December 17, 2018 (File No. 333-228692)).</w:t>
        </w:r>
      </w:hyperlink>
    </w:p>
    <w:p>
      <w:pPr>
        <w:spacing w:after="0" w:line="53" w:lineRule="exact"/>
        <w:rPr>
          <w:sz w:val="20"/>
          <w:szCs w:val="20"/>
          <w:color w:val="auto"/>
        </w:rPr>
      </w:pPr>
    </w:p>
    <w:p>
      <w:pPr>
        <w:ind w:left="2040" w:right="63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3.ii</w:t>
      </w:r>
      <w:r>
        <w:rPr>
          <w:sz w:val="20"/>
          <w:szCs w:val="20"/>
          <w:color w:val="auto"/>
        </w:rPr>
        <w:tab/>
      </w:r>
      <w:hyperlink r:id="rId147">
        <w:r>
          <w:rPr>
            <w:rFonts w:ascii="Times New Roman" w:cs="Times New Roman" w:eastAsia="Times New Roman" w:hAnsi="Times New Roman"/>
            <w:sz w:val="14"/>
            <w:szCs w:val="14"/>
            <w:u w:val="single" w:color="auto"/>
            <w:color w:val="0000EE"/>
          </w:rPr>
          <w:t>Certificate of Incorporation of Signode Industrial Group Holdings US Inc. (incorporated by reference to Exhibit 3.oo of the Registrant’s</w:t>
        </w:r>
      </w:hyperlink>
      <w:r>
        <w:rPr>
          <w:rFonts w:ascii="Times New Roman" w:cs="Times New Roman" w:eastAsia="Times New Roman" w:hAnsi="Times New Roman"/>
          <w:sz w:val="14"/>
          <w:szCs w:val="14"/>
          <w:u w:val="single" w:color="auto"/>
          <w:color w:val="0000EE"/>
        </w:rPr>
        <w:t xml:space="preserve"> </w:t>
      </w:r>
      <w:hyperlink r:id="rId147">
        <w:r>
          <w:rPr>
            <w:rFonts w:ascii="Times New Roman" w:cs="Times New Roman" w:eastAsia="Times New Roman" w:hAnsi="Times New Roman"/>
            <w:sz w:val="14"/>
            <w:szCs w:val="14"/>
            <w:u w:val="single" w:color="auto"/>
            <w:color w:val="0000EE"/>
          </w:rPr>
          <w:t>Registration Statement on Form S-4 filed on December 17, 2018 (File No. 333-228692)).</w:t>
        </w:r>
      </w:hyperlink>
    </w:p>
    <w:p>
      <w:pPr>
        <w:spacing w:after="0" w:line="53" w:lineRule="exact"/>
        <w:rPr>
          <w:sz w:val="20"/>
          <w:szCs w:val="20"/>
          <w:color w:val="auto"/>
        </w:rPr>
      </w:pPr>
    </w:p>
    <w:p>
      <w:pPr>
        <w:ind w:left="2040" w:right="479" w:hanging="595"/>
        <w:spacing w:after="0" w:line="267" w:lineRule="auto"/>
        <w:tabs>
          <w:tab w:leader="none" w:pos="2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3.jj</w:t>
      </w:r>
      <w:r>
        <w:rPr>
          <w:sz w:val="20"/>
          <w:szCs w:val="20"/>
          <w:color w:val="auto"/>
        </w:rPr>
        <w:tab/>
      </w:r>
      <w:hyperlink r:id="rId148">
        <w:r>
          <w:rPr>
            <w:rFonts w:ascii="Times New Roman" w:cs="Times New Roman" w:eastAsia="Times New Roman" w:hAnsi="Times New Roman"/>
            <w:sz w:val="14"/>
            <w:szCs w:val="14"/>
            <w:u w:val="single" w:color="auto"/>
            <w:color w:val="0000EE"/>
          </w:rPr>
          <w:t>Bylaws of Signode Industrial Group Holdings US Inc. (incorporated by reference to Exhibit 3.pp of the Registrant’s Registration Statement</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on Form S-4 filed on December 17, 2018 (File No. 333-228692)).</w:t>
        </w:r>
      </w:hyperlink>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3.kk</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Certificate of Formation of Signode International IP Holdings LLC (incorporated by reference to Exhibit 3.qq of the Registrant’s</w:t>
              </w:r>
            </w:hyperlink>
          </w:p>
        </w:tc>
      </w:tr>
      <w:tr>
        <w:trPr>
          <w:trHeight w:val="144"/>
        </w:trPr>
        <w:tc>
          <w:tcPr>
            <w:tcW w:w="660" w:type="dxa"/>
            <w:vAlign w:val="bottom"/>
          </w:tcPr>
          <w:p>
            <w:pPr>
              <w:spacing w:after="0"/>
              <w:rPr>
                <w:sz w:val="12"/>
                <w:szCs w:val="12"/>
                <w:color w:val="auto"/>
              </w:rPr>
            </w:pPr>
          </w:p>
        </w:tc>
        <w:tc>
          <w:tcPr>
            <w:tcW w:w="7060" w:type="dxa"/>
            <w:vAlign w:val="bottom"/>
            <w:tcBorders>
              <w:top w:val="single" w:sz="8" w:color="0000EE"/>
            </w:tcBorders>
            <w:gridSpan w:val="12"/>
          </w:tcPr>
          <w:p>
            <w:pPr>
              <w:spacing w:after="0" w:line="145"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Registration Statement on Form S-4 filed on December 17, 2018 (File No. 333-228692)).</w:t>
              </w:r>
            </w:hyperlink>
          </w:p>
        </w:tc>
        <w:tc>
          <w:tcPr>
            <w:tcW w:w="660" w:type="dxa"/>
            <w:vAlign w:val="bottom"/>
            <w:gridSpan w:val="14"/>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3.ll</w:t>
            </w:r>
          </w:p>
        </w:tc>
        <w:tc>
          <w:tcPr>
            <w:tcW w:w="7720" w:type="dxa"/>
            <w:vAlign w:val="bottom"/>
            <w:gridSpan w:val="26"/>
          </w:tcPr>
          <w:p>
            <w:pPr>
              <w:spacing w:after="0"/>
              <w:rPr>
                <w:rFonts w:ascii="Times New Roman" w:cs="Times New Roman" w:eastAsia="Times New Roman" w:hAnsi="Times New Roman"/>
                <w:sz w:val="14"/>
                <w:szCs w:val="14"/>
                <w:color w:val="0000EE"/>
                <w:w w:val="98"/>
              </w:rPr>
            </w:pPr>
            <w:hyperlink r:id="rId151">
              <w:r>
                <w:rPr>
                  <w:rFonts w:ascii="Times New Roman" w:cs="Times New Roman" w:eastAsia="Times New Roman" w:hAnsi="Times New Roman"/>
                  <w:sz w:val="14"/>
                  <w:szCs w:val="14"/>
                  <w:color w:val="0000EE"/>
                  <w:w w:val="98"/>
                </w:rPr>
                <w:t>Limited Liability Company Agreement of Signode International IP Holdings LLC, dated as of April 23, 2014 (incorporated by reference to</w:t>
              </w:r>
            </w:hyperlink>
          </w:p>
        </w:tc>
      </w:tr>
      <w:tr>
        <w:trPr>
          <w:trHeight w:val="144"/>
        </w:trPr>
        <w:tc>
          <w:tcPr>
            <w:tcW w:w="660" w:type="dxa"/>
            <w:vAlign w:val="bottom"/>
          </w:tcPr>
          <w:p>
            <w:pPr>
              <w:spacing w:after="0"/>
              <w:rPr>
                <w:sz w:val="12"/>
                <w:szCs w:val="12"/>
                <w:color w:val="auto"/>
              </w:rPr>
            </w:pPr>
          </w:p>
        </w:tc>
        <w:tc>
          <w:tcPr>
            <w:tcW w:w="7660" w:type="dxa"/>
            <w:vAlign w:val="bottom"/>
            <w:tcBorders>
              <w:top w:val="single" w:sz="8" w:color="0000EE"/>
            </w:tcBorders>
            <w:gridSpan w:val="25"/>
          </w:tcPr>
          <w:p>
            <w:pPr>
              <w:spacing w:after="0" w:line="145" w:lineRule="exact"/>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Exhibit 3.rr of the Registrant’s Registration Statement on Form S-4 filed on December 17, 2018 (File No. 333-228692)).</w:t>
              </w:r>
            </w:hyperlink>
          </w:p>
        </w:tc>
        <w:tc>
          <w:tcPr>
            <w:tcW w:w="60" w:type="dxa"/>
            <w:vAlign w:val="bottom"/>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3.mm</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Certificate of Formation of Simplimatic Engineering Holdings, LLC (incorporated by reference to Exhibit 3.mm of the Registrant’s</w:t>
              </w:r>
            </w:hyperlink>
          </w:p>
        </w:tc>
      </w:tr>
      <w:tr>
        <w:trPr>
          <w:trHeight w:val="144"/>
        </w:trPr>
        <w:tc>
          <w:tcPr>
            <w:tcW w:w="660" w:type="dxa"/>
            <w:vAlign w:val="bottom"/>
          </w:tcPr>
          <w:p>
            <w:pPr>
              <w:spacing w:after="0"/>
              <w:rPr>
                <w:sz w:val="12"/>
                <w:szCs w:val="12"/>
                <w:color w:val="auto"/>
              </w:rPr>
            </w:pPr>
          </w:p>
        </w:tc>
        <w:tc>
          <w:tcPr>
            <w:tcW w:w="4940" w:type="dxa"/>
            <w:vAlign w:val="bottom"/>
            <w:tcBorders>
              <w:top w:val="single" w:sz="8" w:color="0000EE"/>
              <w:bottom w:val="single" w:sz="8" w:color="0000EE"/>
            </w:tcBorders>
            <w:gridSpan w:val="8"/>
          </w:tcPr>
          <w:p>
            <w:pPr>
              <w:spacing w:after="0" w:line="145" w:lineRule="exact"/>
              <w:rPr>
                <w:rFonts w:ascii="Times New Roman" w:cs="Times New Roman" w:eastAsia="Times New Roman" w:hAnsi="Times New Roman"/>
                <w:sz w:val="14"/>
                <w:szCs w:val="14"/>
                <w:color w:val="0000EE"/>
                <w:w w:val="97"/>
              </w:rPr>
            </w:pPr>
            <w:hyperlink r:id="rId152">
              <w:r>
                <w:rPr>
                  <w:rFonts w:ascii="Times New Roman" w:cs="Times New Roman" w:eastAsia="Times New Roman" w:hAnsi="Times New Roman"/>
                  <w:sz w:val="14"/>
                  <w:szCs w:val="14"/>
                  <w:color w:val="0000EE"/>
                  <w:w w:val="97"/>
                </w:rPr>
                <w:t>Registration Statement on Form S-4 filed on November 14, 2022 (File No. 333-268350)).</w:t>
              </w:r>
            </w:hyperlink>
          </w:p>
        </w:tc>
        <w:tc>
          <w:tcPr>
            <w:tcW w:w="2300" w:type="dxa"/>
            <w:vAlign w:val="bottom"/>
            <w:tcBorders>
              <w:top w:val="single" w:sz="8" w:color="0000EE"/>
            </w:tcBorders>
            <w:gridSpan w:val="5"/>
          </w:tcPr>
          <w:p>
            <w:pPr>
              <w:spacing w:after="0"/>
              <w:rPr>
                <w:sz w:val="12"/>
                <w:szCs w:val="12"/>
                <w:color w:val="auto"/>
              </w:rPr>
            </w:pPr>
          </w:p>
        </w:tc>
        <w:tc>
          <w:tcPr>
            <w:tcW w:w="480" w:type="dxa"/>
            <w:vAlign w:val="bottom"/>
            <w:gridSpan w:val="13"/>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3.nn</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Limited Liability Company Agreement of Simplimatic Engineering Holdings, LLC (incorporated by reference to Exhibit 3.nn of the</w:t>
              </w:r>
            </w:hyperlink>
          </w:p>
        </w:tc>
      </w:tr>
      <w:tr>
        <w:trPr>
          <w:trHeight w:val="144"/>
        </w:trPr>
        <w:tc>
          <w:tcPr>
            <w:tcW w:w="660" w:type="dxa"/>
            <w:vAlign w:val="bottom"/>
          </w:tcPr>
          <w:p>
            <w:pPr>
              <w:spacing w:after="0"/>
              <w:rPr>
                <w:sz w:val="12"/>
                <w:szCs w:val="12"/>
                <w:color w:val="auto"/>
              </w:rPr>
            </w:pPr>
          </w:p>
        </w:tc>
        <w:tc>
          <w:tcPr>
            <w:tcW w:w="7300" w:type="dxa"/>
            <w:vAlign w:val="bottom"/>
            <w:tcBorders>
              <w:top w:val="single" w:sz="8" w:color="0000EE"/>
            </w:tcBorders>
            <w:gridSpan w:val="15"/>
          </w:tcPr>
          <w:p>
            <w:pPr>
              <w:spacing w:after="0" w:line="145"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Registrant’s Registration Statement on Form S-4 filed on November 14, 2022 (File No. 333-268350)).</w:t>
              </w:r>
            </w:hyperlink>
          </w:p>
        </w:tc>
        <w:tc>
          <w:tcPr>
            <w:tcW w:w="420" w:type="dxa"/>
            <w:vAlign w:val="bottom"/>
            <w:gridSpan w:val="11"/>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3.oo</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Certificate of Formation of Simplimatic Automation LLC (incorporated by reference to Exhibit 3.oo of the Registrant’s Registration</w:t>
              </w:r>
            </w:hyperlink>
          </w:p>
        </w:tc>
      </w:tr>
      <w:tr>
        <w:trPr>
          <w:trHeight w:val="144"/>
        </w:trPr>
        <w:tc>
          <w:tcPr>
            <w:tcW w:w="66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5"/>
          </w:tcPr>
          <w:p>
            <w:pPr>
              <w:spacing w:after="0" w:line="145" w:lineRule="exact"/>
              <w:rPr>
                <w:rFonts w:ascii="Times New Roman" w:cs="Times New Roman" w:eastAsia="Times New Roman" w:hAnsi="Times New Roman"/>
                <w:sz w:val="14"/>
                <w:szCs w:val="14"/>
                <w:color w:val="0000EE"/>
                <w:w w:val="98"/>
              </w:rPr>
            </w:pPr>
            <w:hyperlink r:id="rId154">
              <w:r>
                <w:rPr>
                  <w:rFonts w:ascii="Times New Roman" w:cs="Times New Roman" w:eastAsia="Times New Roman" w:hAnsi="Times New Roman"/>
                  <w:sz w:val="14"/>
                  <w:szCs w:val="14"/>
                  <w:color w:val="0000EE"/>
                  <w:w w:val="98"/>
                </w:rPr>
                <w:t>Statement on Form S-4 filed on November 14, 2022 (File No. 333-268350)).</w:t>
              </w:r>
            </w:hyperlink>
          </w:p>
        </w:tc>
        <w:tc>
          <w:tcPr>
            <w:tcW w:w="3040" w:type="dxa"/>
            <w:vAlign w:val="bottom"/>
            <w:tcBorders>
              <w:top w:val="single" w:sz="8" w:color="0000EE"/>
            </w:tcBorders>
            <w:gridSpan w:val="9"/>
          </w:tcPr>
          <w:p>
            <w:pPr>
              <w:spacing w:after="0"/>
              <w:rPr>
                <w:sz w:val="12"/>
                <w:szCs w:val="12"/>
                <w:color w:val="auto"/>
              </w:rPr>
            </w:pPr>
          </w:p>
        </w:tc>
        <w:tc>
          <w:tcPr>
            <w:tcW w:w="440" w:type="dxa"/>
            <w:vAlign w:val="bottom"/>
            <w:gridSpan w:val="12"/>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3.pp</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Limited Liability Company Agreement of Simplimatic Automation LLC (incorporated by reference to Exhibit 3.pp of the Registrant’s</w:t>
              </w:r>
            </w:hyperlink>
          </w:p>
        </w:tc>
      </w:tr>
      <w:tr>
        <w:trPr>
          <w:trHeight w:val="144"/>
        </w:trPr>
        <w:tc>
          <w:tcPr>
            <w:tcW w:w="660" w:type="dxa"/>
            <w:vAlign w:val="bottom"/>
          </w:tcPr>
          <w:p>
            <w:pPr>
              <w:spacing w:after="0"/>
              <w:rPr>
                <w:sz w:val="12"/>
                <w:szCs w:val="12"/>
                <w:color w:val="auto"/>
              </w:rPr>
            </w:pPr>
          </w:p>
        </w:tc>
        <w:tc>
          <w:tcPr>
            <w:tcW w:w="7400" w:type="dxa"/>
            <w:vAlign w:val="bottom"/>
            <w:tcBorders>
              <w:top w:val="single" w:sz="8" w:color="0000EE"/>
            </w:tcBorders>
            <w:gridSpan w:val="18"/>
          </w:tcPr>
          <w:p>
            <w:pPr>
              <w:spacing w:after="0" w:line="145"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Registration Statement on Form S-4 filed on November 14, 2022 (File No. 333-268350)).</w:t>
              </w:r>
            </w:hyperlink>
          </w:p>
        </w:tc>
        <w:tc>
          <w:tcPr>
            <w:tcW w:w="320" w:type="dxa"/>
            <w:vAlign w:val="bottom"/>
            <w:gridSpan w:val="8"/>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3.qq</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Certificate of Formation of SEH Real Estate Holdings LLC (incorporated by reference to Exhibit 3.qq of the Registrant’s Registration</w:t>
              </w:r>
            </w:hyperlink>
          </w:p>
        </w:tc>
      </w:tr>
      <w:tr>
        <w:trPr>
          <w:trHeight w:val="144"/>
        </w:trPr>
        <w:tc>
          <w:tcPr>
            <w:tcW w:w="66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5"/>
          </w:tcPr>
          <w:p>
            <w:pPr>
              <w:spacing w:after="0" w:line="145" w:lineRule="exact"/>
              <w:rPr>
                <w:rFonts w:ascii="Times New Roman" w:cs="Times New Roman" w:eastAsia="Times New Roman" w:hAnsi="Times New Roman"/>
                <w:sz w:val="14"/>
                <w:szCs w:val="14"/>
                <w:color w:val="0000EE"/>
                <w:w w:val="98"/>
              </w:rPr>
            </w:pPr>
            <w:hyperlink r:id="rId156">
              <w:r>
                <w:rPr>
                  <w:rFonts w:ascii="Times New Roman" w:cs="Times New Roman" w:eastAsia="Times New Roman" w:hAnsi="Times New Roman"/>
                  <w:sz w:val="14"/>
                  <w:szCs w:val="14"/>
                  <w:color w:val="0000EE"/>
                  <w:w w:val="98"/>
                </w:rPr>
                <w:t>Statement on Form S-4 filed on November 14, 2022 (File No. 333-268350)).</w:t>
              </w:r>
            </w:hyperlink>
          </w:p>
        </w:tc>
        <w:tc>
          <w:tcPr>
            <w:tcW w:w="3140" w:type="dxa"/>
            <w:vAlign w:val="bottom"/>
            <w:tcBorders>
              <w:top w:val="single" w:sz="8" w:color="0000EE"/>
            </w:tcBorders>
            <w:gridSpan w:val="12"/>
          </w:tcPr>
          <w:p>
            <w:pPr>
              <w:spacing w:after="0"/>
              <w:rPr>
                <w:sz w:val="12"/>
                <w:szCs w:val="12"/>
                <w:color w:val="auto"/>
              </w:rPr>
            </w:pPr>
          </w:p>
        </w:tc>
        <w:tc>
          <w:tcPr>
            <w:tcW w:w="340" w:type="dxa"/>
            <w:vAlign w:val="bottom"/>
            <w:gridSpan w:val="9"/>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3.rr</w:t>
            </w:r>
          </w:p>
        </w:tc>
        <w:tc>
          <w:tcPr>
            <w:tcW w:w="7720" w:type="dxa"/>
            <w:vAlign w:val="bottom"/>
            <w:gridSpan w:val="26"/>
          </w:tcPr>
          <w:p>
            <w:pPr>
              <w:spacing w:after="0"/>
              <w:rPr>
                <w:rFonts w:ascii="Times New Roman" w:cs="Times New Roman" w:eastAsia="Times New Roman" w:hAnsi="Times New Roman"/>
                <w:sz w:val="14"/>
                <w:szCs w:val="14"/>
                <w:color w:val="0000EE"/>
                <w:w w:val="99"/>
              </w:rPr>
            </w:pPr>
            <w:hyperlink r:id="rId157">
              <w:r>
                <w:rPr>
                  <w:rFonts w:ascii="Times New Roman" w:cs="Times New Roman" w:eastAsia="Times New Roman" w:hAnsi="Times New Roman"/>
                  <w:sz w:val="14"/>
                  <w:szCs w:val="14"/>
                  <w:color w:val="0000EE"/>
                  <w:w w:val="99"/>
                </w:rPr>
                <w:t>Limited Liability Agreement of SEH Real Estate Holdings LLC (incorporated by reference to Exhibit 3.rr of the Registrant’s Registration</w:t>
              </w:r>
            </w:hyperlink>
          </w:p>
        </w:tc>
      </w:tr>
      <w:tr>
        <w:trPr>
          <w:trHeight w:val="144"/>
        </w:trPr>
        <w:tc>
          <w:tcPr>
            <w:tcW w:w="660" w:type="dxa"/>
            <w:vAlign w:val="bottom"/>
          </w:tcPr>
          <w:p>
            <w:pPr>
              <w:spacing w:after="0"/>
              <w:rPr>
                <w:sz w:val="12"/>
                <w:szCs w:val="12"/>
                <w:color w:val="auto"/>
              </w:rPr>
            </w:pPr>
          </w:p>
        </w:tc>
        <w:tc>
          <w:tcPr>
            <w:tcW w:w="4220" w:type="dxa"/>
            <w:vAlign w:val="bottom"/>
            <w:tcBorders>
              <w:top w:val="single" w:sz="8" w:color="0000EE"/>
              <w:bottom w:val="single" w:sz="8" w:color="0000EE"/>
            </w:tcBorders>
            <w:gridSpan w:val="4"/>
          </w:tcPr>
          <w:p>
            <w:pPr>
              <w:spacing w:after="0" w:line="145" w:lineRule="exact"/>
              <w:rPr>
                <w:rFonts w:ascii="Times New Roman" w:cs="Times New Roman" w:eastAsia="Times New Roman" w:hAnsi="Times New Roman"/>
                <w:sz w:val="14"/>
                <w:szCs w:val="14"/>
                <w:color w:val="0000EE"/>
                <w:w w:val="97"/>
              </w:rPr>
            </w:pPr>
            <w:hyperlink r:id="rId157">
              <w:r>
                <w:rPr>
                  <w:rFonts w:ascii="Times New Roman" w:cs="Times New Roman" w:eastAsia="Times New Roman" w:hAnsi="Times New Roman"/>
                  <w:sz w:val="14"/>
                  <w:szCs w:val="14"/>
                  <w:color w:val="0000EE"/>
                  <w:w w:val="97"/>
                </w:rPr>
                <w:t>Statement on Form S-4 filed on November 14, 2022 (File No. 333-268350)).</w:t>
              </w:r>
            </w:hyperlink>
          </w:p>
        </w:tc>
        <w:tc>
          <w:tcPr>
            <w:tcW w:w="3360" w:type="dxa"/>
            <w:vAlign w:val="bottom"/>
            <w:tcBorders>
              <w:top w:val="single" w:sz="8" w:color="0000EE"/>
            </w:tcBorders>
            <w:gridSpan w:val="20"/>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3.ss</w:t>
            </w:r>
          </w:p>
        </w:tc>
        <w:tc>
          <w:tcPr>
            <w:tcW w:w="734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8"/>
              </w:rPr>
            </w:pPr>
            <w:hyperlink r:id="rId158">
              <w:r>
                <w:rPr>
                  <w:rFonts w:ascii="Times New Roman" w:cs="Times New Roman" w:eastAsia="Times New Roman" w:hAnsi="Times New Roman"/>
                  <w:sz w:val="14"/>
                  <w:szCs w:val="14"/>
                  <w:color w:val="0000EE"/>
                  <w:w w:val="98"/>
                </w:rPr>
                <w:t>Certificate of Formation of SE International Holdings LLC (incorporated by reference to Exhibit 3.ss of the Registrant’s Registration</w:t>
              </w:r>
            </w:hyperlink>
          </w:p>
        </w:tc>
        <w:tc>
          <w:tcPr>
            <w:tcW w:w="380" w:type="dxa"/>
            <w:vAlign w:val="bottom"/>
            <w:gridSpan w:val="10"/>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424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8"/>
              </w:rPr>
            </w:pPr>
            <w:hyperlink r:id="rId158">
              <w:r>
                <w:rPr>
                  <w:rFonts w:ascii="Times New Roman" w:cs="Times New Roman" w:eastAsia="Times New Roman" w:hAnsi="Times New Roman"/>
                  <w:sz w:val="14"/>
                  <w:szCs w:val="14"/>
                  <w:color w:val="0000EE"/>
                  <w:w w:val="98"/>
                </w:rPr>
                <w:t>Statement on Form S-4 filed on November 14, 2022 (File No. 333-268350)).</w:t>
              </w:r>
            </w:hyperlink>
          </w:p>
        </w:tc>
        <w:tc>
          <w:tcPr>
            <w:tcW w:w="3480" w:type="dxa"/>
            <w:vAlign w:val="bottom"/>
            <w:gridSpan w:val="21"/>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3.tt</w:t>
            </w:r>
          </w:p>
        </w:tc>
        <w:tc>
          <w:tcPr>
            <w:tcW w:w="756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8"/>
              </w:rPr>
            </w:pPr>
            <w:hyperlink r:id="rId159">
              <w:r>
                <w:rPr>
                  <w:rFonts w:ascii="Times New Roman" w:cs="Times New Roman" w:eastAsia="Times New Roman" w:hAnsi="Times New Roman"/>
                  <w:sz w:val="14"/>
                  <w:szCs w:val="14"/>
                  <w:color w:val="0000EE"/>
                  <w:w w:val="98"/>
                </w:rPr>
                <w:t>Limited Liability Agreement of SE International Holdings LLC (incorporated by reference to Exhibit 3.tt of the Registrant’s Registration</w:t>
              </w:r>
            </w:hyperlink>
          </w:p>
        </w:tc>
        <w:tc>
          <w:tcPr>
            <w:tcW w:w="160" w:type="dxa"/>
            <w:vAlign w:val="bottom"/>
            <w:gridSpan w:val="3"/>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424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8"/>
              </w:rPr>
            </w:pPr>
            <w:hyperlink r:id="rId159">
              <w:r>
                <w:rPr>
                  <w:rFonts w:ascii="Times New Roman" w:cs="Times New Roman" w:eastAsia="Times New Roman" w:hAnsi="Times New Roman"/>
                  <w:sz w:val="14"/>
                  <w:szCs w:val="14"/>
                  <w:color w:val="0000EE"/>
                  <w:w w:val="98"/>
                </w:rPr>
                <w:t>Statement on Form S-4 filed on November 14, 2022 (File No. 333-268350)).</w:t>
              </w:r>
            </w:hyperlink>
          </w:p>
        </w:tc>
        <w:tc>
          <w:tcPr>
            <w:tcW w:w="3480" w:type="dxa"/>
            <w:vAlign w:val="bottom"/>
            <w:gridSpan w:val="21"/>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3.uu</w:t>
            </w:r>
          </w:p>
        </w:tc>
        <w:tc>
          <w:tcPr>
            <w:tcW w:w="750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8"/>
              </w:rPr>
            </w:pPr>
            <w:hyperlink r:id="rId160">
              <w:r>
                <w:rPr>
                  <w:rFonts w:ascii="Times New Roman" w:cs="Times New Roman" w:eastAsia="Times New Roman" w:hAnsi="Times New Roman"/>
                  <w:sz w:val="14"/>
                  <w:szCs w:val="14"/>
                  <w:color w:val="0000EE"/>
                  <w:w w:val="98"/>
                </w:rPr>
                <w:t>Certificate of Formation of SE International Holdings II LLC (incorporated by reference to Exhibit 3.uu of the Registrant’s Registration</w:t>
              </w:r>
            </w:hyperlink>
          </w:p>
        </w:tc>
        <w:tc>
          <w:tcPr>
            <w:tcW w:w="220" w:type="dxa"/>
            <w:vAlign w:val="bottom"/>
            <w:gridSpan w:val="5"/>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424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8"/>
              </w:rPr>
            </w:pPr>
            <w:hyperlink r:id="rId160">
              <w:r>
                <w:rPr>
                  <w:rFonts w:ascii="Times New Roman" w:cs="Times New Roman" w:eastAsia="Times New Roman" w:hAnsi="Times New Roman"/>
                  <w:sz w:val="14"/>
                  <w:szCs w:val="14"/>
                  <w:color w:val="0000EE"/>
                  <w:w w:val="98"/>
                </w:rPr>
                <w:t>Statement on Form S-4 filed on November 14, 2022 (File No. 333-268350)).</w:t>
              </w:r>
            </w:hyperlink>
          </w:p>
        </w:tc>
        <w:tc>
          <w:tcPr>
            <w:tcW w:w="3480" w:type="dxa"/>
            <w:vAlign w:val="bottom"/>
            <w:gridSpan w:val="21"/>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3.vv</w:t>
            </w:r>
          </w:p>
        </w:tc>
        <w:tc>
          <w:tcPr>
            <w:tcW w:w="70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8"/>
              </w:rPr>
            </w:pPr>
            <w:hyperlink r:id="rId161">
              <w:r>
                <w:rPr>
                  <w:rFonts w:ascii="Times New Roman" w:cs="Times New Roman" w:eastAsia="Times New Roman" w:hAnsi="Times New Roman"/>
                  <w:sz w:val="14"/>
                  <w:szCs w:val="14"/>
                  <w:color w:val="0000EE"/>
                  <w:w w:val="98"/>
                </w:rPr>
                <w:t>Limited Liability Agreement of SE International Holdings II LLC (incorporated by reference to Exhibit 3.vv of the Registrant’s</w:t>
              </w:r>
            </w:hyperlink>
          </w:p>
        </w:tc>
        <w:tc>
          <w:tcPr>
            <w:tcW w:w="680" w:type="dxa"/>
            <w:vAlign w:val="bottom"/>
            <w:gridSpan w:val="15"/>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4940" w:type="dxa"/>
            <w:vAlign w:val="bottom"/>
            <w:tcBorders>
              <w:bottom w:val="single" w:sz="8" w:color="0000EE"/>
            </w:tcBorders>
            <w:gridSpan w:val="8"/>
          </w:tcPr>
          <w:p>
            <w:pPr>
              <w:spacing w:after="0" w:line="145" w:lineRule="exact"/>
              <w:rPr>
                <w:rFonts w:ascii="Times New Roman" w:cs="Times New Roman" w:eastAsia="Times New Roman" w:hAnsi="Times New Roman"/>
                <w:sz w:val="14"/>
                <w:szCs w:val="14"/>
                <w:color w:val="0000EE"/>
                <w:w w:val="97"/>
              </w:rPr>
            </w:pPr>
            <w:hyperlink r:id="rId161">
              <w:r>
                <w:rPr>
                  <w:rFonts w:ascii="Times New Roman" w:cs="Times New Roman" w:eastAsia="Times New Roman" w:hAnsi="Times New Roman"/>
                  <w:sz w:val="14"/>
                  <w:szCs w:val="14"/>
                  <w:color w:val="0000EE"/>
                  <w:w w:val="97"/>
                </w:rPr>
                <w:t>Registration Statement on Form S-4 filed on November 14, 2022 (File No. 333-268350)).</w:t>
              </w:r>
            </w:hyperlink>
          </w:p>
        </w:tc>
        <w:tc>
          <w:tcPr>
            <w:tcW w:w="2780" w:type="dxa"/>
            <w:vAlign w:val="bottom"/>
            <w:gridSpan w:val="18"/>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4.a</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Specimen certificate of Registrant’s Common Stock (incorporated by reference to Exhibit 4.a of the Registrant’s Annual Report on Form</w:t>
              </w:r>
            </w:hyperlink>
          </w:p>
        </w:tc>
      </w:tr>
      <w:tr>
        <w:trPr>
          <w:trHeight w:val="144"/>
        </w:trPr>
        <w:tc>
          <w:tcPr>
            <w:tcW w:w="660" w:type="dxa"/>
            <w:vAlign w:val="bottom"/>
          </w:tcPr>
          <w:p>
            <w:pPr>
              <w:spacing w:after="0"/>
              <w:rPr>
                <w:sz w:val="12"/>
                <w:szCs w:val="12"/>
                <w:color w:val="auto"/>
              </w:rPr>
            </w:pPr>
          </w:p>
        </w:tc>
        <w:tc>
          <w:tcPr>
            <w:tcW w:w="7500" w:type="dxa"/>
            <w:vAlign w:val="bottom"/>
            <w:tcBorders>
              <w:top w:val="single" w:sz="8" w:color="0000EE"/>
            </w:tcBorders>
            <w:gridSpan w:val="21"/>
          </w:tcPr>
          <w:p>
            <w:pPr>
              <w:spacing w:after="0" w:line="145" w:lineRule="exact"/>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10-K for the year ended December 31, 1995 (File No. 1-2227)).</w:t>
              </w:r>
            </w:hyperlink>
          </w:p>
        </w:tc>
        <w:tc>
          <w:tcPr>
            <w:tcW w:w="220" w:type="dxa"/>
            <w:vAlign w:val="bottom"/>
            <w:gridSpan w:val="5"/>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92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4.b</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Indenture, dated December 17, 1996, among Crown Cork &amp; Seal Company, Inc., Crown Cork &amp; Seal Finance PLC, Crown Cork &amp; Seal</w:t>
              </w:r>
            </w:hyperlink>
          </w:p>
        </w:tc>
      </w:tr>
      <w:tr>
        <w:trPr>
          <w:trHeight w:val="144"/>
        </w:trPr>
        <w:tc>
          <w:tcPr>
            <w:tcW w:w="660" w:type="dxa"/>
            <w:vAlign w:val="bottom"/>
          </w:tcPr>
          <w:p>
            <w:pPr>
              <w:spacing w:after="0"/>
              <w:rPr>
                <w:sz w:val="12"/>
                <w:szCs w:val="12"/>
                <w:color w:val="auto"/>
              </w:rPr>
            </w:pPr>
          </w:p>
        </w:tc>
        <w:tc>
          <w:tcPr>
            <w:tcW w:w="7480" w:type="dxa"/>
            <w:vAlign w:val="bottom"/>
            <w:tcBorders>
              <w:top w:val="single" w:sz="8" w:color="0000EE"/>
              <w:bottom w:val="single" w:sz="8" w:color="0000EE"/>
            </w:tcBorders>
            <w:gridSpan w:val="20"/>
          </w:tcPr>
          <w:p>
            <w:pPr>
              <w:spacing w:after="0" w:line="145" w:lineRule="exact"/>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Finance S.A. and the Bank of New York, as trustee (incorporated by reference to Exhibit 4.1 of the Registrant’s Current Report on Form</w:t>
              </w:r>
            </w:hyperlink>
          </w:p>
        </w:tc>
        <w:tc>
          <w:tcPr>
            <w:tcW w:w="40" w:type="dxa"/>
            <w:vAlign w:val="bottom"/>
            <w:tcBorders>
              <w:top w:val="single" w:sz="8" w:color="0000EE"/>
            </w:tcBorders>
            <w:gridSpan w:val="2"/>
          </w:tcPr>
          <w:p>
            <w:pPr>
              <w:spacing w:after="0"/>
              <w:rPr>
                <w:sz w:val="12"/>
                <w:szCs w:val="12"/>
                <w:color w:val="auto"/>
              </w:rPr>
            </w:pPr>
          </w:p>
        </w:tc>
        <w:tc>
          <w:tcPr>
            <w:tcW w:w="200" w:type="dxa"/>
            <w:vAlign w:val="bottom"/>
            <w:gridSpan w:val="4"/>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20" w:type="dxa"/>
            <w:vAlign w:val="bottom"/>
            <w:gridSpan w:val="26"/>
          </w:tcPr>
          <w:p>
            <w:pPr>
              <w:spacing w:after="0" w:line="145"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8-K dated December 17, 1996 (File No. 1-2227)).</w:t>
              </w:r>
            </w:hyperlink>
          </w:p>
        </w:tc>
      </w:tr>
      <w:tr>
        <w:trPr>
          <w:trHeight w:val="20"/>
        </w:trPr>
        <w:tc>
          <w:tcPr>
            <w:tcW w:w="6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40" w:type="dxa"/>
            <w:vAlign w:val="bottom"/>
            <w:gridSpan w:val="17"/>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4.c</w:t>
            </w:r>
          </w:p>
        </w:tc>
        <w:tc>
          <w:tcPr>
            <w:tcW w:w="742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Form of the Registrant’s 7-3/8% Debentures Due 2026 (incorporated by reference to Exhibit 99.1 of the Registrant’s Current Report on</w:t>
              </w:r>
            </w:hyperlink>
          </w:p>
        </w:tc>
        <w:tc>
          <w:tcPr>
            <w:tcW w:w="300" w:type="dxa"/>
            <w:vAlign w:val="bottom"/>
            <w:gridSpan w:val="7"/>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3080" w:type="dxa"/>
            <w:vAlign w:val="bottom"/>
            <w:tcBorders>
              <w:bottom w:val="single" w:sz="8" w:color="0000EE"/>
            </w:tcBorders>
            <w:gridSpan w:val="2"/>
          </w:tcPr>
          <w:p>
            <w:pPr>
              <w:spacing w:after="0" w:line="145" w:lineRule="exact"/>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Form 8-K dated December 17, 1996 (File No. 1-2227)).</w:t>
              </w:r>
            </w:hyperlink>
          </w:p>
        </w:tc>
        <w:tc>
          <w:tcPr>
            <w:tcW w:w="4640" w:type="dxa"/>
            <w:vAlign w:val="bottom"/>
            <w:gridSpan w:val="24"/>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4.d</w:t>
            </w:r>
          </w:p>
        </w:tc>
        <w:tc>
          <w:tcPr>
            <w:tcW w:w="7720" w:type="dxa"/>
            <w:vAlign w:val="bottom"/>
            <w:tcBorders>
              <w:bottom w:val="single" w:sz="8" w:color="0000EE"/>
            </w:tcBorders>
            <w:gridSpan w:val="26"/>
          </w:tcPr>
          <w:p>
            <w:pPr>
              <w:spacing w:after="0"/>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Officers’ Certificate for 7-3/8% Debentures Due 2026 (incorporated by reference to Exhibit 99.6 of the Registrant’s Current Report on Form</w:t>
              </w:r>
            </w:hyperlink>
          </w:p>
        </w:tc>
      </w:tr>
      <w:tr>
        <w:trPr>
          <w:trHeight w:val="144"/>
        </w:trPr>
        <w:tc>
          <w:tcPr>
            <w:tcW w:w="660" w:type="dxa"/>
            <w:vAlign w:val="bottom"/>
          </w:tcPr>
          <w:p>
            <w:pPr>
              <w:spacing w:after="0"/>
              <w:rPr>
                <w:sz w:val="12"/>
                <w:szCs w:val="12"/>
                <w:color w:val="auto"/>
              </w:rPr>
            </w:pPr>
          </w:p>
        </w:tc>
        <w:tc>
          <w:tcPr>
            <w:tcW w:w="7720" w:type="dxa"/>
            <w:vAlign w:val="bottom"/>
            <w:gridSpan w:val="26"/>
          </w:tcPr>
          <w:p>
            <w:pPr>
              <w:spacing w:after="0" w:line="145"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8-K dated December 17, 1996 (File No. 1-2227)).</w:t>
              </w:r>
            </w:hyperlink>
          </w:p>
        </w:tc>
      </w:tr>
      <w:tr>
        <w:trPr>
          <w:trHeight w:val="287"/>
        </w:trPr>
        <w:tc>
          <w:tcPr>
            <w:tcW w:w="660" w:type="dxa"/>
            <w:vAlign w:val="bottom"/>
          </w:tcPr>
          <w:p>
            <w:pPr>
              <w:spacing w:after="0"/>
              <w:rPr>
                <w:sz w:val="24"/>
                <w:szCs w:val="24"/>
                <w:color w:val="auto"/>
              </w:rPr>
            </w:pPr>
          </w:p>
        </w:tc>
        <w:tc>
          <w:tcPr>
            <w:tcW w:w="27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gridSpan w:val="24"/>
          </w:tcPr>
          <w:p>
            <w:pPr>
              <w:ind w:left="340"/>
              <w:spacing w:after="0"/>
              <w:rPr>
                <w:sz w:val="20"/>
                <w:szCs w:val="20"/>
                <w:color w:val="auto"/>
              </w:rPr>
            </w:pPr>
            <w:r>
              <w:rPr>
                <w:rFonts w:ascii="Times New Roman" w:cs="Times New Roman" w:eastAsia="Times New Roman" w:hAnsi="Times New Roman"/>
                <w:sz w:val="14"/>
                <w:szCs w:val="14"/>
                <w:color w:val="auto"/>
              </w:rPr>
              <w:t>II-5</w:t>
            </w:r>
          </w:p>
        </w:tc>
      </w:tr>
    </w:tbl>
    <w:p>
      <w:pPr>
        <w:sectPr>
          <w:pgSz w:w="11900" w:h="16838" w:orient="portrait"/>
          <w:cols w:equalWidth="0" w:num="1">
            <w:col w:w="10159"/>
          </w:cols>
          <w:pgMar w:left="300" w:top="380"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4.e</w:t>
            </w:r>
          </w:p>
        </w:tc>
        <w:tc>
          <w:tcPr>
            <w:tcW w:w="742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Form of the Registrant’s 7-1/2% Debentures Due 2096 (incorporated by reference to Exhibit 99.2 of the Registrant’s Current Report on</w:t>
              </w:r>
            </w:hyperlink>
          </w:p>
        </w:tc>
        <w:tc>
          <w:tcPr>
            <w:tcW w:w="280" w:type="dxa"/>
            <w:vAlign w:val="bottom"/>
            <w:gridSpan w:val="10"/>
          </w:tcPr>
          <w:p>
            <w:pPr>
              <w:spacing w:after="0"/>
              <w:rPr>
                <w:sz w:val="13"/>
                <w:szCs w:val="13"/>
                <w:color w:val="auto"/>
              </w:rPr>
            </w:pPr>
          </w:p>
        </w:tc>
      </w:tr>
      <w:tr>
        <w:trPr>
          <w:trHeight w:val="144"/>
        </w:trPr>
        <w:tc>
          <w:tcPr>
            <w:tcW w:w="660" w:type="dxa"/>
            <w:vAlign w:val="bottom"/>
          </w:tcPr>
          <w:p>
            <w:pPr>
              <w:spacing w:after="0"/>
              <w:rPr>
                <w:sz w:val="12"/>
                <w:szCs w:val="12"/>
                <w:color w:val="auto"/>
              </w:rPr>
            </w:pPr>
          </w:p>
        </w:tc>
        <w:tc>
          <w:tcPr>
            <w:tcW w:w="3080" w:type="dxa"/>
            <w:vAlign w:val="bottom"/>
            <w:tcBorders>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Form 8-K dated December 17, 1996 (File No. 1-2227)).</w:t>
              </w:r>
            </w:hyperlink>
          </w:p>
        </w:tc>
        <w:tc>
          <w:tcPr>
            <w:tcW w:w="4620" w:type="dxa"/>
            <w:vAlign w:val="bottom"/>
            <w:gridSpan w:val="27"/>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4.f</w:t>
            </w:r>
          </w:p>
        </w:tc>
        <w:tc>
          <w:tcPr>
            <w:tcW w:w="74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163">
              <w:r>
                <w:rPr>
                  <w:rFonts w:ascii="Times New Roman" w:cs="Times New Roman" w:eastAsia="Times New Roman" w:hAnsi="Times New Roman"/>
                  <w:sz w:val="14"/>
                  <w:szCs w:val="14"/>
                  <w:color w:val="0000EE"/>
                  <w:w w:val="98"/>
                </w:rPr>
                <w:t>Officers’ Certificate for 7-1/2 % Debentures Due 2096 (incorporated by reference to Exhibit 99.7 of the Registrant’s Current Report on</w:t>
              </w:r>
            </w:hyperlink>
          </w:p>
        </w:tc>
        <w:tc>
          <w:tcPr>
            <w:tcW w:w="240" w:type="dxa"/>
            <w:vAlign w:val="bottom"/>
            <w:gridSpan w:val="8"/>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Form 8-K dated December 17, 1996 (File No. 1-2227)).</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4.g</w:t>
            </w:r>
          </w:p>
        </w:tc>
        <w:tc>
          <w:tcPr>
            <w:tcW w:w="7700" w:type="dxa"/>
            <w:vAlign w:val="bottom"/>
            <w:gridSpan w:val="32"/>
          </w:tcPr>
          <w:p>
            <w:pPr>
              <w:spacing w:after="0"/>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Terms Agreement, dated December 12, 1996 (incorporated by reference to Exhibit 1.1 of the Registrant’s Current Report on Form 8-K</w:t>
              </w:r>
            </w:hyperlink>
          </w:p>
        </w:tc>
      </w:tr>
      <w:tr>
        <w:trPr>
          <w:trHeight w:val="144"/>
        </w:trPr>
        <w:tc>
          <w:tcPr>
            <w:tcW w:w="660" w:type="dxa"/>
            <w:vAlign w:val="bottom"/>
          </w:tcPr>
          <w:p>
            <w:pPr>
              <w:spacing w:after="0"/>
              <w:rPr>
                <w:sz w:val="12"/>
                <w:szCs w:val="12"/>
                <w:color w:val="auto"/>
              </w:rPr>
            </w:pPr>
          </w:p>
        </w:tc>
        <w:tc>
          <w:tcPr>
            <w:tcW w:w="2500" w:type="dxa"/>
            <w:vAlign w:val="bottom"/>
            <w:tcBorders>
              <w:top w:val="single" w:sz="8" w:color="0000EE"/>
              <w:bottom w:val="single" w:sz="8" w:color="0000EE"/>
            </w:tcBorders>
            <w:gridSpan w:val="3"/>
          </w:tcPr>
          <w:p>
            <w:pPr>
              <w:spacing w:after="0" w:line="145" w:lineRule="exact"/>
              <w:rPr>
                <w:rFonts w:ascii="Times New Roman" w:cs="Times New Roman" w:eastAsia="Times New Roman" w:hAnsi="Times New Roman"/>
                <w:sz w:val="14"/>
                <w:szCs w:val="14"/>
                <w:color w:val="0000EE"/>
                <w:w w:val="97"/>
              </w:rPr>
            </w:pPr>
            <w:hyperlink r:id="rId163">
              <w:r>
                <w:rPr>
                  <w:rFonts w:ascii="Times New Roman" w:cs="Times New Roman" w:eastAsia="Times New Roman" w:hAnsi="Times New Roman"/>
                  <w:sz w:val="14"/>
                  <w:szCs w:val="14"/>
                  <w:color w:val="0000EE"/>
                  <w:w w:val="97"/>
                </w:rPr>
                <w:t>dated December 17, 1996 (File No. 1-2227)).</w:t>
              </w:r>
            </w:hyperlink>
          </w:p>
        </w:tc>
        <w:tc>
          <w:tcPr>
            <w:tcW w:w="4880" w:type="dxa"/>
            <w:vAlign w:val="bottom"/>
            <w:tcBorders>
              <w:top w:val="single" w:sz="8" w:color="0000EE"/>
            </w:tcBorders>
            <w:gridSpan w:val="17"/>
          </w:tcPr>
          <w:p>
            <w:pPr>
              <w:spacing w:after="0"/>
              <w:rPr>
                <w:sz w:val="12"/>
                <w:szCs w:val="12"/>
                <w:color w:val="auto"/>
              </w:rPr>
            </w:pPr>
          </w:p>
        </w:tc>
        <w:tc>
          <w:tcPr>
            <w:tcW w:w="320" w:type="dxa"/>
            <w:vAlign w:val="bottom"/>
            <w:gridSpan w:val="12"/>
          </w:tcPr>
          <w:p>
            <w:pPr>
              <w:spacing w:after="0"/>
              <w:rPr>
                <w:sz w:val="12"/>
                <w:szCs w:val="12"/>
                <w:color w:val="auto"/>
              </w:rPr>
            </w:pP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4.h</w:t>
            </w:r>
          </w:p>
        </w:tc>
        <w:tc>
          <w:tcPr>
            <w:tcW w:w="770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Form of Bearer Security Depositary Agreement (incorporated by reference to Exhibit 4.2 of the Registrant’s Registration Statement on</w:t>
            </w:r>
          </w:p>
        </w:tc>
      </w:tr>
      <w:tr>
        <w:trPr>
          <w:trHeight w:val="146"/>
        </w:trPr>
        <w:tc>
          <w:tcPr>
            <w:tcW w:w="660" w:type="dxa"/>
            <w:vAlign w:val="bottom"/>
          </w:tcPr>
          <w:p>
            <w:pPr>
              <w:spacing w:after="0"/>
              <w:rPr>
                <w:sz w:val="12"/>
                <w:szCs w:val="12"/>
                <w:color w:val="auto"/>
              </w:rPr>
            </w:pPr>
          </w:p>
        </w:tc>
        <w:tc>
          <w:tcPr>
            <w:tcW w:w="7700" w:type="dxa"/>
            <w:vAlign w:val="bottom"/>
            <w:gridSpan w:val="32"/>
          </w:tcPr>
          <w:p>
            <w:pPr>
              <w:spacing w:after="0" w:line="147"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Form S-3, dated </w:t>
            </w:r>
            <w:hyperlink r:id="rId165">
              <w:r>
                <w:rPr>
                  <w:rFonts w:ascii="Times New Roman" w:cs="Times New Roman" w:eastAsia="Times New Roman" w:hAnsi="Times New Roman"/>
                  <w:sz w:val="14"/>
                  <w:szCs w:val="14"/>
                  <w:color w:val="0000EE"/>
                </w:rPr>
                <w:t>November 26, 1996</w:t>
              </w:r>
            </w:hyperlink>
            <w:r>
              <w:rPr>
                <w:rFonts w:ascii="Times New Roman" w:cs="Times New Roman" w:eastAsia="Times New Roman" w:hAnsi="Times New Roman"/>
                <w:sz w:val="14"/>
                <w:szCs w:val="14"/>
                <w:color w:val="auto"/>
              </w:rPr>
              <w:t xml:space="preserve">, amended </w:t>
            </w:r>
            <w:hyperlink r:id="rId166">
              <w:r>
                <w:rPr>
                  <w:rFonts w:ascii="Times New Roman" w:cs="Times New Roman" w:eastAsia="Times New Roman" w:hAnsi="Times New Roman"/>
                  <w:sz w:val="14"/>
                  <w:szCs w:val="14"/>
                  <w:color w:val="0000EE"/>
                </w:rPr>
                <w:t>December 5</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 xml:space="preserve">and </w:t>
            </w:r>
            <w:hyperlink r:id="rId167">
              <w:r>
                <w:rPr>
                  <w:rFonts w:ascii="Times New Roman" w:cs="Times New Roman" w:eastAsia="Times New Roman" w:hAnsi="Times New Roman"/>
                  <w:sz w:val="14"/>
                  <w:szCs w:val="14"/>
                  <w:color w:val="0000EE"/>
                </w:rPr>
                <w:t>10, 1996</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(File No. 333-16869)).</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4.i</w:t>
            </w:r>
          </w:p>
        </w:tc>
        <w:tc>
          <w:tcPr>
            <w:tcW w:w="7700" w:type="dxa"/>
            <w:vAlign w:val="bottom"/>
            <w:gridSpan w:val="32"/>
          </w:tcPr>
          <w:p>
            <w:pPr>
              <w:spacing w:after="0"/>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Supplemental Indenture to Indenture dated December 17, 1996, dated as of February 25, 2003, between Crown Cork &amp; Seal Company,</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Inc., as Issuer and Guarantor, Crown Cork &amp; Seal Finance PLC, as Issuer, Crown Cork &amp; Seal Finance S.A., as Issuer, Crown Holdings,</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580" w:type="dxa"/>
            <w:vAlign w:val="bottom"/>
            <w:tcBorders>
              <w:bottom w:val="single" w:sz="8" w:color="0000EE"/>
            </w:tcBorders>
            <w:gridSpan w:val="27"/>
          </w:tcPr>
          <w:p>
            <w:pPr>
              <w:spacing w:after="0" w:line="145" w:lineRule="exact"/>
              <w:rPr>
                <w:rFonts w:ascii="Times New Roman" w:cs="Times New Roman" w:eastAsia="Times New Roman" w:hAnsi="Times New Roman"/>
                <w:sz w:val="14"/>
                <w:szCs w:val="14"/>
                <w:color w:val="0000EE"/>
                <w:w w:val="97"/>
              </w:rPr>
            </w:pPr>
            <w:hyperlink r:id="rId168">
              <w:r>
                <w:rPr>
                  <w:rFonts w:ascii="Times New Roman" w:cs="Times New Roman" w:eastAsia="Times New Roman" w:hAnsi="Times New Roman"/>
                  <w:sz w:val="14"/>
                  <w:szCs w:val="14"/>
                  <w:color w:val="0000EE"/>
                  <w:w w:val="97"/>
                </w:rPr>
                <w:t>Inc., as Additional Guarantor and Bank One Trust Company, N.A., as Trustee (incorporated by reference to Exhibit 4.5 of the Registrant’s</w:t>
              </w:r>
            </w:hyperlink>
          </w:p>
        </w:tc>
        <w:tc>
          <w:tcPr>
            <w:tcW w:w="120" w:type="dxa"/>
            <w:vAlign w:val="bottom"/>
            <w:gridSpan w:val="5"/>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Current Report on Form 8-K dated February 26, 2003 (File No. 0-50189)).</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4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4.j</w:t>
            </w:r>
          </w:p>
        </w:tc>
        <w:tc>
          <w:tcPr>
            <w:tcW w:w="732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8"/>
              </w:rPr>
            </w:pPr>
            <w:hyperlink r:id="rId169">
              <w:r>
                <w:rPr>
                  <w:rFonts w:ascii="Times New Roman" w:cs="Times New Roman" w:eastAsia="Times New Roman" w:hAnsi="Times New Roman"/>
                  <w:sz w:val="14"/>
                  <w:szCs w:val="14"/>
                  <w:color w:val="0000EE"/>
                  <w:w w:val="98"/>
                </w:rPr>
                <w:t>Indenture dated October 31, 2019, between Crown European Holdings S.A., the Guarantors (as defined therein), U.S. Bank National</w:t>
              </w:r>
            </w:hyperlink>
          </w:p>
        </w:tc>
        <w:tc>
          <w:tcPr>
            <w:tcW w:w="380" w:type="dxa"/>
            <w:vAlign w:val="bottom"/>
            <w:gridSpan w:val="14"/>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300" w:type="dxa"/>
            <w:vAlign w:val="bottom"/>
            <w:tcBorders>
              <w:bottom w:val="single" w:sz="8" w:color="0000EE"/>
            </w:tcBorders>
            <w:gridSpan w:val="17"/>
          </w:tcPr>
          <w:p>
            <w:pPr>
              <w:spacing w:after="0" w:line="145" w:lineRule="exact"/>
              <w:rPr>
                <w:rFonts w:ascii="Times New Roman" w:cs="Times New Roman" w:eastAsia="Times New Roman" w:hAnsi="Times New Roman"/>
                <w:sz w:val="14"/>
                <w:szCs w:val="14"/>
                <w:color w:val="0000EE"/>
                <w:w w:val="97"/>
              </w:rPr>
            </w:pPr>
            <w:hyperlink r:id="rId169">
              <w:r>
                <w:rPr>
                  <w:rFonts w:ascii="Times New Roman" w:cs="Times New Roman" w:eastAsia="Times New Roman" w:hAnsi="Times New Roman"/>
                  <w:sz w:val="14"/>
                  <w:szCs w:val="14"/>
                  <w:color w:val="0000EE"/>
                  <w:w w:val="97"/>
                </w:rPr>
                <w:t>Association, as trustee, Elavon Financial Services DAC, as paying agent, as registrar and transfer agent (incorporated by reference to</w:t>
              </w:r>
            </w:hyperlink>
          </w:p>
        </w:tc>
        <w:tc>
          <w:tcPr>
            <w:tcW w:w="400" w:type="dxa"/>
            <w:vAlign w:val="bottom"/>
            <w:gridSpan w:val="15"/>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Exhibit 4.1 to Registrant’s Form 8-K filed on November 4, 2019 (File No. 0-50189)).</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4.k</w:t>
            </w:r>
          </w:p>
        </w:tc>
        <w:tc>
          <w:tcPr>
            <w:tcW w:w="7700" w:type="dxa"/>
            <w:vAlign w:val="bottom"/>
            <w:gridSpan w:val="32"/>
          </w:tcPr>
          <w:p>
            <w:pPr>
              <w:spacing w:after="0"/>
              <w:rPr>
                <w:rFonts w:ascii="Times New Roman" w:cs="Times New Roman" w:eastAsia="Times New Roman" w:hAnsi="Times New Roman"/>
                <w:sz w:val="14"/>
                <w:szCs w:val="14"/>
                <w:color w:val="0000EE"/>
                <w:w w:val="99"/>
              </w:rPr>
            </w:pPr>
            <w:hyperlink r:id="rId170">
              <w:r>
                <w:rPr>
                  <w:rFonts w:ascii="Times New Roman" w:cs="Times New Roman" w:eastAsia="Times New Roman" w:hAnsi="Times New Roman"/>
                  <w:sz w:val="14"/>
                  <w:szCs w:val="14"/>
                  <w:color w:val="0000EE"/>
                  <w:w w:val="99"/>
                </w:rPr>
                <w:t>Indenture dated March 17, 2022, between Crown Americas LLC, the Guarantors (as defined therein) and U.S. Bank National Association,</w:t>
              </w:r>
            </w:hyperlink>
          </w:p>
        </w:tc>
      </w:tr>
      <w:tr>
        <w:trPr>
          <w:trHeight w:val="144"/>
        </w:trPr>
        <w:tc>
          <w:tcPr>
            <w:tcW w:w="660" w:type="dxa"/>
            <w:vAlign w:val="bottom"/>
          </w:tcPr>
          <w:p>
            <w:pPr>
              <w:spacing w:after="0"/>
              <w:rPr>
                <w:sz w:val="12"/>
                <w:szCs w:val="12"/>
                <w:color w:val="auto"/>
              </w:rPr>
            </w:pPr>
          </w:p>
        </w:tc>
        <w:tc>
          <w:tcPr>
            <w:tcW w:w="7620" w:type="dxa"/>
            <w:vAlign w:val="bottom"/>
            <w:tcBorders>
              <w:top w:val="single" w:sz="8" w:color="0000EE"/>
            </w:tcBorders>
            <w:gridSpan w:val="28"/>
          </w:tcPr>
          <w:p>
            <w:pPr>
              <w:spacing w:after="0" w:line="145" w:lineRule="exact"/>
              <w:rPr>
                <w:rFonts w:ascii="Times New Roman" w:cs="Times New Roman" w:eastAsia="Times New Roman" w:hAnsi="Times New Roman"/>
                <w:sz w:val="14"/>
                <w:szCs w:val="14"/>
                <w:color w:val="0000EE"/>
              </w:rPr>
            </w:pPr>
            <w:hyperlink r:id="rId170">
              <w:r>
                <w:rPr>
                  <w:rFonts w:ascii="Times New Roman" w:cs="Times New Roman" w:eastAsia="Times New Roman" w:hAnsi="Times New Roman"/>
                  <w:sz w:val="14"/>
                  <w:szCs w:val="14"/>
                  <w:color w:val="0000EE"/>
                </w:rPr>
                <w:t>as trustee (incorporated by reference to Exhibit 4.1 to Registrant’s Form 8-K filed on March 21, 2022 (File No. 0-50189)).</w:t>
              </w:r>
            </w:hyperlink>
          </w:p>
        </w:tc>
        <w:tc>
          <w:tcPr>
            <w:tcW w:w="80" w:type="dxa"/>
            <w:vAlign w:val="bottom"/>
            <w:gridSpan w:val="4"/>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4.l</w:t>
            </w:r>
          </w:p>
        </w:tc>
        <w:tc>
          <w:tcPr>
            <w:tcW w:w="7700" w:type="dxa"/>
            <w:vAlign w:val="bottom"/>
            <w:gridSpan w:val="32"/>
          </w:tcPr>
          <w:p>
            <w:pPr>
              <w:spacing w:after="0"/>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Amended &amp; Restated Credit Agreement, dated April 7, 2017, by and among Crown Americas LLC, Crown European Holdings S.A.,</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8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640" w:type="dxa"/>
            <w:vAlign w:val="bottom"/>
            <w:tcBorders>
              <w:bottom w:val="single" w:sz="8" w:color="0000EE"/>
            </w:tcBorders>
            <w:gridSpan w:val="29"/>
          </w:tcPr>
          <w:p>
            <w:pPr>
              <w:spacing w:after="0" w:line="145" w:lineRule="exact"/>
              <w:rPr>
                <w:rFonts w:ascii="Times New Roman" w:cs="Times New Roman" w:eastAsia="Times New Roman" w:hAnsi="Times New Roman"/>
                <w:sz w:val="14"/>
                <w:szCs w:val="14"/>
                <w:color w:val="0000EE"/>
                <w:w w:val="98"/>
              </w:rPr>
            </w:pPr>
            <w:hyperlink r:id="rId171">
              <w:r>
                <w:rPr>
                  <w:rFonts w:ascii="Times New Roman" w:cs="Times New Roman" w:eastAsia="Times New Roman" w:hAnsi="Times New Roman"/>
                  <w:sz w:val="14"/>
                  <w:szCs w:val="14"/>
                  <w:color w:val="0000EE"/>
                  <w:w w:val="98"/>
                </w:rPr>
                <w:t>Crown Metal Packaging Canada LP, each of the Subsidiary Borrowers from time to time party thereto, Crown Holdings, Inc., Crown Cork</w:t>
              </w:r>
            </w:hyperlink>
          </w:p>
        </w:tc>
        <w:tc>
          <w:tcPr>
            <w:tcW w:w="60" w:type="dxa"/>
            <w:vAlign w:val="bottom"/>
            <w:gridSpan w:val="3"/>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&amp; Seal Company, Inc., Crown International Holdings, Inc., each other Credit Party from time to time party thereto, Deutsche Bank AG</w:t>
              </w:r>
            </w:hyperlink>
          </w:p>
        </w:tc>
      </w:tr>
      <w:tr>
        <w:trPr>
          <w:trHeight w:val="144"/>
        </w:trPr>
        <w:tc>
          <w:tcPr>
            <w:tcW w:w="660" w:type="dxa"/>
            <w:vAlign w:val="bottom"/>
          </w:tcPr>
          <w:p>
            <w:pPr>
              <w:spacing w:after="0"/>
              <w:rPr>
                <w:sz w:val="12"/>
                <w:szCs w:val="12"/>
                <w:color w:val="auto"/>
              </w:rPr>
            </w:pPr>
          </w:p>
        </w:tc>
        <w:tc>
          <w:tcPr>
            <w:tcW w:w="7240" w:type="dxa"/>
            <w:vAlign w:val="bottom"/>
            <w:tcBorders>
              <w:top w:val="single" w:sz="8" w:color="0000EE"/>
              <w:bottom w:val="single" w:sz="8" w:color="0000EE"/>
            </w:tcBorders>
            <w:gridSpan w:val="16"/>
          </w:tcPr>
          <w:p>
            <w:pPr>
              <w:spacing w:after="0" w:line="145" w:lineRule="exact"/>
              <w:rPr>
                <w:rFonts w:ascii="Times New Roman" w:cs="Times New Roman" w:eastAsia="Times New Roman" w:hAnsi="Times New Roman"/>
                <w:sz w:val="14"/>
                <w:szCs w:val="14"/>
                <w:color w:val="0000EE"/>
                <w:w w:val="97"/>
              </w:rPr>
            </w:pPr>
            <w:hyperlink r:id="rId171">
              <w:r>
                <w:rPr>
                  <w:rFonts w:ascii="Times New Roman" w:cs="Times New Roman" w:eastAsia="Times New Roman" w:hAnsi="Times New Roman"/>
                  <w:sz w:val="14"/>
                  <w:szCs w:val="14"/>
                  <w:color w:val="0000EE"/>
                  <w:w w:val="97"/>
                </w:rPr>
                <w:t>Canada Branch, Deutsche Bank AG London Branch, Deutsche Bank AG New York Branch, and various Lenders referred to therein</w:t>
              </w:r>
            </w:hyperlink>
          </w:p>
        </w:tc>
        <w:tc>
          <w:tcPr>
            <w:tcW w:w="160" w:type="dxa"/>
            <w:vAlign w:val="bottom"/>
            <w:tcBorders>
              <w:top w:val="single" w:sz="8" w:color="0000EE"/>
            </w:tcBorders>
            <w:gridSpan w:val="5"/>
          </w:tcPr>
          <w:p>
            <w:pPr>
              <w:spacing w:after="0"/>
              <w:rPr>
                <w:sz w:val="12"/>
                <w:szCs w:val="12"/>
                <w:color w:val="auto"/>
              </w:rPr>
            </w:pPr>
          </w:p>
        </w:tc>
        <w:tc>
          <w:tcPr>
            <w:tcW w:w="300" w:type="dxa"/>
            <w:vAlign w:val="bottom"/>
            <w:gridSpan w:val="11"/>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(incorporated by reference to Exhibit 4 of the Registrant’s Quarterly Report on Form 10-Q for the quarter ended March 31, 2017 (File</w:t>
              </w:r>
            </w:hyperlink>
          </w:p>
        </w:tc>
      </w:tr>
      <w:tr>
        <w:trPr>
          <w:trHeight w:val="144"/>
        </w:trPr>
        <w:tc>
          <w:tcPr>
            <w:tcW w:w="660" w:type="dxa"/>
            <w:vAlign w:val="bottom"/>
          </w:tcPr>
          <w:p>
            <w:pPr>
              <w:spacing w:after="0"/>
              <w:rPr>
                <w:sz w:val="12"/>
                <w:szCs w:val="12"/>
                <w:color w:val="auto"/>
              </w:rPr>
            </w:pPr>
          </w:p>
        </w:tc>
        <w:tc>
          <w:tcPr>
            <w:tcW w:w="7340" w:type="dxa"/>
            <w:vAlign w:val="bottom"/>
            <w:tcBorders>
              <w:top w:val="single" w:sz="8" w:color="0000EE"/>
            </w:tcBorders>
            <w:gridSpan w:val="19"/>
          </w:tcPr>
          <w:p>
            <w:pPr>
              <w:spacing w:after="0" w:line="145" w:lineRule="exact"/>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No. 000-50189)).</w:t>
              </w:r>
            </w:hyperlink>
          </w:p>
        </w:tc>
        <w:tc>
          <w:tcPr>
            <w:tcW w:w="360" w:type="dxa"/>
            <w:vAlign w:val="bottom"/>
            <w:gridSpan w:val="13"/>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4.m</w:t>
            </w:r>
          </w:p>
        </w:tc>
        <w:tc>
          <w:tcPr>
            <w:tcW w:w="7540" w:type="dxa"/>
            <w:vAlign w:val="bottom"/>
            <w:tcBorders>
              <w:bottom w:val="single" w:sz="8" w:color="0000EE"/>
            </w:tcBorders>
            <w:gridSpan w:val="26"/>
          </w:tcPr>
          <w:p>
            <w:pPr>
              <w:spacing w:after="0"/>
              <w:rPr>
                <w:rFonts w:ascii="Times New Roman" w:cs="Times New Roman" w:eastAsia="Times New Roman" w:hAnsi="Times New Roman"/>
                <w:sz w:val="14"/>
                <w:szCs w:val="14"/>
                <w:color w:val="0000EE"/>
                <w:w w:val="98"/>
              </w:rPr>
            </w:pPr>
            <w:hyperlink r:id="rId172">
              <w:r>
                <w:rPr>
                  <w:rFonts w:ascii="Times New Roman" w:cs="Times New Roman" w:eastAsia="Times New Roman" w:hAnsi="Times New Roman"/>
                  <w:sz w:val="14"/>
                  <w:szCs w:val="14"/>
                  <w:color w:val="0000EE"/>
                  <w:w w:val="98"/>
                </w:rPr>
                <w:t>Indenture, dated as of September 15, 2016, by and among Crown European Holdings S.A., as Issuer, the Guarantors named therein, U.S.</w:t>
              </w:r>
            </w:hyperlink>
          </w:p>
        </w:tc>
        <w:tc>
          <w:tcPr>
            <w:tcW w:w="160" w:type="dxa"/>
            <w:vAlign w:val="bottom"/>
            <w:gridSpan w:val="6"/>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680" w:type="dxa"/>
            <w:vAlign w:val="bottom"/>
            <w:tcBorders>
              <w:bottom w:val="single" w:sz="8" w:color="0000EE"/>
            </w:tcBorders>
            <w:gridSpan w:val="31"/>
          </w:tcPr>
          <w:p>
            <w:pPr>
              <w:spacing w:after="0" w:line="145" w:lineRule="exact"/>
              <w:rPr>
                <w:rFonts w:ascii="Times New Roman" w:cs="Times New Roman" w:eastAsia="Times New Roman" w:hAnsi="Times New Roman"/>
                <w:sz w:val="14"/>
                <w:szCs w:val="14"/>
                <w:color w:val="0000EE"/>
                <w:w w:val="98"/>
              </w:rPr>
            </w:pPr>
            <w:hyperlink r:id="rId172">
              <w:r>
                <w:rPr>
                  <w:rFonts w:ascii="Times New Roman" w:cs="Times New Roman" w:eastAsia="Times New Roman" w:hAnsi="Times New Roman"/>
                  <w:sz w:val="14"/>
                  <w:szCs w:val="14"/>
                  <w:color w:val="0000EE"/>
                  <w:w w:val="98"/>
                </w:rPr>
                <w:t xml:space="preserve">Bank National Association, as Trustee, and the other parties thereto, relating to the </w:t>
              </w:r>
              <w:r>
                <w:rPr>
                  <w:rFonts w:ascii="Times New Roman" w:cs="Times New Roman" w:eastAsia="Times New Roman" w:hAnsi="Times New Roman"/>
                  <w:sz w:val="14"/>
                  <w:szCs w:val="14"/>
                  <w:u w:val="single" w:color="auto"/>
                  <w:color w:val="0000EE"/>
                  <w:w w:val="98"/>
                </w:rPr>
                <w:t>€</w:t>
              </w:r>
              <w:r>
                <w:rPr>
                  <w:rFonts w:ascii="Times New Roman" w:cs="Times New Roman" w:eastAsia="Times New Roman" w:hAnsi="Times New Roman"/>
                  <w:sz w:val="14"/>
                  <w:szCs w:val="14"/>
                  <w:color w:val="0000EE"/>
                  <w:w w:val="98"/>
                </w:rPr>
                <w:t>600 million 2.625% Senior Unsecured Notes due 2024</w:t>
              </w:r>
            </w:hyperlink>
          </w:p>
        </w:tc>
        <w:tc>
          <w:tcPr>
            <w:tcW w:w="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680" w:type="dxa"/>
            <w:vAlign w:val="bottom"/>
            <w:tcBorders>
              <w:bottom w:val="single" w:sz="8" w:color="0000EE"/>
            </w:tcBorders>
            <w:gridSpan w:val="31"/>
          </w:tcPr>
          <w:p>
            <w:pPr>
              <w:spacing w:after="0" w:line="145" w:lineRule="exact"/>
              <w:rPr>
                <w:rFonts w:ascii="Times New Roman" w:cs="Times New Roman" w:eastAsia="Times New Roman" w:hAnsi="Times New Roman"/>
                <w:sz w:val="14"/>
                <w:szCs w:val="14"/>
                <w:color w:val="0000EE"/>
                <w:w w:val="98"/>
              </w:rPr>
            </w:pPr>
            <w:hyperlink r:id="rId172">
              <w:r>
                <w:rPr>
                  <w:rFonts w:ascii="Times New Roman" w:cs="Times New Roman" w:eastAsia="Times New Roman" w:hAnsi="Times New Roman"/>
                  <w:sz w:val="14"/>
                  <w:szCs w:val="14"/>
                  <w:color w:val="0000EE"/>
                  <w:w w:val="98"/>
                </w:rPr>
                <w:t>(incorporated by reference to Exhibit 4.1 of the Registrant’s Current Report on Form 8-K dated September 19, 2016 (File No. 000-50189)).</w:t>
              </w:r>
            </w:hyperlink>
          </w:p>
        </w:tc>
        <w:tc>
          <w:tcPr>
            <w:tcW w:w="20" w:type="dxa"/>
            <w:vAlign w:val="bottom"/>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4.n</w:t>
            </w:r>
          </w:p>
        </w:tc>
        <w:tc>
          <w:tcPr>
            <w:tcW w:w="42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7"/>
              </w:rPr>
            </w:pPr>
            <w:hyperlink r:id="rId173">
              <w:r>
                <w:rPr>
                  <w:rFonts w:ascii="Times New Roman" w:cs="Times New Roman" w:eastAsia="Times New Roman" w:hAnsi="Times New Roman"/>
                  <w:sz w:val="14"/>
                  <w:szCs w:val="14"/>
                  <w:color w:val="0000EE"/>
                  <w:w w:val="97"/>
                </w:rPr>
                <w:t>Form of 2.625% Senior Unsecured Notes due 2024 (included in Exhibit 4.q).</w:t>
              </w:r>
            </w:hyperlink>
          </w:p>
        </w:tc>
        <w:tc>
          <w:tcPr>
            <w:tcW w:w="3460" w:type="dxa"/>
            <w:vAlign w:val="bottom"/>
            <w:gridSpan w:val="20"/>
          </w:tcPr>
          <w:p>
            <w:pPr>
              <w:spacing w:after="0"/>
              <w:rPr>
                <w:sz w:val="19"/>
                <w:szCs w:val="19"/>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4.o</w:t>
            </w:r>
          </w:p>
        </w:tc>
        <w:tc>
          <w:tcPr>
            <w:tcW w:w="7700" w:type="dxa"/>
            <w:vAlign w:val="bottom"/>
            <w:gridSpan w:val="32"/>
          </w:tcPr>
          <w:p>
            <w:pPr>
              <w:spacing w:after="0"/>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Indenture, dated as of September 15, 2016, by and among Crown Americas LLC and Crown Americas Capital Corp. V, as Issuers, the</w:t>
              </w:r>
            </w:hyperlink>
          </w:p>
        </w:tc>
      </w:tr>
      <w:tr>
        <w:trPr>
          <w:trHeight w:val="20"/>
        </w:trPr>
        <w:tc>
          <w:tcPr>
            <w:tcW w:w="660" w:type="dxa"/>
            <w:vAlign w:val="bottom"/>
          </w:tcPr>
          <w:p>
            <w:pPr>
              <w:spacing w:after="0" w:line="20" w:lineRule="exact"/>
              <w:rPr>
                <w:sz w:val="1"/>
                <w:szCs w:val="1"/>
                <w:color w:val="auto"/>
              </w:rPr>
            </w:pPr>
          </w:p>
        </w:tc>
        <w:tc>
          <w:tcPr>
            <w:tcW w:w="4140" w:type="dxa"/>
            <w:vAlign w:val="bottom"/>
            <w:gridSpan w:val="11"/>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w w:val="98"/>
              </w:rPr>
            </w:pPr>
            <w:hyperlink r:id="rId174">
              <w:r>
                <w:rPr>
                  <w:rFonts w:ascii="Times New Roman" w:cs="Times New Roman" w:eastAsia="Times New Roman" w:hAnsi="Times New Roman"/>
                  <w:sz w:val="14"/>
                  <w:szCs w:val="14"/>
                  <w:color w:val="0000EE"/>
                  <w:w w:val="98"/>
                </w:rPr>
                <w:t xml:space="preserve">Guarantors named therein and U.S. Bank National Association, as Trustee, relating to the </w:t>
              </w:r>
              <w:r>
                <w:rPr>
                  <w:rFonts w:ascii="Times New Roman" w:cs="Times New Roman" w:eastAsia="Times New Roman" w:hAnsi="Times New Roman"/>
                  <w:sz w:val="14"/>
                  <w:szCs w:val="14"/>
                  <w:u w:val="single" w:color="auto"/>
                  <w:color w:val="0000EE"/>
                  <w:w w:val="98"/>
                </w:rPr>
                <w:t>$</w:t>
              </w:r>
              <w:r>
                <w:rPr>
                  <w:rFonts w:ascii="Times New Roman" w:cs="Times New Roman" w:eastAsia="Times New Roman" w:hAnsi="Times New Roman"/>
                  <w:sz w:val="14"/>
                  <w:szCs w:val="14"/>
                  <w:color w:val="0000EE"/>
                  <w:w w:val="98"/>
                </w:rPr>
                <w:t>400 million 4.25% Senior Unsecured Notes due</w:t>
              </w:r>
            </w:hyperlink>
          </w:p>
        </w:tc>
      </w:tr>
      <w:tr>
        <w:trPr>
          <w:trHeight w:val="144"/>
        </w:trPr>
        <w:tc>
          <w:tcPr>
            <w:tcW w:w="660" w:type="dxa"/>
            <w:vAlign w:val="bottom"/>
          </w:tcPr>
          <w:p>
            <w:pPr>
              <w:spacing w:after="0"/>
              <w:rPr>
                <w:sz w:val="12"/>
                <w:szCs w:val="12"/>
                <w:color w:val="auto"/>
              </w:rPr>
            </w:pPr>
          </w:p>
        </w:tc>
        <w:tc>
          <w:tcPr>
            <w:tcW w:w="7000" w:type="dxa"/>
            <w:vAlign w:val="bottom"/>
            <w:tcBorders>
              <w:top w:val="single" w:sz="8" w:color="0000EE"/>
              <w:bottom w:val="single" w:sz="8" w:color="0000EE"/>
            </w:tcBorders>
            <w:gridSpan w:val="15"/>
          </w:tcPr>
          <w:p>
            <w:pPr>
              <w:spacing w:after="0" w:line="145" w:lineRule="exact"/>
              <w:rPr>
                <w:rFonts w:ascii="Times New Roman" w:cs="Times New Roman" w:eastAsia="Times New Roman" w:hAnsi="Times New Roman"/>
                <w:sz w:val="14"/>
                <w:szCs w:val="14"/>
                <w:color w:val="0000EE"/>
                <w:w w:val="98"/>
              </w:rPr>
            </w:pPr>
            <w:hyperlink r:id="rId174">
              <w:r>
                <w:rPr>
                  <w:rFonts w:ascii="Times New Roman" w:cs="Times New Roman" w:eastAsia="Times New Roman" w:hAnsi="Times New Roman"/>
                  <w:sz w:val="14"/>
                  <w:szCs w:val="14"/>
                  <w:color w:val="0000EE"/>
                  <w:w w:val="98"/>
                </w:rPr>
                <w:t>2026 (incorporated by reference to Exhibit 4.2 of the Registrant’s Current Report on Form 8-K dated September 19, 2016 (File</w:t>
              </w:r>
            </w:hyperlink>
          </w:p>
        </w:tc>
        <w:tc>
          <w:tcPr>
            <w:tcW w:w="660" w:type="dxa"/>
            <w:vAlign w:val="bottom"/>
            <w:tcBorders>
              <w:top w:val="single" w:sz="8" w:color="0000EE"/>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32"/>
          </w:tcPr>
          <w:p>
            <w:pPr>
              <w:spacing w:after="0" w:line="145"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No. 000-50189)).</w:t>
              </w:r>
            </w:hyperlink>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180" w:type="dxa"/>
            <w:vAlign w:val="bottom"/>
            <w:gridSpan w:val="10"/>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4.p</w:t>
            </w:r>
          </w:p>
        </w:tc>
        <w:tc>
          <w:tcPr>
            <w:tcW w:w="7700" w:type="dxa"/>
            <w:vAlign w:val="bottom"/>
            <w:gridSpan w:val="32"/>
          </w:tcPr>
          <w:p>
            <w:pPr>
              <w:spacing w:after="0"/>
              <w:rPr>
                <w:rFonts w:ascii="Times New Roman" w:cs="Times New Roman" w:eastAsia="Times New Roman" w:hAnsi="Times New Roman"/>
                <w:sz w:val="14"/>
                <w:szCs w:val="14"/>
                <w:color w:val="0000EE"/>
              </w:rPr>
            </w:pPr>
            <w:hyperlink r:id="rId175">
              <w:r>
                <w:rPr>
                  <w:rFonts w:ascii="Times New Roman" w:cs="Times New Roman" w:eastAsia="Times New Roman" w:hAnsi="Times New Roman"/>
                  <w:sz w:val="14"/>
                  <w:szCs w:val="14"/>
                  <w:color w:val="0000EE"/>
                </w:rPr>
                <w:t>Form of 4.25% Senior Unsecured Notes due 2026 (included in Exhibit 4.s).</w:t>
              </w:r>
            </w:hyperlink>
          </w:p>
        </w:tc>
      </w:tr>
      <w:tr>
        <w:trPr>
          <w:trHeight w:val="20"/>
        </w:trPr>
        <w:tc>
          <w:tcPr>
            <w:tcW w:w="660" w:type="dxa"/>
            <w:vAlign w:val="bottom"/>
          </w:tcPr>
          <w:p>
            <w:pPr>
              <w:spacing w:after="0" w:line="20" w:lineRule="exact"/>
              <w:rPr>
                <w:sz w:val="1"/>
                <w:szCs w:val="1"/>
                <w:color w:val="auto"/>
              </w:rPr>
            </w:pPr>
          </w:p>
        </w:tc>
        <w:tc>
          <w:tcPr>
            <w:tcW w:w="4140" w:type="dxa"/>
            <w:vAlign w:val="bottom"/>
            <w:gridSpan w:val="11"/>
            <w:shd w:val="clear" w:color="auto" w:fill="0000EE"/>
          </w:tcPr>
          <w:p>
            <w:pPr>
              <w:spacing w:after="0" w:line="20" w:lineRule="exact"/>
              <w:rPr>
                <w:sz w:val="1"/>
                <w:szCs w:val="1"/>
                <w:color w:val="auto"/>
              </w:rPr>
            </w:pPr>
          </w:p>
        </w:tc>
        <w:tc>
          <w:tcPr>
            <w:tcW w:w="3440" w:type="dxa"/>
            <w:vAlign w:val="bottom"/>
            <w:gridSpan w:val="1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4.q</w:t>
            </w:r>
          </w:p>
        </w:tc>
        <w:tc>
          <w:tcPr>
            <w:tcW w:w="7700" w:type="dxa"/>
            <w:vAlign w:val="bottom"/>
            <w:tcBorders>
              <w:bottom w:val="single" w:sz="8" w:color="0000EE"/>
            </w:tcBorders>
            <w:gridSpan w:val="32"/>
          </w:tcPr>
          <w:p>
            <w:pPr>
              <w:spacing w:after="0"/>
              <w:rPr>
                <w:rFonts w:ascii="Times New Roman" w:cs="Times New Roman" w:eastAsia="Times New Roman" w:hAnsi="Times New Roman"/>
                <w:sz w:val="14"/>
                <w:szCs w:val="14"/>
                <w:color w:val="0000EE"/>
                <w:w w:val="98"/>
              </w:rPr>
            </w:pPr>
            <w:hyperlink r:id="rId173">
              <w:r>
                <w:rPr>
                  <w:rFonts w:ascii="Times New Roman" w:cs="Times New Roman" w:eastAsia="Times New Roman" w:hAnsi="Times New Roman"/>
                  <w:sz w:val="14"/>
                  <w:szCs w:val="14"/>
                  <w:color w:val="0000EE"/>
                  <w:w w:val="98"/>
                </w:rPr>
                <w:t>Indenture, dated as of January 26, 2018, by and among Crown European Holdings S.A., as Issuer, the Guarantors named therein, U.S. Bank</w:t>
              </w:r>
            </w:hyperlink>
          </w:p>
        </w:tc>
      </w:tr>
      <w:tr>
        <w:trPr>
          <w:trHeight w:val="144"/>
        </w:trPr>
        <w:tc>
          <w:tcPr>
            <w:tcW w:w="660" w:type="dxa"/>
            <w:vAlign w:val="bottom"/>
          </w:tcPr>
          <w:p>
            <w:pPr>
              <w:spacing w:after="0"/>
              <w:rPr>
                <w:sz w:val="12"/>
                <w:szCs w:val="12"/>
                <w:color w:val="auto"/>
              </w:rPr>
            </w:pPr>
          </w:p>
        </w:tc>
        <w:tc>
          <w:tcPr>
            <w:tcW w:w="7580" w:type="dxa"/>
            <w:vAlign w:val="bottom"/>
            <w:tcBorders>
              <w:bottom w:val="single" w:sz="8" w:color="0000EE"/>
            </w:tcBorders>
            <w:gridSpan w:val="27"/>
          </w:tcPr>
          <w:p>
            <w:pPr>
              <w:spacing w:after="0" w:line="145" w:lineRule="exact"/>
              <w:rPr>
                <w:rFonts w:ascii="Times New Roman" w:cs="Times New Roman" w:eastAsia="Times New Roman" w:hAnsi="Times New Roman"/>
                <w:sz w:val="14"/>
                <w:szCs w:val="14"/>
                <w:color w:val="0000EE"/>
                <w:w w:val="98"/>
              </w:rPr>
            </w:pPr>
            <w:hyperlink r:id="rId173">
              <w:r>
                <w:rPr>
                  <w:rFonts w:ascii="Times New Roman" w:cs="Times New Roman" w:eastAsia="Times New Roman" w:hAnsi="Times New Roman"/>
                  <w:sz w:val="14"/>
                  <w:szCs w:val="14"/>
                  <w:color w:val="0000EE"/>
                  <w:w w:val="98"/>
                </w:rPr>
                <w:t xml:space="preserve">National Association, as Trustee, and the other parties thereto, relating to the </w:t>
              </w:r>
              <w:r>
                <w:rPr>
                  <w:rFonts w:ascii="Times New Roman" w:cs="Times New Roman" w:eastAsia="Times New Roman" w:hAnsi="Times New Roman"/>
                  <w:sz w:val="14"/>
                  <w:szCs w:val="14"/>
                  <w:u w:val="single" w:color="auto"/>
                  <w:color w:val="0000EE"/>
                  <w:w w:val="98"/>
                </w:rPr>
                <w:t>€</w:t>
              </w:r>
              <w:r>
                <w:rPr>
                  <w:rFonts w:ascii="Times New Roman" w:cs="Times New Roman" w:eastAsia="Times New Roman" w:hAnsi="Times New Roman"/>
                  <w:sz w:val="14"/>
                  <w:szCs w:val="14"/>
                  <w:color w:val="0000EE"/>
                  <w:w w:val="98"/>
                </w:rPr>
                <w:t>335 million 2.250% Senior Unsecured Notes due 2023 and</w:t>
              </w:r>
            </w:hyperlink>
          </w:p>
        </w:tc>
        <w:tc>
          <w:tcPr>
            <w:tcW w:w="120" w:type="dxa"/>
            <w:vAlign w:val="bottom"/>
            <w:gridSpan w:val="5"/>
          </w:tcPr>
          <w:p>
            <w:pPr>
              <w:spacing w:after="0"/>
              <w:rPr>
                <w:sz w:val="12"/>
                <w:szCs w:val="12"/>
                <w:color w:val="auto"/>
              </w:rPr>
            </w:pPr>
          </w:p>
        </w:tc>
      </w:tr>
    </w:tbl>
    <w:p>
      <w:pPr>
        <w:spacing w:after="0" w:line="8" w:lineRule="exact"/>
        <w:rPr>
          <w:sz w:val="20"/>
          <w:szCs w:val="20"/>
          <w:color w:val="auto"/>
        </w:rPr>
      </w:pPr>
    </w:p>
    <w:p>
      <w:pPr>
        <w:ind w:left="2120" w:right="379"/>
        <w:spacing w:after="0" w:line="267" w:lineRule="auto"/>
        <w:rPr>
          <w:rFonts w:ascii="Times New Roman" w:cs="Times New Roman" w:eastAsia="Times New Roman" w:hAnsi="Times New Roman"/>
          <w:sz w:val="14"/>
          <w:szCs w:val="14"/>
          <w:u w:val="single" w:color="auto"/>
          <w:color w:val="0000EE"/>
        </w:rPr>
      </w:pPr>
      <w:hyperlink r:id="rId173">
        <w:r>
          <w:rPr>
            <w:rFonts w:ascii="Times New Roman" w:cs="Times New Roman" w:eastAsia="Times New Roman" w:hAnsi="Times New Roman"/>
            <w:sz w:val="14"/>
            <w:szCs w:val="14"/>
            <w:u w:val="single" w:color="auto"/>
            <w:color w:val="0000EE"/>
          </w:rPr>
          <w:t>the €500 million 2.875% Senior Unsecured Notes due 2026 (incorporated by reference to Exhibit 4.1 of the Registrant’s Current Report on</w:t>
        </w:r>
      </w:hyperlink>
      <w:r>
        <w:rPr>
          <w:rFonts w:ascii="Times New Roman" w:cs="Times New Roman" w:eastAsia="Times New Roman" w:hAnsi="Times New Roman"/>
          <w:sz w:val="14"/>
          <w:szCs w:val="14"/>
          <w:u w:val="single" w:color="auto"/>
          <w:color w:val="0000EE"/>
        </w:rPr>
        <w:t xml:space="preserve"> </w:t>
      </w:r>
      <w:hyperlink r:id="rId173">
        <w:r>
          <w:rPr>
            <w:rFonts w:ascii="Times New Roman" w:cs="Times New Roman" w:eastAsia="Times New Roman" w:hAnsi="Times New Roman"/>
            <w:sz w:val="14"/>
            <w:szCs w:val="14"/>
            <w:u w:val="single" w:color="auto"/>
            <w:color w:val="0000EE"/>
          </w:rPr>
          <w:t>Form 8-K dated February 1, 2018 (File No. 000-50189)).</w:t>
        </w:r>
      </w:hyperlink>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0"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29"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4.r</w:t>
            </w:r>
          </w:p>
        </w:tc>
        <w:tc>
          <w:tcPr>
            <w:tcW w:w="744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8"/>
              </w:rPr>
            </w:pPr>
            <w:hyperlink r:id="rId177">
              <w:r>
                <w:rPr>
                  <w:rFonts w:ascii="Times New Roman" w:cs="Times New Roman" w:eastAsia="Times New Roman" w:hAnsi="Times New Roman"/>
                  <w:sz w:val="14"/>
                  <w:szCs w:val="14"/>
                  <w:color w:val="0000EE"/>
                  <w:w w:val="98"/>
                </w:rPr>
                <w:t>Indenture, dated as of May 18, 2023, among Crown European Holdings S.A., Crown Holdings, Inc., the other guarantors party thereto,</w:t>
              </w:r>
            </w:hyperlink>
          </w:p>
        </w:tc>
        <w:tc>
          <w:tcPr>
            <w:tcW w:w="260" w:type="dxa"/>
            <w:vAlign w:val="bottom"/>
            <w:gridSpan w:val="8"/>
          </w:tcPr>
          <w:p>
            <w:pPr>
              <w:spacing w:after="0"/>
              <w:rPr>
                <w:sz w:val="13"/>
                <w:szCs w:val="13"/>
                <w:color w:val="auto"/>
              </w:rPr>
            </w:pPr>
          </w:p>
        </w:tc>
      </w:tr>
      <w:tr>
        <w:trPr>
          <w:trHeight w:val="144"/>
        </w:trPr>
        <w:tc>
          <w:tcPr>
            <w:tcW w:w="660" w:type="dxa"/>
            <w:vAlign w:val="bottom"/>
          </w:tcPr>
          <w:p>
            <w:pPr>
              <w:spacing w:after="0"/>
              <w:rPr>
                <w:sz w:val="12"/>
                <w:szCs w:val="12"/>
                <w:color w:val="auto"/>
              </w:rPr>
            </w:pPr>
          </w:p>
        </w:tc>
        <w:tc>
          <w:tcPr>
            <w:tcW w:w="7520" w:type="dxa"/>
            <w:vAlign w:val="bottom"/>
            <w:tcBorders>
              <w:bottom w:val="single" w:sz="8" w:color="0000EE"/>
            </w:tcBorders>
            <w:gridSpan w:val="20"/>
          </w:tcPr>
          <w:p>
            <w:pPr>
              <w:spacing w:after="0" w:line="145" w:lineRule="exact"/>
              <w:rPr>
                <w:rFonts w:ascii="Times New Roman" w:cs="Times New Roman" w:eastAsia="Times New Roman" w:hAnsi="Times New Roman"/>
                <w:sz w:val="14"/>
                <w:szCs w:val="14"/>
                <w:color w:val="0000EE"/>
                <w:w w:val="97"/>
              </w:rPr>
            </w:pPr>
            <w:hyperlink r:id="rId177">
              <w:r>
                <w:rPr>
                  <w:rFonts w:ascii="Times New Roman" w:cs="Times New Roman" w:eastAsia="Times New Roman" w:hAnsi="Times New Roman"/>
                  <w:sz w:val="14"/>
                  <w:szCs w:val="14"/>
                  <w:color w:val="0000EE"/>
                  <w:w w:val="97"/>
                </w:rPr>
                <w:t>BNP Paribas, as representative of the several initial purchases party thereto, U.S. Bank Trust Company, National Association, as Trustee,</w:t>
              </w:r>
            </w:hyperlink>
          </w:p>
        </w:tc>
        <w:tc>
          <w:tcPr>
            <w:tcW w:w="180" w:type="dxa"/>
            <w:vAlign w:val="bottom"/>
            <w:gridSpan w:val="5"/>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25"/>
          </w:tcPr>
          <w:p>
            <w:pPr>
              <w:spacing w:after="0" w:line="145" w:lineRule="exact"/>
              <w:rPr>
                <w:rFonts w:ascii="Times New Roman" w:cs="Times New Roman" w:eastAsia="Times New Roman" w:hAnsi="Times New Roman"/>
                <w:sz w:val="14"/>
                <w:szCs w:val="14"/>
                <w:color w:val="0000EE"/>
              </w:rPr>
            </w:pPr>
            <w:hyperlink r:id="rId177">
              <w:r>
                <w:rPr>
                  <w:rFonts w:ascii="Times New Roman" w:cs="Times New Roman" w:eastAsia="Times New Roman" w:hAnsi="Times New Roman"/>
                  <w:sz w:val="14"/>
                  <w:szCs w:val="14"/>
                  <w:color w:val="0000EE"/>
                </w:rPr>
                <w:t>Elavon Financial Services DAC, as paying agent, registrar</w:t>
              </w:r>
              <w:r>
                <w:rPr>
                  <w:rFonts w:ascii="Times New Roman" w:cs="Times New Roman" w:eastAsia="Times New Roman" w:hAnsi="Times New Roman"/>
                  <w:sz w:val="14"/>
                  <w:szCs w:val="14"/>
                  <w:color w:val="000000"/>
                </w:rPr>
                <w:t>.</w:t>
              </w:r>
            </w:hyperlink>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4.s</w:t>
            </w:r>
          </w:p>
        </w:tc>
        <w:tc>
          <w:tcPr>
            <w:tcW w:w="73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175">
              <w:r>
                <w:rPr>
                  <w:rFonts w:ascii="Times New Roman" w:cs="Times New Roman" w:eastAsia="Times New Roman" w:hAnsi="Times New Roman"/>
                  <w:sz w:val="14"/>
                  <w:szCs w:val="14"/>
                  <w:color w:val="0000EE"/>
                  <w:w w:val="98"/>
                </w:rPr>
                <w:t>Indenture, dated as of December 11, 2023, among Crown European Holdings S.A., Crown Holdings, Inc., the other guarantors party</w:t>
              </w:r>
            </w:hyperlink>
          </w:p>
        </w:tc>
        <w:tc>
          <w:tcPr>
            <w:tcW w:w="400" w:type="dxa"/>
            <w:vAlign w:val="bottom"/>
            <w:gridSpan w:val="13"/>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540" w:type="dxa"/>
            <w:vAlign w:val="bottom"/>
            <w:tcBorders>
              <w:bottom w:val="single" w:sz="8" w:color="0000EE"/>
            </w:tcBorders>
            <w:gridSpan w:val="21"/>
          </w:tcPr>
          <w:p>
            <w:pPr>
              <w:spacing w:after="0" w:line="145" w:lineRule="exact"/>
              <w:rPr>
                <w:rFonts w:ascii="Times New Roman" w:cs="Times New Roman" w:eastAsia="Times New Roman" w:hAnsi="Times New Roman"/>
                <w:sz w:val="14"/>
                <w:szCs w:val="14"/>
                <w:color w:val="0000EE"/>
                <w:w w:val="97"/>
              </w:rPr>
            </w:pPr>
            <w:hyperlink r:id="rId175">
              <w:r>
                <w:rPr>
                  <w:rFonts w:ascii="Times New Roman" w:cs="Times New Roman" w:eastAsia="Times New Roman" w:hAnsi="Times New Roman"/>
                  <w:sz w:val="14"/>
                  <w:szCs w:val="14"/>
                  <w:color w:val="0000EE"/>
                  <w:w w:val="97"/>
                </w:rPr>
                <w:t>thereto, BNP Paribas, as representative of the several initial purchasers party thereto, U.S. Bank Trust Company, National Association, as</w:t>
              </w:r>
            </w:hyperlink>
          </w:p>
        </w:tc>
        <w:tc>
          <w:tcPr>
            <w:tcW w:w="160" w:type="dxa"/>
            <w:vAlign w:val="bottom"/>
            <w:gridSpan w:val="4"/>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140" w:type="dxa"/>
            <w:vAlign w:val="bottom"/>
            <w:tcBorders>
              <w:bottom w:val="single" w:sz="8" w:color="0000EE"/>
            </w:tcBorders>
            <w:gridSpan w:val="9"/>
          </w:tcPr>
          <w:p>
            <w:pPr>
              <w:spacing w:after="0" w:line="145" w:lineRule="exact"/>
              <w:rPr>
                <w:rFonts w:ascii="Times New Roman" w:cs="Times New Roman" w:eastAsia="Times New Roman" w:hAnsi="Times New Roman"/>
                <w:sz w:val="14"/>
                <w:szCs w:val="14"/>
                <w:color w:val="0000EE"/>
                <w:w w:val="97"/>
              </w:rPr>
            </w:pPr>
            <w:hyperlink r:id="rId175">
              <w:r>
                <w:rPr>
                  <w:rFonts w:ascii="Times New Roman" w:cs="Times New Roman" w:eastAsia="Times New Roman" w:hAnsi="Times New Roman"/>
                  <w:sz w:val="14"/>
                  <w:szCs w:val="14"/>
                  <w:color w:val="0000EE"/>
                  <w:w w:val="97"/>
                </w:rPr>
                <w:t xml:space="preserve">Trustee, Elavon Financial Services DAC, as paying agent, registrar and transfer agent, relating to the </w:t>
              </w:r>
              <w:r>
                <w:rPr>
                  <w:rFonts w:ascii="Times New Roman" w:cs="Times New Roman" w:eastAsia="Times New Roman" w:hAnsi="Times New Roman"/>
                  <w:sz w:val="14"/>
                  <w:szCs w:val="14"/>
                  <w:u w:val="single" w:color="auto"/>
                  <w:color w:val="0000EE"/>
                  <w:w w:val="97"/>
                </w:rPr>
                <w:t>€</w:t>
              </w:r>
              <w:r>
                <w:rPr>
                  <w:rFonts w:ascii="Times New Roman" w:cs="Times New Roman" w:eastAsia="Times New Roman" w:hAnsi="Times New Roman"/>
                  <w:sz w:val="14"/>
                  <w:szCs w:val="14"/>
                  <w:color w:val="0000EE"/>
                  <w:w w:val="97"/>
                </w:rPr>
                <w:t>500,000,000 4.750% senior</w:t>
              </w:r>
            </w:hyperlink>
          </w:p>
        </w:tc>
        <w:tc>
          <w:tcPr>
            <w:tcW w:w="560" w:type="dxa"/>
            <w:vAlign w:val="bottom"/>
            <w:gridSpan w:val="16"/>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460" w:type="dxa"/>
            <w:vAlign w:val="bottom"/>
            <w:tcBorders>
              <w:bottom w:val="single" w:sz="8" w:color="0000EE"/>
            </w:tcBorders>
            <w:gridSpan w:val="18"/>
          </w:tcPr>
          <w:p>
            <w:pPr>
              <w:spacing w:after="0" w:line="145" w:lineRule="exact"/>
              <w:rPr>
                <w:rFonts w:ascii="Times New Roman" w:cs="Times New Roman" w:eastAsia="Times New Roman" w:hAnsi="Times New Roman"/>
                <w:sz w:val="14"/>
                <w:szCs w:val="14"/>
                <w:color w:val="0000EE"/>
                <w:w w:val="97"/>
              </w:rPr>
            </w:pPr>
            <w:hyperlink r:id="rId175">
              <w:r>
                <w:rPr>
                  <w:rFonts w:ascii="Times New Roman" w:cs="Times New Roman" w:eastAsia="Times New Roman" w:hAnsi="Times New Roman"/>
                  <w:sz w:val="14"/>
                  <w:szCs w:val="14"/>
                  <w:color w:val="0000EE"/>
                  <w:w w:val="97"/>
                </w:rPr>
                <w:t>unsecured notes due 2029 (incorporated by reference to Exhibit 4.1 of the Registrant’s Current Report on Form 8-K December 12, 2023</w:t>
              </w:r>
            </w:hyperlink>
          </w:p>
        </w:tc>
        <w:tc>
          <w:tcPr>
            <w:tcW w:w="240" w:type="dxa"/>
            <w:vAlign w:val="bottom"/>
            <w:gridSpan w:val="7"/>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1260" w:type="dxa"/>
            <w:vAlign w:val="bottom"/>
            <w:tcBorders>
              <w:bottom w:val="single" w:sz="8" w:color="0000EE"/>
            </w:tcBorders>
          </w:tcPr>
          <w:p>
            <w:pPr>
              <w:spacing w:after="0" w:line="145" w:lineRule="exact"/>
              <w:rPr>
                <w:rFonts w:ascii="Times New Roman" w:cs="Times New Roman" w:eastAsia="Times New Roman" w:hAnsi="Times New Roman"/>
                <w:sz w:val="14"/>
                <w:szCs w:val="14"/>
                <w:color w:val="0000EE"/>
                <w:w w:val="97"/>
              </w:rPr>
            </w:pPr>
            <w:hyperlink r:id="rId175">
              <w:r>
                <w:rPr>
                  <w:rFonts w:ascii="Times New Roman" w:cs="Times New Roman" w:eastAsia="Times New Roman" w:hAnsi="Times New Roman"/>
                  <w:sz w:val="14"/>
                  <w:szCs w:val="14"/>
                  <w:color w:val="0000EE"/>
                  <w:w w:val="97"/>
                </w:rPr>
                <w:t>(File No. 000-50189)).</w:t>
              </w:r>
            </w:hyperlink>
          </w:p>
        </w:tc>
        <w:tc>
          <w:tcPr>
            <w:tcW w:w="6440" w:type="dxa"/>
            <w:vAlign w:val="bottom"/>
            <w:gridSpan w:val="24"/>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4.t</w:t>
            </w:r>
          </w:p>
        </w:tc>
        <w:tc>
          <w:tcPr>
            <w:tcW w:w="7700" w:type="dxa"/>
            <w:vAlign w:val="bottom"/>
            <w:gridSpan w:val="25"/>
          </w:tcPr>
          <w:p>
            <w:pPr>
              <w:spacing w:after="0"/>
              <w:rPr>
                <w:rFonts w:ascii="Times New Roman" w:cs="Times New Roman" w:eastAsia="Times New Roman" w:hAnsi="Times New Roman"/>
                <w:sz w:val="14"/>
                <w:szCs w:val="14"/>
                <w:color w:val="0000EE"/>
                <w:w w:val="99"/>
              </w:rPr>
            </w:pPr>
            <w:hyperlink r:id="rId178">
              <w:r>
                <w:rPr>
                  <w:rFonts w:ascii="Times New Roman" w:cs="Times New Roman" w:eastAsia="Times New Roman" w:hAnsi="Times New Roman"/>
                  <w:sz w:val="14"/>
                  <w:szCs w:val="14"/>
                  <w:color w:val="0000EE"/>
                  <w:w w:val="99"/>
                </w:rPr>
                <w:t>Indenture, dated August 8, 2024, among the Issuer, the Company, the other guarantors party thereto, BNP Paribas, as representative of the</w:t>
              </w:r>
            </w:hyperlink>
          </w:p>
        </w:tc>
      </w:tr>
      <w:tr>
        <w:trPr>
          <w:trHeight w:val="144"/>
        </w:trPr>
        <w:tc>
          <w:tcPr>
            <w:tcW w:w="660" w:type="dxa"/>
            <w:vAlign w:val="bottom"/>
          </w:tcPr>
          <w:p>
            <w:pPr>
              <w:spacing w:after="0"/>
              <w:rPr>
                <w:sz w:val="12"/>
                <w:szCs w:val="12"/>
                <w:color w:val="auto"/>
              </w:rPr>
            </w:pPr>
          </w:p>
        </w:tc>
        <w:tc>
          <w:tcPr>
            <w:tcW w:w="7600" w:type="dxa"/>
            <w:vAlign w:val="bottom"/>
            <w:tcBorders>
              <w:top w:val="single" w:sz="8" w:color="0000EE"/>
            </w:tcBorders>
            <w:gridSpan w:val="22"/>
          </w:tcPr>
          <w:p>
            <w:pPr>
              <w:spacing w:after="0" w:line="145" w:lineRule="exact"/>
              <w:rPr>
                <w:rFonts w:ascii="Times New Roman" w:cs="Times New Roman" w:eastAsia="Times New Roman" w:hAnsi="Times New Roman"/>
                <w:sz w:val="14"/>
                <w:szCs w:val="14"/>
                <w:color w:val="0000EE"/>
                <w:w w:val="99"/>
              </w:rPr>
            </w:pPr>
            <w:hyperlink r:id="rId178">
              <w:r>
                <w:rPr>
                  <w:rFonts w:ascii="Times New Roman" w:cs="Times New Roman" w:eastAsia="Times New Roman" w:hAnsi="Times New Roman"/>
                  <w:sz w:val="14"/>
                  <w:szCs w:val="14"/>
                  <w:color w:val="0000EE"/>
                  <w:w w:val="99"/>
                </w:rPr>
                <w:t>several initial purchasers party thereto, U.S. Bank Trust Company, National Association, as Trustee, Elavon Financial Services DAC, as</w:t>
              </w:r>
            </w:hyperlink>
          </w:p>
        </w:tc>
        <w:tc>
          <w:tcPr>
            <w:tcW w:w="100" w:type="dxa"/>
            <w:vAlign w:val="bottom"/>
            <w:gridSpan w:val="3"/>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640" w:type="dxa"/>
            <w:vAlign w:val="bottom"/>
            <w:tcBorders>
              <w:bottom w:val="single" w:sz="8" w:color="0000EE"/>
            </w:tcBorders>
            <w:gridSpan w:val="24"/>
          </w:tcPr>
          <w:p>
            <w:pPr>
              <w:spacing w:after="0" w:line="145" w:lineRule="exact"/>
              <w:rPr>
                <w:rFonts w:ascii="Times New Roman" w:cs="Times New Roman" w:eastAsia="Times New Roman" w:hAnsi="Times New Roman"/>
                <w:sz w:val="14"/>
                <w:szCs w:val="14"/>
                <w:color w:val="0000EE"/>
                <w:w w:val="97"/>
              </w:rPr>
            </w:pPr>
            <w:hyperlink r:id="rId178">
              <w:r>
                <w:rPr>
                  <w:rFonts w:ascii="Times New Roman" w:cs="Times New Roman" w:eastAsia="Times New Roman" w:hAnsi="Times New Roman"/>
                  <w:sz w:val="14"/>
                  <w:szCs w:val="14"/>
                  <w:color w:val="0000EE"/>
                  <w:w w:val="97"/>
                </w:rPr>
                <w:t xml:space="preserve">paying agent, registrar and transfer agent, relating to the </w:t>
              </w:r>
              <w:r>
                <w:rPr>
                  <w:rFonts w:ascii="Times New Roman" w:cs="Times New Roman" w:eastAsia="Times New Roman" w:hAnsi="Times New Roman"/>
                  <w:sz w:val="14"/>
                  <w:szCs w:val="14"/>
                  <w:u w:val="single" w:color="auto"/>
                  <w:color w:val="0000EE"/>
                  <w:w w:val="97"/>
                </w:rPr>
                <w:t>€</w:t>
              </w:r>
              <w:r>
                <w:rPr>
                  <w:rFonts w:ascii="Times New Roman" w:cs="Times New Roman" w:eastAsia="Times New Roman" w:hAnsi="Times New Roman"/>
                  <w:sz w:val="14"/>
                  <w:szCs w:val="14"/>
                  <w:color w:val="0000EE"/>
                  <w:w w:val="97"/>
                </w:rPr>
                <w:t>600,000,000 4.500% senior unsecured notes due 2030 (incorporated by reference</w:t>
              </w:r>
            </w:hyperlink>
          </w:p>
        </w:tc>
        <w:tc>
          <w:tcPr>
            <w:tcW w:w="6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5900" w:type="dxa"/>
            <w:vAlign w:val="bottom"/>
            <w:tcBorders>
              <w:bottom w:val="single" w:sz="8" w:color="0000EE"/>
            </w:tcBorders>
            <w:gridSpan w:val="7"/>
          </w:tcPr>
          <w:p>
            <w:pPr>
              <w:spacing w:after="0" w:line="145" w:lineRule="exact"/>
              <w:rPr>
                <w:rFonts w:ascii="Times New Roman" w:cs="Times New Roman" w:eastAsia="Times New Roman" w:hAnsi="Times New Roman"/>
                <w:sz w:val="14"/>
                <w:szCs w:val="14"/>
                <w:color w:val="0000EE"/>
                <w:w w:val="97"/>
              </w:rPr>
            </w:pPr>
            <w:hyperlink r:id="rId178">
              <w:r>
                <w:rPr>
                  <w:rFonts w:ascii="Times New Roman" w:cs="Times New Roman" w:eastAsia="Times New Roman" w:hAnsi="Times New Roman"/>
                  <w:sz w:val="14"/>
                  <w:szCs w:val="14"/>
                  <w:color w:val="0000EE"/>
                  <w:w w:val="97"/>
                </w:rPr>
                <w:t>to Exhibit 4.1 of the Registrant’s Current Report on Form 8-K dated August 8, 2024 (File No. 001-41550)).</w:t>
              </w:r>
            </w:hyperlink>
          </w:p>
        </w:tc>
        <w:tc>
          <w:tcPr>
            <w:tcW w:w="1800" w:type="dxa"/>
            <w:vAlign w:val="bottom"/>
            <w:gridSpan w:val="18"/>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4.u</w:t>
            </w:r>
          </w:p>
        </w:tc>
        <w:tc>
          <w:tcPr>
            <w:tcW w:w="75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7"/>
              </w:rPr>
            </w:pPr>
            <w:hyperlink r:id="rId179">
              <w:r>
                <w:rPr>
                  <w:rFonts w:ascii="Times New Roman" w:cs="Times New Roman" w:eastAsia="Times New Roman" w:hAnsi="Times New Roman"/>
                  <w:sz w:val="14"/>
                  <w:szCs w:val="14"/>
                  <w:color w:val="0000EE"/>
                  <w:w w:val="97"/>
                </w:rPr>
                <w:t>Indenture, dated as of May 27, 2025, among the Issuer, the Company, the other guarantors party thereto, and U.S. Bank Trust Company,</w:t>
              </w:r>
            </w:hyperlink>
          </w:p>
        </w:tc>
        <w:tc>
          <w:tcPr>
            <w:tcW w:w="200" w:type="dxa"/>
            <w:vAlign w:val="bottom"/>
            <w:gridSpan w:val="6"/>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700" w:type="dxa"/>
            <w:vAlign w:val="bottom"/>
            <w:gridSpan w:val="25"/>
          </w:tcPr>
          <w:p>
            <w:pPr>
              <w:spacing w:after="0" w:line="145" w:lineRule="exact"/>
              <w:rPr>
                <w:rFonts w:ascii="Times New Roman" w:cs="Times New Roman" w:eastAsia="Times New Roman" w:hAnsi="Times New Roman"/>
                <w:sz w:val="14"/>
                <w:szCs w:val="14"/>
                <w:color w:val="0000EE"/>
              </w:rPr>
            </w:pPr>
            <w:hyperlink r:id="rId179">
              <w:r>
                <w:rPr>
                  <w:rFonts w:ascii="Times New Roman" w:cs="Times New Roman" w:eastAsia="Times New Roman" w:hAnsi="Times New Roman"/>
                  <w:sz w:val="14"/>
                  <w:szCs w:val="14"/>
                  <w:color w:val="0000EE"/>
                </w:rPr>
                <w:t xml:space="preserve">National Association, as Trustee, relating to the </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700,000,000 5.875% senior unsecured notes due 2033 (incorporated by reference to</w:t>
              </w:r>
            </w:hyperlink>
          </w:p>
        </w:tc>
      </w:tr>
      <w:tr>
        <w:trPr>
          <w:trHeight w:val="144"/>
        </w:trPr>
        <w:tc>
          <w:tcPr>
            <w:tcW w:w="660" w:type="dxa"/>
            <w:vAlign w:val="bottom"/>
          </w:tcPr>
          <w:p>
            <w:pPr>
              <w:spacing w:after="0"/>
              <w:rPr>
                <w:sz w:val="12"/>
                <w:szCs w:val="12"/>
                <w:color w:val="auto"/>
              </w:rPr>
            </w:pPr>
          </w:p>
        </w:tc>
        <w:tc>
          <w:tcPr>
            <w:tcW w:w="5640" w:type="dxa"/>
            <w:vAlign w:val="bottom"/>
            <w:tcBorders>
              <w:top w:val="single" w:sz="8" w:color="0000EE"/>
              <w:bottom w:val="single" w:sz="8" w:color="0000EE"/>
            </w:tcBorders>
            <w:gridSpan w:val="5"/>
          </w:tcPr>
          <w:p>
            <w:pPr>
              <w:spacing w:after="0" w:line="145" w:lineRule="exact"/>
              <w:rPr>
                <w:rFonts w:ascii="Times New Roman" w:cs="Times New Roman" w:eastAsia="Times New Roman" w:hAnsi="Times New Roman"/>
                <w:sz w:val="14"/>
                <w:szCs w:val="14"/>
                <w:color w:val="0000EE"/>
                <w:w w:val="97"/>
              </w:rPr>
            </w:pPr>
            <w:hyperlink r:id="rId179">
              <w:r>
                <w:rPr>
                  <w:rFonts w:ascii="Times New Roman" w:cs="Times New Roman" w:eastAsia="Times New Roman" w:hAnsi="Times New Roman"/>
                  <w:sz w:val="14"/>
                  <w:szCs w:val="14"/>
                  <w:color w:val="0000EE"/>
                  <w:w w:val="97"/>
                </w:rPr>
                <w:t>Exhibit 4.1 of the Registrant’s Current Report on Form 8-K dated May 28, 2025 (File No. 001-41550).</w:t>
              </w:r>
            </w:hyperlink>
          </w:p>
        </w:tc>
        <w:tc>
          <w:tcPr>
            <w:tcW w:w="1660" w:type="dxa"/>
            <w:vAlign w:val="bottom"/>
            <w:tcBorders>
              <w:top w:val="single" w:sz="8" w:color="0000EE"/>
            </w:tcBorders>
            <w:gridSpan w:val="7"/>
          </w:tcPr>
          <w:p>
            <w:pPr>
              <w:spacing w:after="0"/>
              <w:rPr>
                <w:sz w:val="12"/>
                <w:szCs w:val="12"/>
                <w:color w:val="auto"/>
              </w:rPr>
            </w:pPr>
          </w:p>
        </w:tc>
        <w:tc>
          <w:tcPr>
            <w:tcW w:w="400" w:type="dxa"/>
            <w:vAlign w:val="bottom"/>
            <w:gridSpan w:val="13"/>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4.v</w:t>
            </w:r>
          </w:p>
        </w:tc>
        <w:tc>
          <w:tcPr>
            <w:tcW w:w="762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7"/>
              </w:rPr>
            </w:pPr>
            <w:hyperlink r:id="rId180">
              <w:r>
                <w:rPr>
                  <w:rFonts w:ascii="Times New Roman" w:cs="Times New Roman" w:eastAsia="Times New Roman" w:hAnsi="Times New Roman"/>
                  <w:sz w:val="14"/>
                  <w:szCs w:val="14"/>
                  <w:color w:val="0000EE"/>
                  <w:w w:val="97"/>
                </w:rPr>
                <w:t>Indenture, dated October 6, 2025, among the Issuer, the Company, the other guarantors party thereto, BNP PARIBAS, as representative of</w:t>
              </w:r>
            </w:hyperlink>
          </w:p>
        </w:tc>
        <w:tc>
          <w:tcPr>
            <w:tcW w:w="80" w:type="dxa"/>
            <w:vAlign w:val="bottom"/>
            <w:gridSpan w:val="2"/>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640" w:type="dxa"/>
            <w:vAlign w:val="bottom"/>
            <w:tcBorders>
              <w:bottom w:val="single" w:sz="8" w:color="0000EE"/>
            </w:tcBorders>
            <w:gridSpan w:val="24"/>
          </w:tcPr>
          <w:p>
            <w:pPr>
              <w:spacing w:after="0" w:line="145" w:lineRule="exact"/>
              <w:rPr>
                <w:rFonts w:ascii="Times New Roman" w:cs="Times New Roman" w:eastAsia="Times New Roman" w:hAnsi="Times New Roman"/>
                <w:sz w:val="14"/>
                <w:szCs w:val="14"/>
                <w:color w:val="0000EE"/>
                <w:w w:val="97"/>
              </w:rPr>
            </w:pPr>
            <w:hyperlink r:id="rId180">
              <w:r>
                <w:rPr>
                  <w:rFonts w:ascii="Times New Roman" w:cs="Times New Roman" w:eastAsia="Times New Roman" w:hAnsi="Times New Roman"/>
                  <w:sz w:val="14"/>
                  <w:szCs w:val="14"/>
                  <w:color w:val="0000EE"/>
                  <w:w w:val="97"/>
                </w:rPr>
                <w:t>the several initial purchasers party thereto, U.S. Bank Trust Company, National Association, as Trustee, U.S. Bank Europe DAC, as paying</w:t>
              </w:r>
            </w:hyperlink>
          </w:p>
        </w:tc>
        <w:tc>
          <w:tcPr>
            <w:tcW w:w="6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380" w:type="dxa"/>
            <w:vAlign w:val="bottom"/>
            <w:tcBorders>
              <w:bottom w:val="single" w:sz="8" w:color="0000EE"/>
            </w:tcBorders>
            <w:gridSpan w:val="14"/>
          </w:tcPr>
          <w:p>
            <w:pPr>
              <w:spacing w:after="0" w:line="145" w:lineRule="exact"/>
              <w:rPr>
                <w:rFonts w:ascii="Times New Roman" w:cs="Times New Roman" w:eastAsia="Times New Roman" w:hAnsi="Times New Roman"/>
                <w:sz w:val="14"/>
                <w:szCs w:val="14"/>
                <w:color w:val="0000EE"/>
                <w:w w:val="97"/>
              </w:rPr>
            </w:pPr>
            <w:hyperlink r:id="rId180">
              <w:r>
                <w:rPr>
                  <w:rFonts w:ascii="Times New Roman" w:cs="Times New Roman" w:eastAsia="Times New Roman" w:hAnsi="Times New Roman"/>
                  <w:sz w:val="14"/>
                  <w:szCs w:val="14"/>
                  <w:color w:val="0000EE"/>
                  <w:w w:val="97"/>
                </w:rPr>
                <w:t xml:space="preserve">agent, registrar and transfer agent, relating to the </w:t>
              </w:r>
              <w:r>
                <w:rPr>
                  <w:rFonts w:ascii="Times New Roman" w:cs="Times New Roman" w:eastAsia="Times New Roman" w:hAnsi="Times New Roman"/>
                  <w:sz w:val="14"/>
                  <w:szCs w:val="14"/>
                  <w:u w:val="single" w:color="auto"/>
                  <w:color w:val="0000EE"/>
                  <w:w w:val="97"/>
                </w:rPr>
                <w:t>€</w:t>
              </w:r>
              <w:r>
                <w:rPr>
                  <w:rFonts w:ascii="Times New Roman" w:cs="Times New Roman" w:eastAsia="Times New Roman" w:hAnsi="Times New Roman"/>
                  <w:sz w:val="14"/>
                  <w:szCs w:val="14"/>
                  <w:color w:val="0000EE"/>
                  <w:w w:val="97"/>
                </w:rPr>
                <w:t>500,000,000 3.750% senior unsecured notes due 2031 (incorporated by reference to</w:t>
              </w:r>
            </w:hyperlink>
          </w:p>
        </w:tc>
        <w:tc>
          <w:tcPr>
            <w:tcW w:w="320" w:type="dxa"/>
            <w:vAlign w:val="bottom"/>
            <w:gridSpan w:val="11"/>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5800" w:type="dxa"/>
            <w:vAlign w:val="bottom"/>
            <w:tcBorders>
              <w:bottom w:val="single" w:sz="8" w:color="0000EE"/>
            </w:tcBorders>
            <w:gridSpan w:val="6"/>
          </w:tcPr>
          <w:p>
            <w:pPr>
              <w:spacing w:after="0" w:line="145" w:lineRule="exact"/>
              <w:rPr>
                <w:rFonts w:ascii="Times New Roman" w:cs="Times New Roman" w:eastAsia="Times New Roman" w:hAnsi="Times New Roman"/>
                <w:sz w:val="14"/>
                <w:szCs w:val="14"/>
                <w:color w:val="0000EE"/>
                <w:w w:val="97"/>
              </w:rPr>
            </w:pPr>
            <w:hyperlink r:id="rId180">
              <w:r>
                <w:rPr>
                  <w:rFonts w:ascii="Times New Roman" w:cs="Times New Roman" w:eastAsia="Times New Roman" w:hAnsi="Times New Roman"/>
                  <w:sz w:val="14"/>
                  <w:szCs w:val="14"/>
                  <w:color w:val="0000EE"/>
                  <w:w w:val="97"/>
                </w:rPr>
                <w:t>Exhibit 4.1 of the Registrant’s Current Report on Form 8-K dated October 8, 2025 (File No. 001-41550)).</w:t>
              </w:r>
            </w:hyperlink>
          </w:p>
        </w:tc>
        <w:tc>
          <w:tcPr>
            <w:tcW w:w="1900" w:type="dxa"/>
            <w:vAlign w:val="bottom"/>
            <w:gridSpan w:val="19"/>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4.w</w:t>
            </w:r>
          </w:p>
        </w:tc>
        <w:tc>
          <w:tcPr>
            <w:tcW w:w="420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7"/>
              </w:rPr>
            </w:pPr>
            <w:hyperlink r:id="rId181">
              <w:r>
                <w:rPr>
                  <w:rFonts w:ascii="Times New Roman" w:cs="Times New Roman" w:eastAsia="Times New Roman" w:hAnsi="Times New Roman"/>
                  <w:sz w:val="14"/>
                  <w:szCs w:val="14"/>
                  <w:color w:val="0000EE"/>
                  <w:w w:val="97"/>
                </w:rPr>
                <w:t>Form of 2.875% Senior Unsecured Notes due 2026 (included in Exhibit 4.z)</w:t>
              </w:r>
            </w:hyperlink>
          </w:p>
        </w:tc>
        <w:tc>
          <w:tcPr>
            <w:tcW w:w="3500" w:type="dxa"/>
            <w:vAlign w:val="bottom"/>
            <w:gridSpan w:val="22"/>
          </w:tcPr>
          <w:p>
            <w:pPr>
              <w:spacing w:after="0"/>
              <w:rPr>
                <w:sz w:val="19"/>
                <w:szCs w:val="19"/>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4.x</w:t>
            </w:r>
          </w:p>
        </w:tc>
        <w:tc>
          <w:tcPr>
            <w:tcW w:w="7700" w:type="dxa"/>
            <w:vAlign w:val="bottom"/>
            <w:gridSpan w:val="25"/>
          </w:tcPr>
          <w:p>
            <w:pPr>
              <w:spacing w:after="0"/>
              <w:rPr>
                <w:rFonts w:ascii="Times New Roman" w:cs="Times New Roman" w:eastAsia="Times New Roman" w:hAnsi="Times New Roman"/>
                <w:sz w:val="14"/>
                <w:szCs w:val="14"/>
                <w:color w:val="0000EE"/>
              </w:rPr>
            </w:pPr>
            <w:hyperlink r:id="rId182">
              <w:r>
                <w:rPr>
                  <w:rFonts w:ascii="Times New Roman" w:cs="Times New Roman" w:eastAsia="Times New Roman" w:hAnsi="Times New Roman"/>
                  <w:sz w:val="14"/>
                  <w:szCs w:val="14"/>
                  <w:color w:val="0000EE"/>
                </w:rPr>
                <w:t>First Amendment to Amended &amp; Restated Credit Agreement, dated December 28, 2017, by and among Crown Americas LLC, Crown</w:t>
              </w:r>
            </w:hyperlink>
          </w:p>
        </w:tc>
      </w:tr>
      <w:tr>
        <w:trPr>
          <w:trHeight w:val="20"/>
        </w:trPr>
        <w:tc>
          <w:tcPr>
            <w:tcW w:w="660" w:type="dxa"/>
            <w:vAlign w:val="bottom"/>
          </w:tcPr>
          <w:p>
            <w:pPr>
              <w:spacing w:after="0" w:line="20" w:lineRule="exact"/>
              <w:rPr>
                <w:sz w:val="1"/>
                <w:szCs w:val="1"/>
                <w:color w:val="auto"/>
              </w:rPr>
            </w:pPr>
          </w:p>
        </w:tc>
        <w:tc>
          <w:tcPr>
            <w:tcW w:w="4620" w:type="dxa"/>
            <w:vAlign w:val="bottom"/>
            <w:gridSpan w:val="4"/>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700" w:type="dxa"/>
            <w:vAlign w:val="bottom"/>
            <w:tcBorders>
              <w:bottom w:val="single" w:sz="8" w:color="0000EE"/>
            </w:tcBorders>
            <w:gridSpan w:val="25"/>
          </w:tcPr>
          <w:p>
            <w:pPr>
              <w:spacing w:after="0" w:line="145" w:lineRule="exact"/>
              <w:rPr>
                <w:rFonts w:ascii="Times New Roman" w:cs="Times New Roman" w:eastAsia="Times New Roman" w:hAnsi="Times New Roman"/>
                <w:sz w:val="14"/>
                <w:szCs w:val="14"/>
                <w:color w:val="0000EE"/>
                <w:w w:val="97"/>
              </w:rPr>
            </w:pPr>
            <w:hyperlink r:id="rId182">
              <w:r>
                <w:rPr>
                  <w:rFonts w:ascii="Times New Roman" w:cs="Times New Roman" w:eastAsia="Times New Roman" w:hAnsi="Times New Roman"/>
                  <w:sz w:val="14"/>
                  <w:szCs w:val="14"/>
                  <w:color w:val="0000EE"/>
                  <w:w w:val="97"/>
                </w:rPr>
                <w:t>European Holdings S.A., Crown Metal Packaging Canada LP, each of the Subsidiary Borrowers party thereto, Crown Holdings, Inc., Crown</w:t>
              </w:r>
            </w:hyperlink>
          </w:p>
        </w:tc>
      </w:tr>
      <w:tr>
        <w:trPr>
          <w:trHeight w:val="144"/>
        </w:trPr>
        <w:tc>
          <w:tcPr>
            <w:tcW w:w="660" w:type="dxa"/>
            <w:vAlign w:val="bottom"/>
          </w:tcPr>
          <w:p>
            <w:pPr>
              <w:spacing w:after="0"/>
              <w:rPr>
                <w:sz w:val="12"/>
                <w:szCs w:val="12"/>
                <w:color w:val="auto"/>
              </w:rPr>
            </w:pPr>
          </w:p>
        </w:tc>
        <w:tc>
          <w:tcPr>
            <w:tcW w:w="7620" w:type="dxa"/>
            <w:vAlign w:val="bottom"/>
            <w:tcBorders>
              <w:bottom w:val="single" w:sz="8" w:color="0000EE"/>
            </w:tcBorders>
            <w:gridSpan w:val="23"/>
          </w:tcPr>
          <w:p>
            <w:pPr>
              <w:spacing w:after="0" w:line="145" w:lineRule="exact"/>
              <w:rPr>
                <w:rFonts w:ascii="Times New Roman" w:cs="Times New Roman" w:eastAsia="Times New Roman" w:hAnsi="Times New Roman"/>
                <w:sz w:val="14"/>
                <w:szCs w:val="14"/>
                <w:color w:val="0000EE"/>
                <w:w w:val="98"/>
              </w:rPr>
            </w:pPr>
            <w:hyperlink r:id="rId182">
              <w:r>
                <w:rPr>
                  <w:rFonts w:ascii="Times New Roman" w:cs="Times New Roman" w:eastAsia="Times New Roman" w:hAnsi="Times New Roman"/>
                  <w:sz w:val="14"/>
                  <w:szCs w:val="14"/>
                  <w:color w:val="0000EE"/>
                  <w:w w:val="98"/>
                </w:rPr>
                <w:t>Cork &amp; Seal Company, Inc., Crown International Holdings, Inc., Deutsche Bank AG Canada Branch, Deutsche Bank AG London Branch,</w:t>
              </w:r>
            </w:hyperlink>
          </w:p>
        </w:tc>
        <w:tc>
          <w:tcPr>
            <w:tcW w:w="80" w:type="dxa"/>
            <w:vAlign w:val="bottom"/>
            <w:gridSpan w:val="2"/>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520" w:type="dxa"/>
            <w:vAlign w:val="bottom"/>
            <w:tcBorders>
              <w:bottom w:val="single" w:sz="8" w:color="0000EE"/>
            </w:tcBorders>
            <w:gridSpan w:val="20"/>
          </w:tcPr>
          <w:p>
            <w:pPr>
              <w:spacing w:after="0" w:line="145" w:lineRule="exact"/>
              <w:rPr>
                <w:rFonts w:ascii="Times New Roman" w:cs="Times New Roman" w:eastAsia="Times New Roman" w:hAnsi="Times New Roman"/>
                <w:sz w:val="14"/>
                <w:szCs w:val="14"/>
                <w:color w:val="0000EE"/>
                <w:w w:val="97"/>
              </w:rPr>
            </w:pPr>
            <w:hyperlink r:id="rId182">
              <w:r>
                <w:rPr>
                  <w:rFonts w:ascii="Times New Roman" w:cs="Times New Roman" w:eastAsia="Times New Roman" w:hAnsi="Times New Roman"/>
                  <w:sz w:val="14"/>
                  <w:szCs w:val="14"/>
                  <w:color w:val="0000EE"/>
                  <w:w w:val="97"/>
                </w:rPr>
                <w:t>Deutsche Bank AG New York Branch, and the Lenders party thereto (incorporated by reference to Exhibit 4.x of the Registrant’s Annual</w:t>
              </w:r>
            </w:hyperlink>
          </w:p>
        </w:tc>
        <w:tc>
          <w:tcPr>
            <w:tcW w:w="180" w:type="dxa"/>
            <w:vAlign w:val="bottom"/>
            <w:gridSpan w:val="5"/>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4620" w:type="dxa"/>
            <w:vAlign w:val="bottom"/>
            <w:tcBorders>
              <w:bottom w:val="single" w:sz="8" w:color="0000EE"/>
            </w:tcBorders>
            <w:gridSpan w:val="4"/>
          </w:tcPr>
          <w:p>
            <w:pPr>
              <w:spacing w:after="0" w:line="145" w:lineRule="exact"/>
              <w:rPr>
                <w:rFonts w:ascii="Times New Roman" w:cs="Times New Roman" w:eastAsia="Times New Roman" w:hAnsi="Times New Roman"/>
                <w:sz w:val="14"/>
                <w:szCs w:val="14"/>
                <w:color w:val="0000EE"/>
                <w:w w:val="97"/>
              </w:rPr>
            </w:pPr>
            <w:hyperlink r:id="rId182">
              <w:r>
                <w:rPr>
                  <w:rFonts w:ascii="Times New Roman" w:cs="Times New Roman" w:eastAsia="Times New Roman" w:hAnsi="Times New Roman"/>
                  <w:sz w:val="14"/>
                  <w:szCs w:val="14"/>
                  <w:color w:val="0000EE"/>
                  <w:w w:val="97"/>
                </w:rPr>
                <w:t>Report on Form 10-K for the year ended December 31, 2017 (File No. 000-50189)).</w:t>
              </w:r>
            </w:hyperlink>
          </w:p>
        </w:tc>
        <w:tc>
          <w:tcPr>
            <w:tcW w:w="3080" w:type="dxa"/>
            <w:vAlign w:val="bottom"/>
            <w:gridSpan w:val="21"/>
          </w:tcPr>
          <w:p>
            <w:pPr>
              <w:spacing w:after="0"/>
              <w:rPr>
                <w:sz w:val="12"/>
                <w:szCs w:val="12"/>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4.y</w:t>
            </w:r>
          </w:p>
        </w:tc>
        <w:tc>
          <w:tcPr>
            <w:tcW w:w="76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8"/>
              </w:rPr>
            </w:pPr>
            <w:hyperlink r:id="rId183">
              <w:r>
                <w:rPr>
                  <w:rFonts w:ascii="Times New Roman" w:cs="Times New Roman" w:eastAsia="Times New Roman" w:hAnsi="Times New Roman"/>
                  <w:sz w:val="14"/>
                  <w:szCs w:val="14"/>
                  <w:color w:val="0000EE"/>
                  <w:w w:val="98"/>
                </w:rPr>
                <w:t>Incremental Amendment No. 1 to Amended &amp; Restated Credit Agreement, dated January 29, 2018, by and among Crown Americas LLC,</w:t>
              </w:r>
            </w:hyperlink>
          </w:p>
        </w:tc>
        <w:tc>
          <w:tcPr>
            <w:tcW w:w="100" w:type="dxa"/>
            <w:vAlign w:val="bottom"/>
            <w:gridSpan w:val="3"/>
          </w:tcPr>
          <w:p>
            <w:pPr>
              <w:spacing w:after="0"/>
              <w:rPr>
                <w:sz w:val="19"/>
                <w:szCs w:val="19"/>
                <w:color w:val="auto"/>
              </w:rPr>
            </w:pPr>
          </w:p>
        </w:tc>
      </w:tr>
      <w:tr>
        <w:trPr>
          <w:trHeight w:val="144"/>
        </w:trPr>
        <w:tc>
          <w:tcPr>
            <w:tcW w:w="660" w:type="dxa"/>
            <w:vAlign w:val="bottom"/>
          </w:tcPr>
          <w:p>
            <w:pPr>
              <w:spacing w:after="0"/>
              <w:rPr>
                <w:sz w:val="12"/>
                <w:szCs w:val="12"/>
                <w:color w:val="auto"/>
              </w:rPr>
            </w:pPr>
          </w:p>
        </w:tc>
        <w:tc>
          <w:tcPr>
            <w:tcW w:w="7700" w:type="dxa"/>
            <w:vAlign w:val="bottom"/>
            <w:tcBorders>
              <w:bottom w:val="single" w:sz="8" w:color="0000EE"/>
            </w:tcBorders>
            <w:gridSpan w:val="25"/>
          </w:tcPr>
          <w:p>
            <w:pPr>
              <w:spacing w:after="0" w:line="145" w:lineRule="exact"/>
              <w:rPr>
                <w:rFonts w:ascii="Times New Roman" w:cs="Times New Roman" w:eastAsia="Times New Roman" w:hAnsi="Times New Roman"/>
                <w:sz w:val="14"/>
                <w:szCs w:val="14"/>
                <w:color w:val="0000EE"/>
                <w:w w:val="97"/>
              </w:rPr>
            </w:pPr>
            <w:hyperlink r:id="rId183">
              <w:r>
                <w:rPr>
                  <w:rFonts w:ascii="Times New Roman" w:cs="Times New Roman" w:eastAsia="Times New Roman" w:hAnsi="Times New Roman"/>
                  <w:sz w:val="14"/>
                  <w:szCs w:val="14"/>
                  <w:color w:val="0000EE"/>
                  <w:w w:val="97"/>
                </w:rPr>
                <w:t>Crown European Holdings S.A., Crown Metal Packaging Canada LP, each of the Subsidiary Borrowers party thereto, Crown Holdings, Inc.,</w:t>
              </w:r>
            </w:hyperlink>
          </w:p>
        </w:tc>
      </w:tr>
      <w:tr>
        <w:trPr>
          <w:trHeight w:val="144"/>
        </w:trPr>
        <w:tc>
          <w:tcPr>
            <w:tcW w:w="660" w:type="dxa"/>
            <w:vAlign w:val="bottom"/>
          </w:tcPr>
          <w:p>
            <w:pPr>
              <w:spacing w:after="0"/>
              <w:rPr>
                <w:sz w:val="12"/>
                <w:szCs w:val="12"/>
                <w:color w:val="auto"/>
              </w:rPr>
            </w:pPr>
          </w:p>
        </w:tc>
        <w:tc>
          <w:tcPr>
            <w:tcW w:w="7700" w:type="dxa"/>
            <w:vAlign w:val="bottom"/>
            <w:gridSpan w:val="25"/>
          </w:tcPr>
          <w:p>
            <w:pPr>
              <w:spacing w:after="0" w:line="145" w:lineRule="exact"/>
              <w:rPr>
                <w:rFonts w:ascii="Times New Roman" w:cs="Times New Roman" w:eastAsia="Times New Roman" w:hAnsi="Times New Roman"/>
                <w:sz w:val="14"/>
                <w:szCs w:val="14"/>
                <w:color w:val="0000EE"/>
                <w:w w:val="99"/>
              </w:rPr>
            </w:pPr>
            <w:hyperlink r:id="rId183">
              <w:r>
                <w:rPr>
                  <w:rFonts w:ascii="Times New Roman" w:cs="Times New Roman" w:eastAsia="Times New Roman" w:hAnsi="Times New Roman"/>
                  <w:sz w:val="14"/>
                  <w:szCs w:val="14"/>
                  <w:color w:val="0000EE"/>
                  <w:w w:val="99"/>
                </w:rPr>
                <w:t>Crown Cork &amp; Seal Company, Inc., Crown International Holdings, Inc., each other Credit Party party thereto, Deutsche Bank AG Canada</w:t>
              </w:r>
            </w:hyperlink>
          </w:p>
        </w:tc>
      </w:tr>
      <w:tr>
        <w:trPr>
          <w:trHeight w:val="144"/>
        </w:trPr>
        <w:tc>
          <w:tcPr>
            <w:tcW w:w="660" w:type="dxa"/>
            <w:vAlign w:val="bottom"/>
          </w:tcPr>
          <w:p>
            <w:pPr>
              <w:spacing w:after="0"/>
              <w:rPr>
                <w:sz w:val="12"/>
                <w:szCs w:val="12"/>
                <w:color w:val="auto"/>
              </w:rPr>
            </w:pPr>
          </w:p>
        </w:tc>
        <w:tc>
          <w:tcPr>
            <w:tcW w:w="7220" w:type="dxa"/>
            <w:vAlign w:val="bottom"/>
            <w:tcBorders>
              <w:top w:val="single" w:sz="8" w:color="0000EE"/>
              <w:bottom w:val="single" w:sz="8" w:color="0000EE"/>
            </w:tcBorders>
            <w:gridSpan w:val="11"/>
          </w:tcPr>
          <w:p>
            <w:pPr>
              <w:spacing w:after="0" w:line="145" w:lineRule="exact"/>
              <w:rPr>
                <w:rFonts w:ascii="Times New Roman" w:cs="Times New Roman" w:eastAsia="Times New Roman" w:hAnsi="Times New Roman"/>
                <w:sz w:val="14"/>
                <w:szCs w:val="14"/>
                <w:color w:val="0000EE"/>
                <w:w w:val="97"/>
              </w:rPr>
            </w:pPr>
            <w:hyperlink r:id="rId183">
              <w:r>
                <w:rPr>
                  <w:rFonts w:ascii="Times New Roman" w:cs="Times New Roman" w:eastAsia="Times New Roman" w:hAnsi="Times New Roman"/>
                  <w:sz w:val="14"/>
                  <w:szCs w:val="14"/>
                  <w:color w:val="0000EE"/>
                  <w:w w:val="97"/>
                </w:rPr>
                <w:t>Branch, Deutsche Bank AG London Branch, Deutsche Bank AG New York Branch, and the Lenders party thereto (incorporated by</w:t>
              </w:r>
            </w:hyperlink>
          </w:p>
        </w:tc>
        <w:tc>
          <w:tcPr>
            <w:tcW w:w="380" w:type="dxa"/>
            <w:vAlign w:val="bottom"/>
            <w:tcBorders>
              <w:top w:val="single" w:sz="8" w:color="0000EE"/>
            </w:tcBorders>
            <w:gridSpan w:val="11"/>
          </w:tcPr>
          <w:p>
            <w:pPr>
              <w:spacing w:after="0"/>
              <w:rPr>
                <w:sz w:val="12"/>
                <w:szCs w:val="12"/>
                <w:color w:val="auto"/>
              </w:rPr>
            </w:pPr>
          </w:p>
        </w:tc>
        <w:tc>
          <w:tcPr>
            <w:tcW w:w="100" w:type="dxa"/>
            <w:vAlign w:val="bottom"/>
            <w:gridSpan w:val="3"/>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25"/>
          </w:tcPr>
          <w:p>
            <w:pPr>
              <w:spacing w:after="0" w:line="145" w:lineRule="exact"/>
              <w:rPr>
                <w:rFonts w:ascii="Times New Roman" w:cs="Times New Roman" w:eastAsia="Times New Roman" w:hAnsi="Times New Roman"/>
                <w:sz w:val="14"/>
                <w:szCs w:val="14"/>
                <w:color w:val="0000EE"/>
              </w:rPr>
            </w:pPr>
            <w:hyperlink r:id="rId183">
              <w:r>
                <w:rPr>
                  <w:rFonts w:ascii="Times New Roman" w:cs="Times New Roman" w:eastAsia="Times New Roman" w:hAnsi="Times New Roman"/>
                  <w:sz w:val="14"/>
                  <w:szCs w:val="14"/>
                  <w:color w:val="0000EE"/>
                </w:rPr>
                <w:t>reference to Exhibit 4.y of the Registrant’s Annual Report on Form 10-K for the year ended December 31, 2017 (File No. 000-50189)).</w:t>
              </w:r>
            </w:hyperlink>
          </w:p>
        </w:tc>
      </w:tr>
      <w:tr>
        <w:trPr>
          <w:trHeight w:val="20"/>
        </w:trPr>
        <w:tc>
          <w:tcPr>
            <w:tcW w:w="660" w:type="dxa"/>
            <w:vAlign w:val="bottom"/>
          </w:tcPr>
          <w:p>
            <w:pPr>
              <w:spacing w:after="0" w:line="20" w:lineRule="exact"/>
              <w:rPr>
                <w:sz w:val="1"/>
                <w:szCs w:val="1"/>
                <w:color w:val="auto"/>
              </w:rPr>
            </w:pPr>
          </w:p>
        </w:tc>
        <w:tc>
          <w:tcPr>
            <w:tcW w:w="6620" w:type="dxa"/>
            <w:vAlign w:val="bottom"/>
            <w:gridSpan w:val="8"/>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4.z</w:t>
            </w:r>
          </w:p>
        </w:tc>
        <w:tc>
          <w:tcPr>
            <w:tcW w:w="7700" w:type="dxa"/>
            <w:vAlign w:val="bottom"/>
            <w:gridSpan w:val="25"/>
          </w:tcPr>
          <w:p>
            <w:pPr>
              <w:spacing w:after="0"/>
              <w:rPr>
                <w:rFonts w:ascii="Times New Roman" w:cs="Times New Roman" w:eastAsia="Times New Roman" w:hAnsi="Times New Roman"/>
                <w:sz w:val="14"/>
                <w:szCs w:val="14"/>
                <w:color w:val="0000EE"/>
                <w:w w:val="98"/>
              </w:rPr>
            </w:pPr>
            <w:hyperlink r:id="rId181">
              <w:r>
                <w:rPr>
                  <w:rFonts w:ascii="Times New Roman" w:cs="Times New Roman" w:eastAsia="Times New Roman" w:hAnsi="Times New Roman"/>
                  <w:sz w:val="14"/>
                  <w:szCs w:val="14"/>
                  <w:color w:val="0000EE"/>
                  <w:w w:val="98"/>
                </w:rPr>
                <w:t>Second Amendment to Amended &amp; Restated Credit Agreement, dated as of March 23, 2018, by and among Crown Americas LLC, Crown</w:t>
              </w:r>
            </w:hyperlink>
          </w:p>
        </w:tc>
      </w:tr>
      <w:tr>
        <w:trPr>
          <w:trHeight w:val="144"/>
        </w:trPr>
        <w:tc>
          <w:tcPr>
            <w:tcW w:w="660" w:type="dxa"/>
            <w:vAlign w:val="bottom"/>
          </w:tcPr>
          <w:p>
            <w:pPr>
              <w:spacing w:after="0"/>
              <w:rPr>
                <w:sz w:val="12"/>
                <w:szCs w:val="12"/>
                <w:color w:val="auto"/>
              </w:rPr>
            </w:pPr>
          </w:p>
        </w:tc>
        <w:tc>
          <w:tcPr>
            <w:tcW w:w="7200" w:type="dxa"/>
            <w:vAlign w:val="bottom"/>
            <w:tcBorders>
              <w:top w:val="single" w:sz="8" w:color="0000EE"/>
              <w:bottom w:val="single" w:sz="8" w:color="0000EE"/>
            </w:tcBorders>
            <w:gridSpan w:val="10"/>
          </w:tcPr>
          <w:p>
            <w:pPr>
              <w:spacing w:after="0" w:line="145" w:lineRule="exact"/>
              <w:rPr>
                <w:rFonts w:ascii="Times New Roman" w:cs="Times New Roman" w:eastAsia="Times New Roman" w:hAnsi="Times New Roman"/>
                <w:sz w:val="14"/>
                <w:szCs w:val="14"/>
                <w:color w:val="0000EE"/>
                <w:w w:val="97"/>
              </w:rPr>
            </w:pPr>
            <w:hyperlink r:id="rId181">
              <w:r>
                <w:rPr>
                  <w:rFonts w:ascii="Times New Roman" w:cs="Times New Roman" w:eastAsia="Times New Roman" w:hAnsi="Times New Roman"/>
                  <w:sz w:val="14"/>
                  <w:szCs w:val="14"/>
                  <w:color w:val="0000EE"/>
                  <w:w w:val="97"/>
                </w:rPr>
                <w:t>European Holdings S.A., each of the Subsidiary Borrowers party thereto, Crown Metal Packaging Canada LP, Crown Cork &amp; Seal</w:t>
              </w:r>
            </w:hyperlink>
          </w:p>
        </w:tc>
        <w:tc>
          <w:tcPr>
            <w:tcW w:w="440" w:type="dxa"/>
            <w:vAlign w:val="bottom"/>
            <w:tcBorders>
              <w:top w:val="single" w:sz="8" w:color="0000EE"/>
            </w:tcBorders>
            <w:gridSpan w:val="14"/>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25"/>
          </w:tcPr>
          <w:p>
            <w:pPr>
              <w:spacing w:after="0" w:line="145" w:lineRule="exact"/>
              <w:rPr>
                <w:rFonts w:ascii="Times New Roman" w:cs="Times New Roman" w:eastAsia="Times New Roman" w:hAnsi="Times New Roman"/>
                <w:sz w:val="14"/>
                <w:szCs w:val="14"/>
                <w:color w:val="0000EE"/>
              </w:rPr>
            </w:pPr>
            <w:hyperlink r:id="rId181">
              <w:r>
                <w:rPr>
                  <w:rFonts w:ascii="Times New Roman" w:cs="Times New Roman" w:eastAsia="Times New Roman" w:hAnsi="Times New Roman"/>
                  <w:sz w:val="14"/>
                  <w:szCs w:val="14"/>
                  <w:color w:val="0000EE"/>
                </w:rPr>
                <w:t>Company, Inc., Crown Holdings, Inc. and Crown International Holdings, Inc., Deutsche Bank Ag Canada Branch, Deutsche Bank AG</w:t>
              </w:r>
            </w:hyperlink>
          </w:p>
        </w:tc>
      </w:tr>
      <w:tr>
        <w:trPr>
          <w:trHeight w:val="20"/>
        </w:trPr>
        <w:tc>
          <w:tcPr>
            <w:tcW w:w="660" w:type="dxa"/>
            <w:vAlign w:val="bottom"/>
          </w:tcPr>
          <w:p>
            <w:pPr>
              <w:spacing w:after="0" w:line="20" w:lineRule="exact"/>
              <w:rPr>
                <w:sz w:val="1"/>
                <w:szCs w:val="1"/>
                <w:color w:val="auto"/>
              </w:rPr>
            </w:pPr>
          </w:p>
        </w:tc>
        <w:tc>
          <w:tcPr>
            <w:tcW w:w="6620" w:type="dxa"/>
            <w:vAlign w:val="bottom"/>
            <w:gridSpan w:val="8"/>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44"/>
        </w:trPr>
        <w:tc>
          <w:tcPr>
            <w:tcW w:w="660" w:type="dxa"/>
            <w:vAlign w:val="bottom"/>
          </w:tcPr>
          <w:p>
            <w:pPr>
              <w:spacing w:after="0"/>
              <w:rPr>
                <w:sz w:val="12"/>
                <w:szCs w:val="12"/>
                <w:color w:val="auto"/>
              </w:rPr>
            </w:pPr>
          </w:p>
        </w:tc>
        <w:tc>
          <w:tcPr>
            <w:tcW w:w="7500" w:type="dxa"/>
            <w:vAlign w:val="bottom"/>
            <w:tcBorders>
              <w:bottom w:val="single" w:sz="8" w:color="0000EE"/>
            </w:tcBorders>
            <w:gridSpan w:val="19"/>
          </w:tcPr>
          <w:p>
            <w:pPr>
              <w:spacing w:after="0" w:line="145" w:lineRule="exact"/>
              <w:rPr>
                <w:rFonts w:ascii="Times New Roman" w:cs="Times New Roman" w:eastAsia="Times New Roman" w:hAnsi="Times New Roman"/>
                <w:sz w:val="14"/>
                <w:szCs w:val="14"/>
                <w:color w:val="0000EE"/>
                <w:w w:val="97"/>
              </w:rPr>
            </w:pPr>
            <w:hyperlink r:id="rId181">
              <w:r>
                <w:rPr>
                  <w:rFonts w:ascii="Times New Roman" w:cs="Times New Roman" w:eastAsia="Times New Roman" w:hAnsi="Times New Roman"/>
                  <w:sz w:val="14"/>
                  <w:szCs w:val="14"/>
                  <w:color w:val="0000EE"/>
                  <w:w w:val="97"/>
                </w:rPr>
                <w:t>London Branch, Deutsche Bank AG New York Branch, the Required Lenders and the other parties thereto. (incorporated by reference to</w:t>
              </w:r>
            </w:hyperlink>
          </w:p>
        </w:tc>
        <w:tc>
          <w:tcPr>
            <w:tcW w:w="200" w:type="dxa"/>
            <w:vAlign w:val="bottom"/>
            <w:gridSpan w:val="6"/>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7700" w:type="dxa"/>
            <w:vAlign w:val="bottom"/>
            <w:gridSpan w:val="25"/>
          </w:tcPr>
          <w:p>
            <w:pPr>
              <w:spacing w:after="0" w:line="145" w:lineRule="exact"/>
              <w:rPr>
                <w:rFonts w:ascii="Times New Roman" w:cs="Times New Roman" w:eastAsia="Times New Roman" w:hAnsi="Times New Roman"/>
                <w:sz w:val="14"/>
                <w:szCs w:val="14"/>
                <w:color w:val="0000EE"/>
              </w:rPr>
            </w:pPr>
            <w:hyperlink r:id="rId181">
              <w:r>
                <w:rPr>
                  <w:rFonts w:ascii="Times New Roman" w:cs="Times New Roman" w:eastAsia="Times New Roman" w:hAnsi="Times New Roman"/>
                  <w:sz w:val="14"/>
                  <w:szCs w:val="14"/>
                  <w:color w:val="0000EE"/>
                </w:rPr>
                <w:t>Exhibit 4 to the Registrant’s Annual Report on Form 10-K for the year ended December 31, 2018 (File No. 000-50189)).</w:t>
              </w:r>
            </w:hyperlink>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8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2120" w:right="339" w:hanging="677"/>
        <w:spacing w:after="0" w:line="249" w:lineRule="auto"/>
        <w:tabs>
          <w:tab w:leader="none" w:pos="21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4.aa</w:t>
      </w:r>
      <w:r>
        <w:rPr>
          <w:sz w:val="20"/>
          <w:szCs w:val="20"/>
          <w:color w:val="auto"/>
        </w:rPr>
        <w:tab/>
      </w:r>
      <w:hyperlink r:id="rId185">
        <w:r>
          <w:rPr>
            <w:rFonts w:ascii="Times New Roman" w:cs="Times New Roman" w:eastAsia="Times New Roman" w:hAnsi="Times New Roman"/>
            <w:sz w:val="14"/>
            <w:szCs w:val="14"/>
            <w:u w:val="single" w:color="auto"/>
            <w:color w:val="0000EE"/>
          </w:rPr>
          <w:t>Incremental Amendment No. 2 and Third Amendment to Amended and Restated Credit Agreement, dated as of December 13, 2019, by and</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among Crown Americas LLC, Crown European Holdings S.A., each of the Subsidiary Borrowers party thereto, Crown Metal Packaging</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Canada LP, Crown Cork &amp; Seal Company, Inc., Crown Holdings, Inc. and Crown International Holdings, Inc., each other Credit Party</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party thereto, Deutsche Bank AG New York Branch, Deutsche Bank AG, London Branch, Deutsche Bank AG, Canada Branch, 2019</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Additional Term Lenders (as defined therein) and Revolving Lenders (as defined) (incorporated by reference to Exhibit 4.1 to the</w:t>
        </w:r>
      </w:hyperlink>
      <w:r>
        <w:rPr>
          <w:rFonts w:ascii="Times New Roman" w:cs="Times New Roman" w:eastAsia="Times New Roman" w:hAnsi="Times New Roman"/>
          <w:sz w:val="14"/>
          <w:szCs w:val="14"/>
          <w:u w:val="single" w:color="auto"/>
          <w:color w:val="0000EE"/>
        </w:rPr>
        <w:t xml:space="preserve"> </w:t>
      </w:r>
      <w:hyperlink r:id="rId185">
        <w:r>
          <w:rPr>
            <w:rFonts w:ascii="Times New Roman" w:cs="Times New Roman" w:eastAsia="Times New Roman" w:hAnsi="Times New Roman"/>
            <w:sz w:val="14"/>
            <w:szCs w:val="14"/>
            <w:u w:val="single" w:color="auto"/>
            <w:color w:val="0000EE"/>
          </w:rPr>
          <w:t>Registrant’s Form 8-K/A filed on February 28, 2020 (File No. 000-50189)).</w:t>
        </w:r>
      </w:hyperlink>
    </w:p>
    <w:p>
      <w:pPr>
        <w:spacing w:after="0" w:line="67" w:lineRule="exact"/>
        <w:rPr>
          <w:rFonts w:ascii="Times New Roman" w:cs="Times New Roman" w:eastAsia="Times New Roman" w:hAnsi="Times New Roman"/>
          <w:sz w:val="14"/>
          <w:szCs w:val="14"/>
          <w:u w:val="single" w:color="auto"/>
          <w:color w:val="0000EE"/>
        </w:rPr>
      </w:pPr>
    </w:p>
    <w:p>
      <w:pPr>
        <w:ind w:left="2120" w:right="379" w:hanging="677"/>
        <w:spacing w:after="0" w:line="250" w:lineRule="auto"/>
        <w:tabs>
          <w:tab w:leader="none" w:pos="21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4.bb</w:t>
      </w:r>
      <w:r>
        <w:rPr>
          <w:sz w:val="20"/>
          <w:szCs w:val="20"/>
          <w:color w:val="auto"/>
        </w:rPr>
        <w:tab/>
      </w:r>
      <w:hyperlink r:id="rId186">
        <w:r>
          <w:rPr>
            <w:rFonts w:ascii="Times New Roman" w:cs="Times New Roman" w:eastAsia="Times New Roman" w:hAnsi="Times New Roman"/>
            <w:sz w:val="14"/>
            <w:szCs w:val="14"/>
            <w:u w:val="single" w:color="auto"/>
            <w:color w:val="0000EE"/>
          </w:rPr>
          <w:t>Fourth Amendment to Amended and Restated Credit Agreement, dated as of October 4, 2021, among Crown Americas LLC, Crown</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European Holdings S.A., Crown Metal Packaging Canada LP, each of the Subsidiary Borrowers from time to time party thereto, Crown</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Holdings, Inc., Crown Cork &amp; Seal Company, Inc. and Crown International Holdings, Inc., each other Credit Party from time to time party</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thereto, Deutsche Bank AG New York Branch, Deutsche Bank AG, London Branch, Deutsche Bank AG, Canada Branch, and various</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Lenders referred to therein.</w:t>
        </w:r>
      </w:hyperlink>
    </w:p>
    <w:p>
      <w:pPr>
        <w:spacing w:after="0" w:line="66" w:lineRule="exact"/>
        <w:rPr>
          <w:rFonts w:ascii="Times New Roman" w:cs="Times New Roman" w:eastAsia="Times New Roman" w:hAnsi="Times New Roman"/>
          <w:sz w:val="14"/>
          <w:szCs w:val="14"/>
          <w:u w:val="single" w:color="auto"/>
          <w:color w:val="0000EE"/>
        </w:rPr>
      </w:pPr>
    </w:p>
    <w:p>
      <w:pPr>
        <w:ind w:left="2120" w:right="339" w:hanging="677"/>
        <w:spacing w:after="0" w:line="249" w:lineRule="auto"/>
        <w:tabs>
          <w:tab w:leader="none" w:pos="21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4.cc</w:t>
      </w:r>
      <w:r>
        <w:rPr>
          <w:sz w:val="20"/>
          <w:szCs w:val="20"/>
          <w:color w:val="auto"/>
        </w:rPr>
        <w:tab/>
      </w:r>
      <w:hyperlink r:id="rId187">
        <w:r>
          <w:rPr>
            <w:rFonts w:ascii="Times New Roman" w:cs="Times New Roman" w:eastAsia="Times New Roman" w:hAnsi="Times New Roman"/>
            <w:sz w:val="14"/>
            <w:szCs w:val="14"/>
            <w:u w:val="single" w:color="auto"/>
            <w:color w:val="0000EE"/>
          </w:rPr>
          <w:t>Incremental Amendment No. 3 and Fifth Amendment, dated August 8, 2022, to Amended and Restated Credit Agreement, dated April 7,</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2017, among Crown Holdings, Inc., Crown Americas LLC, Crown European Holdings S.A., the Subsidiary Borrowers party thereto, Crown</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Metal Packaging Canada LP, Crown Cork &amp; Seal Company, Inc., the Parent Guarantors party thereto, the other Credit Parties party thereto,</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the Lenders party thereto, Deutsche Bank AG Canada Branch, Deutsche Bank AG London Branch, and Deutsche Bank AG New York</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Branch (incorporated by reference to Exhibit 4.z of the Registrant’s Current Report on Form 8-K dated August 11, 2022 (File</w:t>
        </w:r>
      </w:hyperlink>
      <w:r>
        <w:rPr>
          <w:rFonts w:ascii="Times New Roman" w:cs="Times New Roman" w:eastAsia="Times New Roman" w:hAnsi="Times New Roman"/>
          <w:sz w:val="14"/>
          <w:szCs w:val="14"/>
          <w:u w:val="single" w:color="auto"/>
          <w:color w:val="0000EE"/>
        </w:rPr>
        <w:t xml:space="preserve"> </w:t>
      </w:r>
      <w:hyperlink r:id="rId187">
        <w:r>
          <w:rPr>
            <w:rFonts w:ascii="Times New Roman" w:cs="Times New Roman" w:eastAsia="Times New Roman" w:hAnsi="Times New Roman"/>
            <w:sz w:val="14"/>
            <w:szCs w:val="14"/>
            <w:u w:val="single" w:color="auto"/>
            <w:color w:val="0000EE"/>
          </w:rPr>
          <w:t>No. 000-50189)).</w:t>
        </w:r>
      </w:hyperlink>
    </w:p>
    <w:p>
      <w:pPr>
        <w:spacing w:after="0" w:line="67" w:lineRule="exact"/>
        <w:rPr>
          <w:rFonts w:ascii="Times New Roman" w:cs="Times New Roman" w:eastAsia="Times New Roman" w:hAnsi="Times New Roman"/>
          <w:sz w:val="14"/>
          <w:szCs w:val="14"/>
          <w:u w:val="single" w:color="auto"/>
          <w:color w:val="0000EE"/>
        </w:rPr>
      </w:pPr>
    </w:p>
    <w:p>
      <w:pPr>
        <w:ind w:left="2120" w:right="319" w:hanging="677"/>
        <w:spacing w:after="0" w:line="250" w:lineRule="auto"/>
        <w:tabs>
          <w:tab w:leader="none" w:pos="21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4.dd</w:t>
      </w:r>
      <w:r>
        <w:rPr>
          <w:sz w:val="20"/>
          <w:szCs w:val="20"/>
          <w:color w:val="auto"/>
        </w:rPr>
        <w:tab/>
      </w:r>
      <w:hyperlink r:id="rId188">
        <w:r>
          <w:rPr>
            <w:rFonts w:ascii="Times New Roman" w:cs="Times New Roman" w:eastAsia="Times New Roman" w:hAnsi="Times New Roman"/>
            <w:sz w:val="14"/>
            <w:szCs w:val="14"/>
            <w:u w:val="single" w:color="auto"/>
            <w:color w:val="0000EE"/>
          </w:rPr>
          <w:t>Sixth Amendment, dated June 28, 2024, to Amended and Restated Credit Agreement, dated April 7, 2017, among Crown Holdings, Inc.,</w:t>
        </w:r>
      </w:hyperlink>
      <w:r>
        <w:rPr>
          <w:rFonts w:ascii="Times New Roman" w:cs="Times New Roman" w:eastAsia="Times New Roman" w:hAnsi="Times New Roman"/>
          <w:sz w:val="14"/>
          <w:szCs w:val="14"/>
          <w:u w:val="single" w:color="auto"/>
          <w:color w:val="0000EE"/>
        </w:rPr>
        <w:t xml:space="preserve"> </w:t>
      </w:r>
      <w:hyperlink r:id="rId188">
        <w:r>
          <w:rPr>
            <w:rFonts w:ascii="Times New Roman" w:cs="Times New Roman" w:eastAsia="Times New Roman" w:hAnsi="Times New Roman"/>
            <w:sz w:val="14"/>
            <w:szCs w:val="14"/>
            <w:u w:val="single" w:color="auto"/>
            <w:color w:val="0000EE"/>
          </w:rPr>
          <w:t>Crown Americas LLC, Crown European Holdings S.A., the Subsidiary Borrowers party thereto, Crown Metal Packaging Canada LP, Crown</w:t>
        </w:r>
      </w:hyperlink>
      <w:r>
        <w:rPr>
          <w:rFonts w:ascii="Times New Roman" w:cs="Times New Roman" w:eastAsia="Times New Roman" w:hAnsi="Times New Roman"/>
          <w:sz w:val="14"/>
          <w:szCs w:val="14"/>
          <w:u w:val="single" w:color="auto"/>
          <w:color w:val="0000EE"/>
        </w:rPr>
        <w:t xml:space="preserve"> </w:t>
      </w:r>
      <w:hyperlink r:id="rId188">
        <w:r>
          <w:rPr>
            <w:rFonts w:ascii="Times New Roman" w:cs="Times New Roman" w:eastAsia="Times New Roman" w:hAnsi="Times New Roman"/>
            <w:sz w:val="14"/>
            <w:szCs w:val="14"/>
            <w:u w:val="single" w:color="auto"/>
            <w:color w:val="0000EE"/>
          </w:rPr>
          <w:t>Cork &amp; Seal Company, Inc., the Parent Guarantors party thereto, the other Credit Parties party thereto, the Lenders party thereto, Deutsche</w:t>
        </w:r>
      </w:hyperlink>
      <w:r>
        <w:rPr>
          <w:rFonts w:ascii="Times New Roman" w:cs="Times New Roman" w:eastAsia="Times New Roman" w:hAnsi="Times New Roman"/>
          <w:sz w:val="14"/>
          <w:szCs w:val="14"/>
          <w:u w:val="single" w:color="auto"/>
          <w:color w:val="0000EE"/>
        </w:rPr>
        <w:t xml:space="preserve"> </w:t>
      </w:r>
      <w:hyperlink r:id="rId188">
        <w:r>
          <w:rPr>
            <w:rFonts w:ascii="Times New Roman" w:cs="Times New Roman" w:eastAsia="Times New Roman" w:hAnsi="Times New Roman"/>
            <w:sz w:val="14"/>
            <w:szCs w:val="14"/>
            <w:u w:val="single" w:color="auto"/>
            <w:color w:val="0000EE"/>
          </w:rPr>
          <w:t>Bank AG Canada Branch, Deutsche Bank AG London Branch, and Deutsche Bank AG New York Branch (incorporated by reference to</w:t>
        </w:r>
      </w:hyperlink>
      <w:r>
        <w:rPr>
          <w:rFonts w:ascii="Times New Roman" w:cs="Times New Roman" w:eastAsia="Times New Roman" w:hAnsi="Times New Roman"/>
          <w:sz w:val="14"/>
          <w:szCs w:val="14"/>
          <w:u w:val="single" w:color="auto"/>
          <w:color w:val="0000EE"/>
        </w:rPr>
        <w:t xml:space="preserve"> </w:t>
      </w:r>
      <w:hyperlink r:id="rId188">
        <w:r>
          <w:rPr>
            <w:rFonts w:ascii="Times New Roman" w:cs="Times New Roman" w:eastAsia="Times New Roman" w:hAnsi="Times New Roman"/>
            <w:sz w:val="14"/>
            <w:szCs w:val="14"/>
            <w:u w:val="single" w:color="auto"/>
            <w:color w:val="0000EE"/>
          </w:rPr>
          <w:t>Exhibit 10.1 of the Registrant’s Quarterly Report on Form 10-Q dated July 29, 2024 (File No. 001-41550)).</w:t>
        </w:r>
      </w:hyperlink>
    </w:p>
    <w:p>
      <w:pPr>
        <w:spacing w:after="0" w:line="66" w:lineRule="exact"/>
        <w:rPr>
          <w:rFonts w:ascii="Times New Roman" w:cs="Times New Roman" w:eastAsia="Times New Roman" w:hAnsi="Times New Roman"/>
          <w:sz w:val="14"/>
          <w:szCs w:val="14"/>
          <w:u w:val="single" w:color="auto"/>
          <w:color w:val="0000EE"/>
        </w:rPr>
      </w:pPr>
    </w:p>
    <w:p>
      <w:pPr>
        <w:ind w:left="2120" w:right="499" w:hanging="677"/>
        <w:spacing w:after="0" w:line="250" w:lineRule="auto"/>
        <w:tabs>
          <w:tab w:leader="none" w:pos="21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4.ee</w:t>
      </w:r>
      <w:r>
        <w:rPr>
          <w:sz w:val="20"/>
          <w:szCs w:val="20"/>
          <w:color w:val="auto"/>
        </w:rPr>
        <w:tab/>
      </w:r>
      <w:hyperlink r:id="rId189">
        <w:r>
          <w:rPr>
            <w:rFonts w:ascii="Times New Roman" w:cs="Times New Roman" w:eastAsia="Times New Roman" w:hAnsi="Times New Roman"/>
            <w:sz w:val="14"/>
            <w:szCs w:val="14"/>
            <w:u w:val="single" w:color="auto"/>
            <w:color w:val="0000EE"/>
          </w:rPr>
          <w:t>Seventh Amendment, dated November 11, 2024, to Amended and Restated Credit Agreement, dated April 7, 2017, among Crown</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Holdings, Inc., Crown Americas LLC, Crown European Holdings S.A., Crown Metal Packaging Canada LP, the Borrowers party thereto,</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Crown Cork &amp; Seal Company, Inc., Crown Holdings, Inc., Crown International Holdings, Inc., the Parent Guarantors party thereto, the</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Lenders from time to time party thereto, Deutsche Bank AG New York Branch, as administrative agent, Deutsche Bank AG, London</w:t>
        </w:r>
      </w:hyperlink>
      <w:r>
        <w:rPr>
          <w:rFonts w:ascii="Times New Roman" w:cs="Times New Roman" w:eastAsia="Times New Roman" w:hAnsi="Times New Roman"/>
          <w:sz w:val="14"/>
          <w:szCs w:val="14"/>
          <w:u w:val="single" w:color="auto"/>
          <w:color w:val="0000EE"/>
        </w:rPr>
        <w:t xml:space="preserve"> </w:t>
      </w:r>
      <w:hyperlink r:id="rId189">
        <w:r>
          <w:rPr>
            <w:rFonts w:ascii="Times New Roman" w:cs="Times New Roman" w:eastAsia="Times New Roman" w:hAnsi="Times New Roman"/>
            <w:sz w:val="14"/>
            <w:szCs w:val="14"/>
            <w:u w:val="single" w:color="auto"/>
            <w:color w:val="0000EE"/>
          </w:rPr>
          <w:t>Branch, as U.K. administrative agent, Deutsche Bank AG, Canada Branch, as Canadian administrative agent.</w:t>
        </w:r>
      </w:hyperlink>
    </w:p>
    <w:p>
      <w:pPr>
        <w:spacing w:after="0" w:line="66" w:lineRule="exact"/>
        <w:rPr>
          <w:rFonts w:ascii="Times New Roman" w:cs="Times New Roman" w:eastAsia="Times New Roman" w:hAnsi="Times New Roman"/>
          <w:sz w:val="14"/>
          <w:szCs w:val="14"/>
          <w:u w:val="single" w:color="auto"/>
          <w:color w:val="0000EE"/>
        </w:rPr>
      </w:pPr>
    </w:p>
    <w:p>
      <w:pPr>
        <w:ind w:left="2120" w:right="359"/>
        <w:spacing w:after="0" w:line="267" w:lineRule="auto"/>
        <w:rPr>
          <w:sz w:val="20"/>
          <w:szCs w:val="20"/>
          <w:color w:val="auto"/>
        </w:rPr>
      </w:pPr>
      <w:r>
        <w:rPr>
          <w:rFonts w:ascii="Times New Roman" w:cs="Times New Roman" w:eastAsia="Times New Roman" w:hAnsi="Times New Roman"/>
          <w:sz w:val="14"/>
          <w:szCs w:val="14"/>
          <w:color w:val="auto"/>
        </w:rPr>
        <w:t>Other long-term agreements of the Registrant are not filed pursuant to Item 601(b)(4)(iii)(A) of Regulation S-K and the Registrant agrees to furnish copies of such agreements to the Securities and Exchange Commission upon its requests.</w:t>
      </w:r>
    </w:p>
    <w:p>
      <w:pPr>
        <w:spacing w:after="0" w:line="53" w:lineRule="exact"/>
        <w:rPr>
          <w:rFonts w:ascii="Times New Roman" w:cs="Times New Roman" w:eastAsia="Times New Roman" w:hAnsi="Times New Roman"/>
          <w:sz w:val="14"/>
          <w:szCs w:val="14"/>
          <w:u w:val="single" w:color="auto"/>
          <w:color w:val="0000EE"/>
        </w:rPr>
      </w:pPr>
    </w:p>
    <w:p>
      <w:pPr>
        <w:ind w:left="2120" w:hanging="669"/>
        <w:spacing w:after="0"/>
        <w:tabs>
          <w:tab w:leader="none" w:pos="21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Opinion of Dechert LLP, Philadelphia, Pennsylvania.</w:t>
      </w:r>
    </w:p>
    <w:p>
      <w:pPr>
        <w:spacing w:after="0" w:line="85" w:lineRule="exact"/>
        <w:rPr>
          <w:rFonts w:ascii="Times New Roman" w:cs="Times New Roman" w:eastAsia="Times New Roman" w:hAnsi="Times New Roman"/>
          <w:sz w:val="14"/>
          <w:szCs w:val="14"/>
          <w:color w:val="auto"/>
        </w:rPr>
      </w:pPr>
    </w:p>
    <w:p>
      <w:pPr>
        <w:ind w:left="1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23.a</w:t>
      </w:r>
      <w:r>
        <w:rPr>
          <w:rFonts w:ascii="Times New Roman" w:cs="Times New Roman" w:eastAsia="Times New Roman" w:hAnsi="Times New Roman"/>
          <w:sz w:val="13"/>
          <w:szCs w:val="13"/>
          <w:u w:val="single" w:color="auto"/>
          <w:color w:val="0000EE"/>
        </w:rPr>
        <w:t>Consent of PricewaterhouseCoopers LLP.</w:t>
      </w:r>
    </w:p>
    <w:p>
      <w:pPr>
        <w:spacing w:after="0" w:line="86" w:lineRule="exact"/>
        <w:rPr>
          <w:rFonts w:ascii="Times New Roman" w:cs="Times New Roman" w:eastAsia="Times New Roman" w:hAnsi="Times New Roman"/>
          <w:sz w:val="14"/>
          <w:szCs w:val="14"/>
          <w:u w:val="single" w:color="auto"/>
          <w:color w:val="0000EE"/>
        </w:rPr>
      </w:pPr>
    </w:p>
    <w:p>
      <w:pPr>
        <w:ind w:left="1460"/>
        <w:spacing w:after="0"/>
        <w:tabs>
          <w:tab w:leader="none" w:pos="2100" w:val="left"/>
        </w:tabs>
        <w:rPr>
          <w:sz w:val="20"/>
          <w:szCs w:val="20"/>
          <w:color w:val="auto"/>
        </w:rPr>
      </w:pPr>
      <w:r>
        <w:rPr>
          <w:rFonts w:ascii="Times New Roman" w:cs="Times New Roman" w:eastAsia="Times New Roman" w:hAnsi="Times New Roman"/>
          <w:sz w:val="14"/>
          <w:szCs w:val="14"/>
          <w:color w:val="auto"/>
        </w:rPr>
        <w:t>23.c</w:t>
      </w:r>
      <w:r>
        <w:rPr>
          <w:sz w:val="20"/>
          <w:szCs w:val="20"/>
          <w:color w:val="auto"/>
        </w:rPr>
        <w:tab/>
      </w:r>
      <w:r>
        <w:rPr>
          <w:rFonts w:ascii="Times New Roman" w:cs="Times New Roman" w:eastAsia="Times New Roman" w:hAnsi="Times New Roman"/>
          <w:sz w:val="13"/>
          <w:szCs w:val="13"/>
          <w:u w:val="single" w:color="auto"/>
          <w:color w:val="0000EE"/>
        </w:rPr>
        <w:t>Consent of Dechert LLP, Philadelphia, Pennsylvania (included in Exhibit 5).</w:t>
      </w:r>
    </w:p>
    <w:p>
      <w:pPr>
        <w:spacing w:after="0" w:line="86" w:lineRule="exact"/>
        <w:rPr>
          <w:rFonts w:ascii="Times New Roman" w:cs="Times New Roman" w:eastAsia="Times New Roman" w:hAnsi="Times New Roman"/>
          <w:sz w:val="14"/>
          <w:szCs w:val="14"/>
          <w:u w:val="single" w:color="auto"/>
          <w:color w:val="0000EE"/>
        </w:rPr>
      </w:pPr>
    </w:p>
    <w:p>
      <w:pPr>
        <w:ind w:left="2120" w:hanging="669"/>
        <w:spacing w:after="0"/>
        <w:tabs>
          <w:tab w:leader="none" w:pos="21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Powers of Attorney (included on the signature pages hereto).</w:t>
      </w:r>
    </w:p>
    <w:p>
      <w:pPr>
        <w:spacing w:after="0" w:line="85" w:lineRule="exact"/>
        <w:rPr>
          <w:rFonts w:ascii="Times New Roman" w:cs="Times New Roman" w:eastAsia="Times New Roman" w:hAnsi="Times New Roman"/>
          <w:sz w:val="14"/>
          <w:szCs w:val="14"/>
          <w:color w:val="auto"/>
        </w:rPr>
      </w:pPr>
    </w:p>
    <w:p>
      <w:pPr>
        <w:ind w:left="2120" w:hanging="669"/>
        <w:spacing w:after="0"/>
        <w:tabs>
          <w:tab w:leader="none" w:pos="21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Statements of Eligibility of U.S. Bank Trust Company, National Association</w:t>
      </w:r>
    </w:p>
    <w:p>
      <w:pPr>
        <w:spacing w:after="0" w:line="71" w:lineRule="exact"/>
        <w:rPr>
          <w:rFonts w:ascii="Times New Roman" w:cs="Times New Roman" w:eastAsia="Times New Roman" w:hAnsi="Times New Roman"/>
          <w:sz w:val="14"/>
          <w:szCs w:val="14"/>
          <w:u w:val="single" w:color="auto"/>
          <w:color w:val="0000EE"/>
        </w:rPr>
      </w:pPr>
    </w:p>
    <w:tbl>
      <w:tblPr>
        <w:tblLayout w:type="fixed"/>
        <w:tblInd w:w="14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99.a</w:t>
            </w:r>
          </w:p>
        </w:tc>
        <w:tc>
          <w:tcPr>
            <w:tcW w:w="1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Form of Letter of Transmittal.</w:t>
            </w:r>
          </w:p>
        </w:tc>
      </w:tr>
      <w:tr>
        <w:trPr>
          <w:trHeight w:val="22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99.b</w:t>
            </w:r>
          </w:p>
        </w:tc>
        <w:tc>
          <w:tcPr>
            <w:tcW w:w="1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Form of Letter to Holders.</w:t>
            </w:r>
          </w:p>
        </w:tc>
        <w:tc>
          <w:tcPr>
            <w:tcW w:w="200" w:type="dxa"/>
            <w:vAlign w:val="bottom"/>
          </w:tcPr>
          <w:p>
            <w:pPr>
              <w:spacing w:after="0"/>
              <w:rPr>
                <w:sz w:val="19"/>
                <w:szCs w:val="19"/>
                <w:color w:val="auto"/>
              </w:rPr>
            </w:pPr>
          </w:p>
        </w:tc>
      </w:tr>
    </w:tbl>
    <w:p>
      <w:pPr>
        <w:spacing w:after="0" w:line="121" w:lineRule="exact"/>
        <w:rPr>
          <w:rFonts w:ascii="Times New Roman" w:cs="Times New Roman" w:eastAsia="Times New Roman" w:hAnsi="Times New Roman"/>
          <w:sz w:val="14"/>
          <w:szCs w:val="14"/>
          <w:u w:val="single" w:color="auto"/>
          <w:color w:val="0000EE"/>
        </w:rPr>
      </w:pPr>
    </w:p>
    <w:p>
      <w:pPr>
        <w:ind w:left="554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10159"/>
          </w:cols>
          <w:pgMar w:left="300" w:top="38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460"/>
        <w:spacing w:after="0"/>
        <w:tabs>
          <w:tab w:leader="none" w:pos="2100" w:val="left"/>
        </w:tabs>
        <w:rPr>
          <w:sz w:val="20"/>
          <w:szCs w:val="20"/>
          <w:color w:val="auto"/>
        </w:rPr>
      </w:pPr>
      <w:r>
        <w:rPr>
          <w:rFonts w:ascii="Times New Roman" w:cs="Times New Roman" w:eastAsia="Times New Roman" w:hAnsi="Times New Roman"/>
          <w:sz w:val="14"/>
          <w:szCs w:val="14"/>
          <w:color w:val="auto"/>
        </w:rPr>
        <w:t>99.c</w:t>
      </w:r>
      <w:r>
        <w:rPr>
          <w:sz w:val="20"/>
          <w:szCs w:val="20"/>
          <w:color w:val="auto"/>
        </w:rPr>
        <w:tab/>
      </w:r>
      <w:r>
        <w:rPr>
          <w:rFonts w:ascii="Times New Roman" w:cs="Times New Roman" w:eastAsia="Times New Roman" w:hAnsi="Times New Roman"/>
          <w:sz w:val="13"/>
          <w:szCs w:val="13"/>
          <w:u w:val="single" w:color="auto"/>
          <w:color w:val="0000EE"/>
        </w:rPr>
        <w:t>Form of Letter to Brokers, Dealers, Commercial Banks, Trust Companies and Other Nominees.</w:t>
      </w:r>
    </w:p>
    <w:p>
      <w:pPr>
        <w:spacing w:after="0" w:line="86" w:lineRule="exact"/>
        <w:rPr>
          <w:sz w:val="20"/>
          <w:szCs w:val="20"/>
          <w:color w:val="auto"/>
        </w:rPr>
      </w:pPr>
    </w:p>
    <w:p>
      <w:pPr>
        <w:ind w:left="1460"/>
        <w:spacing w:after="0"/>
        <w:tabs>
          <w:tab w:leader="none" w:pos="2100" w:val="left"/>
        </w:tabs>
        <w:rPr>
          <w:sz w:val="20"/>
          <w:szCs w:val="20"/>
          <w:color w:val="auto"/>
        </w:rPr>
      </w:pPr>
      <w:r>
        <w:rPr>
          <w:rFonts w:ascii="Times New Roman" w:cs="Times New Roman" w:eastAsia="Times New Roman" w:hAnsi="Times New Roman"/>
          <w:sz w:val="14"/>
          <w:szCs w:val="14"/>
          <w:color w:val="auto"/>
        </w:rPr>
        <w:t>99.d</w:t>
      </w:r>
      <w:r>
        <w:rPr>
          <w:sz w:val="20"/>
          <w:szCs w:val="20"/>
          <w:color w:val="auto"/>
        </w:rPr>
        <w:tab/>
      </w:r>
      <w:r>
        <w:rPr>
          <w:rFonts w:ascii="Times New Roman" w:cs="Times New Roman" w:eastAsia="Times New Roman" w:hAnsi="Times New Roman"/>
          <w:sz w:val="13"/>
          <w:szCs w:val="13"/>
          <w:u w:val="single" w:color="auto"/>
          <w:color w:val="0000EE"/>
        </w:rPr>
        <w:t>Form of Letter to Clients.</w:t>
      </w:r>
    </w:p>
    <w:p>
      <w:pPr>
        <w:spacing w:after="0" w:line="86" w:lineRule="exact"/>
        <w:rPr>
          <w:sz w:val="20"/>
          <w:szCs w:val="20"/>
          <w:color w:val="auto"/>
        </w:rPr>
      </w:pPr>
    </w:p>
    <w:p>
      <w:pPr>
        <w:ind w:left="1460"/>
        <w:spacing w:after="0"/>
        <w:tabs>
          <w:tab w:leader="none" w:pos="2100" w:val="left"/>
        </w:tabs>
        <w:rPr>
          <w:sz w:val="20"/>
          <w:szCs w:val="20"/>
          <w:color w:val="auto"/>
        </w:rPr>
      </w:pPr>
      <w:r>
        <w:rPr>
          <w:rFonts w:ascii="Times New Roman" w:cs="Times New Roman" w:eastAsia="Times New Roman" w:hAnsi="Times New Roman"/>
          <w:sz w:val="14"/>
          <w:szCs w:val="14"/>
          <w:color w:val="auto"/>
        </w:rPr>
        <w:t>99.e</w:t>
      </w:r>
      <w:r>
        <w:rPr>
          <w:sz w:val="20"/>
          <w:szCs w:val="20"/>
          <w:color w:val="auto"/>
        </w:rPr>
        <w:tab/>
      </w:r>
      <w:r>
        <w:rPr>
          <w:rFonts w:ascii="Times New Roman" w:cs="Times New Roman" w:eastAsia="Times New Roman" w:hAnsi="Times New Roman"/>
          <w:sz w:val="13"/>
          <w:szCs w:val="13"/>
          <w:u w:val="single" w:color="auto"/>
          <w:color w:val="0000EE"/>
        </w:rPr>
        <w:t>Guidelines for Certification of Taxpayer Identification Number on Substitute Form W-9 (included in Exhibit 99.a).</w:t>
      </w:r>
    </w:p>
    <w:p>
      <w:pPr>
        <w:spacing w:after="0" w:line="86" w:lineRule="exact"/>
        <w:rPr>
          <w:sz w:val="20"/>
          <w:szCs w:val="20"/>
          <w:color w:val="auto"/>
        </w:rPr>
      </w:pPr>
    </w:p>
    <w:p>
      <w:pPr>
        <w:ind w:left="1460"/>
        <w:spacing w:after="0"/>
        <w:tabs>
          <w:tab w:leader="none" w:pos="2100" w:val="left"/>
        </w:tabs>
        <w:rPr>
          <w:sz w:val="20"/>
          <w:szCs w:val="20"/>
          <w:color w:val="auto"/>
        </w:rPr>
      </w:pPr>
      <w:r>
        <w:rPr>
          <w:rFonts w:ascii="Times New Roman" w:cs="Times New Roman" w:eastAsia="Times New Roman" w:hAnsi="Times New Roman"/>
          <w:sz w:val="14"/>
          <w:szCs w:val="14"/>
          <w:color w:val="auto"/>
        </w:rPr>
        <w:t>107.a</w:t>
      </w:r>
      <w:r>
        <w:rPr>
          <w:sz w:val="20"/>
          <w:szCs w:val="20"/>
          <w:color w:val="auto"/>
        </w:rPr>
        <w:tab/>
      </w:r>
      <w:r>
        <w:rPr>
          <w:rFonts w:ascii="Times New Roman" w:cs="Times New Roman" w:eastAsia="Times New Roman" w:hAnsi="Times New Roman"/>
          <w:sz w:val="13"/>
          <w:szCs w:val="13"/>
          <w:u w:val="single" w:color="auto"/>
          <w:color w:val="0000EE"/>
        </w:rPr>
        <w:t>Filing Fee Table.</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(b) Financial Statement Schedules:</w:t>
      </w:r>
    </w:p>
    <w:p>
      <w:pPr>
        <w:spacing w:after="0" w:line="1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All schedules have been incorporated herein by reference or omitted because they are not applicable or not required.</w:t>
      </w:r>
    </w:p>
    <w:p>
      <w:pPr>
        <w:spacing w:after="0" w:line="2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00" w:lineRule="exact"/>
        <w:rPr>
          <w:sz w:val="20"/>
          <w:szCs w:val="20"/>
          <w:color w:val="auto"/>
        </w:rPr>
      </w:pPr>
    </w:p>
    <w:p>
      <w:pPr>
        <w:ind w:left="1780" w:hanging="329"/>
        <w:spacing w:after="0"/>
        <w:tabs>
          <w:tab w:leader="none" w:pos="1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6" w:lineRule="exact"/>
        <w:rPr>
          <w:sz w:val="20"/>
          <w:szCs w:val="20"/>
          <w:color w:val="auto"/>
        </w:rPr>
      </w:pPr>
    </w:p>
    <w:p>
      <w:pPr>
        <w:ind w:left="1780" w:hanging="329"/>
        <w:spacing w:after="0"/>
        <w:tabs>
          <w:tab w:leader="none" w:pos="17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6" w:lineRule="exact"/>
        <w:rPr>
          <w:sz w:val="20"/>
          <w:szCs w:val="20"/>
          <w:color w:val="auto"/>
        </w:rPr>
      </w:pPr>
    </w:p>
    <w:p>
      <w:pPr>
        <w:ind w:left="1780" w:hanging="329"/>
        <w:spacing w:after="0"/>
        <w:tabs>
          <w:tab w:leader="none" w:pos="1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95" w:lineRule="exact"/>
        <w:rPr>
          <w:rFonts w:ascii="Times New Roman" w:cs="Times New Roman" w:eastAsia="Times New Roman" w:hAnsi="Times New Roman"/>
          <w:sz w:val="14"/>
          <w:szCs w:val="14"/>
          <w:color w:val="auto"/>
        </w:rPr>
      </w:pPr>
    </w:p>
    <w:p>
      <w:pPr>
        <w:ind w:left="1780" w:right="319" w:hanging="329"/>
        <w:spacing w:after="0" w:line="248" w:lineRule="auto"/>
        <w:tabs>
          <w:tab w:leader="none" w:pos="1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78" w:lineRule="exact"/>
        <w:rPr>
          <w:rFonts w:ascii="Times New Roman" w:cs="Times New Roman" w:eastAsia="Times New Roman" w:hAnsi="Times New Roman"/>
          <w:sz w:val="14"/>
          <w:szCs w:val="14"/>
          <w:color w:val="auto"/>
        </w:rPr>
      </w:pPr>
    </w:p>
    <w:p>
      <w:pPr>
        <w:ind w:left="1780" w:right="479" w:hanging="329"/>
        <w:spacing w:after="0" w:line="267" w:lineRule="auto"/>
        <w:tabs>
          <w:tab w:leader="none" w:pos="1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63" w:lineRule="exact"/>
        <w:rPr>
          <w:sz w:val="20"/>
          <w:szCs w:val="20"/>
          <w:color w:val="auto"/>
        </w:rPr>
      </w:pPr>
    </w:p>
    <w:p>
      <w:pPr>
        <w:ind w:left="1780" w:right="399" w:hanging="329"/>
        <w:spacing w:after="0" w:line="256" w:lineRule="auto"/>
        <w:tabs>
          <w:tab w:leader="none" w:pos="1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Times New Roman" w:cs="Times New Roman" w:eastAsia="Times New Roman" w:hAnsi="Times New Roman"/>
          <w:sz w:val="14"/>
          <w:szCs w:val="14"/>
          <w:color w:val="auto"/>
        </w:rPr>
      </w:pPr>
    </w:p>
    <w:p>
      <w:pPr>
        <w:ind w:left="1780" w:right="339" w:hanging="329"/>
        <w:spacing w:after="0" w:line="267" w:lineRule="auto"/>
        <w:tabs>
          <w:tab w:leader="none" w:pos="1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3" w:lineRule="exact"/>
        <w:rPr>
          <w:rFonts w:ascii="Times New Roman" w:cs="Times New Roman" w:eastAsia="Times New Roman" w:hAnsi="Times New Roman"/>
          <w:sz w:val="14"/>
          <w:szCs w:val="14"/>
          <w:color w:val="auto"/>
        </w:rPr>
      </w:pPr>
    </w:p>
    <w:p>
      <w:pPr>
        <w:ind w:left="1780" w:right="339" w:hanging="329"/>
        <w:spacing w:after="0" w:line="248" w:lineRule="auto"/>
        <w:tabs>
          <w:tab w:leader="none" w:pos="1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rFonts w:ascii="Times New Roman" w:cs="Times New Roman" w:eastAsia="Times New Roman" w:hAnsi="Times New Roman"/>
          <w:sz w:val="14"/>
          <w:szCs w:val="14"/>
          <w:color w:val="auto"/>
        </w:rPr>
      </w:pPr>
    </w:p>
    <w:p>
      <w:pPr>
        <w:ind w:left="1780" w:right="459" w:hanging="329"/>
        <w:spacing w:after="0" w:line="256" w:lineRule="auto"/>
        <w:tabs>
          <w:tab w:leader="none" w:pos="1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securities of the undersigned registrant pursuant to this registration statement, regardless of the underwriting method used to sell the securities to the purchaser, if the securities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10159"/>
          </w:cols>
          <w:pgMar w:left="300" w:top="380"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4" w:lineRule="exact"/>
        <w:rPr>
          <w:sz w:val="20"/>
          <w:szCs w:val="20"/>
          <w:color w:val="auto"/>
        </w:rPr>
      </w:pPr>
    </w:p>
    <w:p>
      <w:pPr>
        <w:ind w:left="1780" w:right="359"/>
        <w:spacing w:after="0" w:line="267" w:lineRule="auto"/>
        <w:rPr>
          <w:sz w:val="20"/>
          <w:szCs w:val="20"/>
          <w:color w:val="auto"/>
        </w:rPr>
      </w:pPr>
      <w:r>
        <w:rPr>
          <w:rFonts w:ascii="Times New Roman" w:cs="Times New Roman" w:eastAsia="Times New Roman" w:hAnsi="Times New Roman"/>
          <w:sz w:val="14"/>
          <w:szCs w:val="14"/>
          <w:color w:val="auto"/>
        </w:rPr>
        <w:t>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sz w:val="20"/>
          <w:szCs w:val="20"/>
          <w:color w:val="auto"/>
        </w:rPr>
      </w:pPr>
    </w:p>
    <w:p>
      <w:pPr>
        <w:ind w:left="1780" w:hanging="329"/>
        <w:spacing w:after="0"/>
        <w:tabs>
          <w:tab w:leader="none" w:pos="1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registrants relating to the offering required to be filed pursuant to Rule 424;</w:t>
      </w:r>
    </w:p>
    <w:p>
      <w:pPr>
        <w:spacing w:after="0" w:line="95" w:lineRule="exact"/>
        <w:rPr>
          <w:rFonts w:ascii="Times New Roman" w:cs="Times New Roman" w:eastAsia="Times New Roman" w:hAnsi="Times New Roman"/>
          <w:sz w:val="14"/>
          <w:szCs w:val="14"/>
          <w:color w:val="auto"/>
        </w:rPr>
      </w:pPr>
    </w:p>
    <w:p>
      <w:pPr>
        <w:ind w:left="1780" w:right="979" w:hanging="329"/>
        <w:spacing w:after="0" w:line="267" w:lineRule="auto"/>
        <w:tabs>
          <w:tab w:leader="none" w:pos="1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registrants or used or referred to by the undersigned registrants;</w:t>
      </w:r>
    </w:p>
    <w:p>
      <w:pPr>
        <w:spacing w:after="0" w:line="63" w:lineRule="exact"/>
        <w:rPr>
          <w:rFonts w:ascii="Times New Roman" w:cs="Times New Roman" w:eastAsia="Times New Roman" w:hAnsi="Times New Roman"/>
          <w:sz w:val="14"/>
          <w:szCs w:val="14"/>
          <w:color w:val="auto"/>
        </w:rPr>
      </w:pPr>
    </w:p>
    <w:p>
      <w:pPr>
        <w:ind w:left="1780" w:right="539" w:hanging="329"/>
        <w:spacing w:after="0" w:line="267" w:lineRule="auto"/>
        <w:tabs>
          <w:tab w:leader="none" w:pos="1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63" w:lineRule="exact"/>
        <w:rPr>
          <w:rFonts w:ascii="Times New Roman" w:cs="Times New Roman" w:eastAsia="Times New Roman" w:hAnsi="Times New Roman"/>
          <w:sz w:val="14"/>
          <w:szCs w:val="14"/>
          <w:color w:val="auto"/>
        </w:rPr>
      </w:pPr>
    </w:p>
    <w:p>
      <w:pPr>
        <w:ind w:left="1780" w:hanging="329"/>
        <w:spacing w:after="0"/>
        <w:tabs>
          <w:tab w:leader="none" w:pos="1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registrants to the purchaser.</w:t>
      </w:r>
    </w:p>
    <w:p>
      <w:pPr>
        <w:spacing w:after="0" w:line="96" w:lineRule="exact"/>
        <w:rPr>
          <w:sz w:val="20"/>
          <w:szCs w:val="20"/>
          <w:color w:val="auto"/>
        </w:rPr>
      </w:pPr>
    </w:p>
    <w:p>
      <w:pPr>
        <w:ind w:left="1780" w:right="499" w:hanging="329"/>
        <w:spacing w:after="0" w:line="250" w:lineRule="auto"/>
        <w:tabs>
          <w:tab w:leader="none" w:pos="17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Times New Roman" w:cs="Times New Roman" w:eastAsia="Times New Roman" w:hAnsi="Times New Roman"/>
          <w:sz w:val="14"/>
          <w:szCs w:val="14"/>
          <w:color w:val="auto"/>
        </w:rPr>
      </w:pPr>
    </w:p>
    <w:p>
      <w:pPr>
        <w:ind w:left="1780" w:right="379" w:hanging="329"/>
        <w:spacing w:after="0" w:line="247" w:lineRule="auto"/>
        <w:tabs>
          <w:tab w:leader="none" w:pos="17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 w:lineRule="exact"/>
        <w:rPr>
          <w:rFonts w:ascii="Times New Roman" w:cs="Times New Roman" w:eastAsia="Times New Roman" w:hAnsi="Times New Roman"/>
          <w:sz w:val="14"/>
          <w:szCs w:val="14"/>
          <w:color w:val="auto"/>
        </w:rPr>
      </w:pPr>
    </w:p>
    <w:p>
      <w:pPr>
        <w:ind w:left="1780" w:right="379" w:hanging="329"/>
        <w:spacing w:after="0" w:line="246" w:lineRule="auto"/>
        <w:tabs>
          <w:tab w:leader="none" w:pos="17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8" w:lineRule="exact"/>
        <w:rPr>
          <w:rFonts w:ascii="Times New Roman" w:cs="Times New Roman" w:eastAsia="Times New Roman" w:hAnsi="Times New Roman"/>
          <w:sz w:val="14"/>
          <w:szCs w:val="14"/>
          <w:color w:val="auto"/>
        </w:rPr>
      </w:pPr>
    </w:p>
    <w:p>
      <w:pPr>
        <w:ind w:left="1780" w:right="379" w:hanging="329"/>
        <w:spacing w:after="0" w:line="267" w:lineRule="auto"/>
        <w:tabs>
          <w:tab w:leader="none" w:pos="17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II-10</w:t>
      </w:r>
    </w:p>
    <w:p>
      <w:pPr>
        <w:sectPr>
          <w:pgSz w:w="11900" w:h="16838" w:orient="portrait"/>
          <w:cols w:equalWidth="0" w:num="1">
            <w:col w:w="10159"/>
          </w:cols>
          <w:pgMar w:left="300" w:top="38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HOLDINGS,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12700</wp:posOffset>
            </wp:positionV>
            <wp:extent cx="249936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3">
                      <a:extLst>
                        <a:ext uri="{28A0092B-C50C-407E-A947-70E740481C1C}"/>
                      </a:extLst>
                    </a:blip>
                    <a:srcRect/>
                    <a:stretch>
                      <a:fillRect/>
                    </a:stretch>
                  </pic:blipFill>
                  <pic:spPr bwMode="auto">
                    <a:xfrm>
                      <a:off x="0" y="0"/>
                      <a:ext cx="2499360" cy="6350"/>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Name: Timothy J. Donahue</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Chairman, President &amp; Chief Executive Officer</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900" w:type="dxa"/>
            <w:vAlign w:val="bottom"/>
          </w:tcPr>
          <w:p>
            <w:pPr>
              <w:ind w:left="18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Timothy J. Donahue</w:t>
            </w:r>
          </w:p>
        </w:tc>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 Chief Executive Officer, Chairman of the Board and</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Timothy J. Donahue</w:t>
            </w:r>
          </w:p>
        </w:tc>
        <w:tc>
          <w:tcPr>
            <w:tcW w:w="390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Director (Principal Executive Officer)</w:t>
            </w:r>
          </w:p>
        </w:tc>
        <w:tc>
          <w:tcPr>
            <w:tcW w:w="1480" w:type="dxa"/>
            <w:vAlign w:val="bottom"/>
          </w:tcPr>
          <w:p>
            <w:pPr>
              <w:spacing w:after="0"/>
              <w:rPr>
                <w:sz w:val="14"/>
                <w:szCs w:val="14"/>
                <w:color w:val="auto"/>
              </w:rPr>
            </w:pPr>
          </w:p>
        </w:tc>
      </w:tr>
      <w:tr>
        <w:trPr>
          <w:trHeight w:val="322"/>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Senior Vice President and Chief Financial Officer (Principal</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90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Financial Officer and Principal Accounting Officer)</w:t>
            </w:r>
          </w:p>
        </w:tc>
        <w:tc>
          <w:tcPr>
            <w:tcW w:w="14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Richard H. Fearon</w:t>
            </w:r>
          </w:p>
        </w:tc>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Richard H. Fearon</w:t>
            </w: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 Andrea J. Funk</w:t>
            </w:r>
          </w:p>
        </w:tc>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Andrea J. Funk</w:t>
            </w: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Stephen J. Hagge</w:t>
            </w:r>
          </w:p>
        </w:tc>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Stephen J. Hagge</w:t>
            </w: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 B. Craig Owens</w:t>
            </w:r>
          </w:p>
        </w:tc>
        <w:tc>
          <w:tcPr>
            <w:tcW w:w="3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ind w:left="31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Craig Owens</w:t>
            </w:r>
          </w:p>
        </w:tc>
        <w:tc>
          <w:tcPr>
            <w:tcW w:w="3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71"/>
        </w:trPr>
        <w:tc>
          <w:tcPr>
            <w:tcW w:w="2780" w:type="dxa"/>
            <w:vAlign w:val="bottom"/>
          </w:tcPr>
          <w:p>
            <w:pPr>
              <w:spacing w:after="0"/>
              <w:rPr>
                <w:sz w:val="23"/>
                <w:szCs w:val="23"/>
                <w:color w:val="auto"/>
              </w:rPr>
            </w:pPr>
          </w:p>
        </w:tc>
        <w:tc>
          <w:tcPr>
            <w:tcW w:w="390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II-11</w:t>
            </w:r>
          </w:p>
        </w:tc>
        <w:tc>
          <w:tcPr>
            <w:tcW w:w="1480" w:type="dxa"/>
            <w:vAlign w:val="bottom"/>
          </w:tcPr>
          <w:p>
            <w:pPr>
              <w:spacing w:after="0"/>
              <w:rPr>
                <w:sz w:val="23"/>
                <w:szCs w:val="23"/>
                <w:color w:val="auto"/>
              </w:rPr>
            </w:pPr>
          </w:p>
        </w:tc>
      </w:tr>
    </w:tbl>
    <w:p>
      <w:pPr>
        <w:sectPr>
          <w:pgSz w:w="11900" w:h="16838" w:orient="portrait"/>
          <w:cols w:equalWidth="0" w:num="1">
            <w:col w:w="10159"/>
          </w:cols>
          <w:pgMar w:left="300" w:top="380"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200" w:type="dxa"/>
            <w:vAlign w:val="bottom"/>
          </w:tcPr>
          <w:p>
            <w:pPr>
              <w:ind w:left="18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180" w:type="dxa"/>
            <w:vAlign w:val="bottom"/>
          </w:tcPr>
          <w:p>
            <w:pPr>
              <w:jc w:val="center"/>
              <w:ind w:left="101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Angela M. Snyder</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tcPr>
          <w:p>
            <w:pPr>
              <w:jc w:val="center"/>
              <w:ind w:left="10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Angela M. Snyder</w:t>
            </w: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Caesar F. Sweitzer</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tcPr>
          <w:p>
            <w:pPr>
              <w:jc w:val="center"/>
              <w:ind w:left="10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Caesar F. Sweitzer</w:t>
            </w: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Marsha C. Williams</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tcPr>
          <w:p>
            <w:pPr>
              <w:jc w:val="center"/>
              <w:ind w:left="10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Marsha C. Williams</w:t>
            </w: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23"/>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 Dwayne A. Wilson</w:t>
            </w:r>
          </w:p>
        </w:tc>
        <w:tc>
          <w:tcPr>
            <w:tcW w:w="3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2180" w:type="dxa"/>
            <w:vAlign w:val="bottom"/>
          </w:tcPr>
          <w:p>
            <w:pPr>
              <w:jc w:val="center"/>
              <w:ind w:left="10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Dwayne A. Wilson</w:t>
            </w: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71"/>
        </w:trPr>
        <w:tc>
          <w:tcPr>
            <w:tcW w:w="2780" w:type="dxa"/>
            <w:vAlign w:val="bottom"/>
          </w:tcPr>
          <w:p>
            <w:pPr>
              <w:spacing w:after="0"/>
              <w:rPr>
                <w:sz w:val="23"/>
                <w:szCs w:val="23"/>
                <w:color w:val="auto"/>
              </w:rPr>
            </w:pPr>
          </w:p>
        </w:tc>
        <w:tc>
          <w:tcPr>
            <w:tcW w:w="320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II-12</w:t>
            </w:r>
          </w:p>
        </w:tc>
        <w:tc>
          <w:tcPr>
            <w:tcW w:w="2180" w:type="dxa"/>
            <w:vAlign w:val="bottom"/>
          </w:tcPr>
          <w:p>
            <w:pPr>
              <w:spacing w:after="0"/>
              <w:rPr>
                <w:sz w:val="23"/>
                <w:szCs w:val="23"/>
                <w:color w:val="auto"/>
              </w:rPr>
            </w:pPr>
          </w:p>
        </w:tc>
      </w:tr>
    </w:tbl>
    <w:p>
      <w:pPr>
        <w:sectPr>
          <w:pgSz w:w="11900" w:h="16838" w:orient="portrait"/>
          <w:cols w:equalWidth="0" w:num="1">
            <w:col w:w="10159"/>
          </w:cols>
          <w:pgMar w:left="300" w:top="380"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AMERICAS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Gary M. Gavin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12700</wp:posOffset>
            </wp:positionV>
            <wp:extent cx="222504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6">
                      <a:extLst>
                        <a:ext uri="{28A0092B-C50C-407E-A947-70E740481C1C}"/>
                      </a:extLst>
                    </a:blip>
                    <a:srcRect/>
                    <a:stretch>
                      <a:fillRect/>
                    </a:stretch>
                  </pic:blipFill>
                  <pic:spPr bwMode="auto">
                    <a:xfrm>
                      <a:off x="0" y="0"/>
                      <a:ext cx="2225040"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Gary M. Gavin</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 and Chief Executive Officer</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760" w:type="dxa"/>
            <w:vAlign w:val="bottom"/>
          </w:tcPr>
          <w:p>
            <w:pPr>
              <w:spacing w:after="0"/>
              <w:rPr>
                <w:sz w:val="12"/>
                <w:szCs w:val="12"/>
                <w:color w:val="auto"/>
              </w:rPr>
            </w:pPr>
          </w:p>
        </w:tc>
        <w:tc>
          <w:tcPr>
            <w:tcW w:w="30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5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76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760" w:type="dxa"/>
            <w:vAlign w:val="bottom"/>
          </w:tcPr>
          <w:p>
            <w:pPr>
              <w:spacing w:after="0"/>
              <w:rPr>
                <w:sz w:val="14"/>
                <w:szCs w:val="14"/>
                <w:color w:val="auto"/>
              </w:rPr>
            </w:pPr>
          </w:p>
        </w:tc>
        <w:tc>
          <w:tcPr>
            <w:tcW w:w="30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(Principal Executive Officer)</w:t>
            </w:r>
          </w:p>
        </w:tc>
        <w:tc>
          <w:tcPr>
            <w:tcW w:w="1800" w:type="dxa"/>
            <w:vAlign w:val="bottom"/>
          </w:tcPr>
          <w:p>
            <w:pPr>
              <w:spacing w:after="0"/>
              <w:rPr>
                <w:sz w:val="14"/>
                <w:szCs w:val="14"/>
                <w:color w:val="auto"/>
              </w:rPr>
            </w:pPr>
          </w:p>
        </w:tc>
      </w:tr>
      <w:tr>
        <w:trPr>
          <w:trHeight w:val="322"/>
        </w:trPr>
        <w:tc>
          <w:tcPr>
            <w:tcW w:w="25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76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Chief Financial</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760" w:type="dxa"/>
            <w:vAlign w:val="bottom"/>
          </w:tcPr>
          <w:p>
            <w:pPr>
              <w:spacing w:after="0"/>
              <w:rPr>
                <w:sz w:val="14"/>
                <w:szCs w:val="14"/>
                <w:color w:val="auto"/>
              </w:rPr>
            </w:pPr>
          </w:p>
        </w:tc>
        <w:tc>
          <w:tcPr>
            <w:tcW w:w="30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Officer (Principal Financial Officer)</w:t>
            </w:r>
          </w:p>
        </w:tc>
        <w:tc>
          <w:tcPr>
            <w:tcW w:w="1800" w:type="dxa"/>
            <w:vAlign w:val="bottom"/>
          </w:tcPr>
          <w:p>
            <w:pPr>
              <w:spacing w:after="0"/>
              <w:rPr>
                <w:sz w:val="14"/>
                <w:szCs w:val="14"/>
                <w:color w:val="auto"/>
              </w:rPr>
            </w:pPr>
          </w:p>
        </w:tc>
      </w:tr>
      <w:tr>
        <w:trPr>
          <w:trHeight w:val="322"/>
        </w:trPr>
        <w:tc>
          <w:tcPr>
            <w:tcW w:w="25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76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760" w:type="dxa"/>
            <w:vAlign w:val="bottom"/>
          </w:tcPr>
          <w:p>
            <w:pPr>
              <w:spacing w:after="0"/>
              <w:rPr>
                <w:sz w:val="14"/>
                <w:szCs w:val="14"/>
                <w:color w:val="auto"/>
              </w:rPr>
            </w:pPr>
          </w:p>
        </w:tc>
        <w:tc>
          <w:tcPr>
            <w:tcW w:w="30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(Principal Accounting Officer)</w:t>
            </w:r>
          </w:p>
        </w:tc>
        <w:tc>
          <w:tcPr>
            <w:tcW w:w="1800" w:type="dxa"/>
            <w:vAlign w:val="bottom"/>
          </w:tcPr>
          <w:p>
            <w:pPr>
              <w:spacing w:after="0"/>
              <w:rPr>
                <w:sz w:val="14"/>
                <w:szCs w:val="14"/>
                <w:color w:val="auto"/>
              </w:rPr>
            </w:pPr>
          </w:p>
        </w:tc>
      </w:tr>
      <w:tr>
        <w:trPr>
          <w:trHeight w:val="323"/>
        </w:trPr>
        <w:tc>
          <w:tcPr>
            <w:tcW w:w="25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76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23"/>
        </w:trPr>
        <w:tc>
          <w:tcPr>
            <w:tcW w:w="25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/s/ Timothy J. Donahue</w:t>
            </w:r>
          </w:p>
        </w:tc>
        <w:tc>
          <w:tcPr>
            <w:tcW w:w="76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Timothy J. Donahue</w:t>
            </w: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23"/>
        </w:trPr>
        <w:tc>
          <w:tcPr>
            <w:tcW w:w="252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76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800" w:type="dxa"/>
            <w:vAlign w:val="bottom"/>
          </w:tcPr>
          <w:p>
            <w:pPr>
              <w:jc w:val="center"/>
              <w:ind w:left="6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520" w:type="dxa"/>
            <w:vAlign w:val="bottom"/>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22"/>
        </w:trPr>
        <w:tc>
          <w:tcPr>
            <w:tcW w:w="2520" w:type="dxa"/>
            <w:vAlign w:val="bottom"/>
          </w:tcPr>
          <w:p>
            <w:pPr>
              <w:spacing w:after="0"/>
              <w:rPr>
                <w:sz w:val="24"/>
                <w:szCs w:val="24"/>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[Signature Page to Form S-4—Crown Americas LLC]</w:t>
            </w:r>
          </w:p>
        </w:tc>
        <w:tc>
          <w:tcPr>
            <w:tcW w:w="1800" w:type="dxa"/>
            <w:vAlign w:val="bottom"/>
          </w:tcPr>
          <w:p>
            <w:pPr>
              <w:spacing w:after="0"/>
              <w:rPr>
                <w:sz w:val="24"/>
                <w:szCs w:val="24"/>
                <w:color w:val="auto"/>
              </w:rPr>
            </w:pPr>
          </w:p>
        </w:tc>
      </w:tr>
      <w:tr>
        <w:trPr>
          <w:trHeight w:val="277"/>
        </w:trPr>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II-13</w:t>
            </w:r>
          </w:p>
        </w:tc>
        <w:tc>
          <w:tcPr>
            <w:tcW w:w="18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CORK &amp; SEAL COMPANY,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8">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Timothy J. Donahue</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40" w:type="dxa"/>
            <w:vAlign w:val="bottom"/>
          </w:tcPr>
          <w:p>
            <w:pPr>
              <w:spacing w:after="0"/>
              <w:rPr>
                <w:sz w:val="12"/>
                <w:szCs w:val="12"/>
                <w:color w:val="auto"/>
              </w:rPr>
            </w:pPr>
          </w:p>
        </w:tc>
        <w:tc>
          <w:tcPr>
            <w:tcW w:w="35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Timothy J. Donahue</w:t>
            </w:r>
          </w:p>
        </w:tc>
        <w:tc>
          <w:tcPr>
            <w:tcW w:w="94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Timothy J. Donahue</w:t>
            </w:r>
          </w:p>
        </w:tc>
        <w:tc>
          <w:tcPr>
            <w:tcW w:w="940" w:type="dxa"/>
            <w:vAlign w:val="bottom"/>
          </w:tcPr>
          <w:p>
            <w:pPr>
              <w:spacing w:after="0"/>
              <w:rPr>
                <w:sz w:val="14"/>
                <w:szCs w:val="14"/>
                <w:color w:val="auto"/>
              </w:rPr>
            </w:pPr>
          </w:p>
        </w:tc>
        <w:tc>
          <w:tcPr>
            <w:tcW w:w="35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Executive Officer)</w:t>
            </w:r>
          </w:p>
        </w:tc>
        <w:tc>
          <w:tcPr>
            <w:tcW w:w="1300" w:type="dxa"/>
            <w:vAlign w:val="bottom"/>
          </w:tcPr>
          <w:p>
            <w:pPr>
              <w:spacing w:after="0"/>
              <w:rPr>
                <w:sz w:val="14"/>
                <w:szCs w:val="14"/>
                <w:color w:val="auto"/>
              </w:rPr>
            </w:pPr>
          </w:p>
        </w:tc>
      </w:tr>
      <w:tr>
        <w:trPr>
          <w:trHeight w:val="322"/>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94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Chief Financial</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2340" w:type="dxa"/>
            <w:vAlign w:val="bottom"/>
          </w:tcPr>
          <w:p>
            <w:pPr>
              <w:jc w:val="center"/>
              <w:ind w:left="873"/>
              <w:spacing w:after="0" w:line="133" w:lineRule="exact"/>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940" w:type="dxa"/>
            <w:vAlign w:val="bottom"/>
          </w:tcPr>
          <w:p>
            <w:pPr>
              <w:spacing w:after="0"/>
              <w:rPr>
                <w:sz w:val="11"/>
                <w:szCs w:val="11"/>
                <w:color w:val="auto"/>
              </w:rPr>
            </w:pPr>
          </w:p>
        </w:tc>
        <w:tc>
          <w:tcPr>
            <w:tcW w:w="358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Officer and Director (Principal</w:t>
            </w:r>
          </w:p>
        </w:tc>
        <w:tc>
          <w:tcPr>
            <w:tcW w:w="1300" w:type="dxa"/>
            <w:vAlign w:val="bottom"/>
          </w:tcPr>
          <w:p>
            <w:pPr>
              <w:spacing w:after="0"/>
              <w:rPr>
                <w:sz w:val="11"/>
                <w:szCs w:val="11"/>
                <w:color w:val="auto"/>
              </w:rPr>
            </w:pPr>
          </w:p>
        </w:tc>
      </w:tr>
      <w:tr>
        <w:trPr>
          <w:trHeight w:val="176"/>
        </w:trPr>
        <w:tc>
          <w:tcPr>
            <w:tcW w:w="2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Financial Officer)</w:t>
            </w:r>
          </w:p>
        </w:tc>
        <w:tc>
          <w:tcPr>
            <w:tcW w:w="1300" w:type="dxa"/>
            <w:vAlign w:val="bottom"/>
          </w:tcPr>
          <w:p>
            <w:pPr>
              <w:spacing w:after="0"/>
              <w:rPr>
                <w:sz w:val="15"/>
                <w:szCs w:val="15"/>
                <w:color w:val="auto"/>
              </w:rPr>
            </w:pPr>
          </w:p>
        </w:tc>
      </w:tr>
      <w:tr>
        <w:trPr>
          <w:trHeight w:val="340"/>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94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Accounting Officer)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9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2"/>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94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General</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940" w:type="dxa"/>
            <w:vAlign w:val="bottom"/>
          </w:tcPr>
          <w:p>
            <w:pPr>
              <w:spacing w:after="0"/>
              <w:rPr>
                <w:sz w:val="14"/>
                <w:szCs w:val="14"/>
                <w:color w:val="auto"/>
              </w:rPr>
            </w:pPr>
          </w:p>
        </w:tc>
        <w:tc>
          <w:tcPr>
            <w:tcW w:w="35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Counsel, Secretary and Director</w:t>
            </w:r>
          </w:p>
        </w:tc>
        <w:tc>
          <w:tcPr>
            <w:tcW w:w="1300" w:type="dxa"/>
            <w:vAlign w:val="bottom"/>
          </w:tcPr>
          <w:p>
            <w:pPr>
              <w:spacing w:after="0"/>
              <w:rPr>
                <w:sz w:val="14"/>
                <w:szCs w:val="14"/>
                <w:color w:val="auto"/>
              </w:rPr>
            </w:pPr>
          </w:p>
        </w:tc>
      </w:tr>
      <w:tr>
        <w:trPr>
          <w:trHeight w:val="322"/>
        </w:trPr>
        <w:tc>
          <w:tcPr>
            <w:tcW w:w="23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Page to Form S-4—Crown Cork &amp; Seal Company, Inc.]</w:t>
            </w:r>
          </w:p>
        </w:tc>
        <w:tc>
          <w:tcPr>
            <w:tcW w:w="1300" w:type="dxa"/>
            <w:vAlign w:val="bottom"/>
          </w:tcPr>
          <w:p>
            <w:pPr>
              <w:spacing w:after="0"/>
              <w:rPr>
                <w:sz w:val="24"/>
                <w:szCs w:val="24"/>
                <w:color w:val="auto"/>
              </w:rPr>
            </w:pPr>
          </w:p>
        </w:tc>
      </w:tr>
      <w:tr>
        <w:trPr>
          <w:trHeight w:val="277"/>
        </w:trPr>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II-14</w:t>
            </w:r>
          </w:p>
        </w:tc>
        <w:tc>
          <w:tcPr>
            <w:tcW w:w="13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BEVERAGE PACKAGING,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12700</wp:posOffset>
            </wp:positionV>
            <wp:extent cx="249936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0">
                      <a:extLst>
                        <a:ext uri="{28A0092B-C50C-407E-A947-70E740481C1C}"/>
                      </a:extLst>
                    </a:blip>
                    <a:srcRect/>
                    <a:stretch>
                      <a:fillRect/>
                    </a:stretch>
                  </pic:blipFill>
                  <pic:spPr bwMode="auto">
                    <a:xfrm>
                      <a:off x="0" y="0"/>
                      <a:ext cx="2499360" cy="6350"/>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Name: Ronald S. Cenderelli</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Vice President, Chief Financial Officer and Treasurer</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20" w:type="dxa"/>
            <w:vAlign w:val="bottom"/>
          </w:tcPr>
          <w:p>
            <w:pPr>
              <w:spacing w:after="0"/>
              <w:rPr>
                <w:sz w:val="12"/>
                <w:szCs w:val="12"/>
                <w:color w:val="auto"/>
              </w:rPr>
            </w:pPr>
          </w:p>
        </w:tc>
        <w:tc>
          <w:tcPr>
            <w:tcW w:w="344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Chief Financial Officer, Treasurer and</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2360" w:type="dxa"/>
            <w:vAlign w:val="bottom"/>
          </w:tcPr>
          <w:p>
            <w:pPr>
              <w:jc w:val="center"/>
              <w:ind w:left="853"/>
              <w:spacing w:after="0" w:line="133" w:lineRule="exact"/>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920" w:type="dxa"/>
            <w:vAlign w:val="bottom"/>
          </w:tcPr>
          <w:p>
            <w:pPr>
              <w:spacing w:after="0"/>
              <w:rPr>
                <w:sz w:val="11"/>
                <w:szCs w:val="11"/>
                <w:color w:val="auto"/>
              </w:rPr>
            </w:pPr>
          </w:p>
        </w:tc>
        <w:tc>
          <w:tcPr>
            <w:tcW w:w="344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Director of Sole Member (Principal Executive Officer,</w:t>
            </w:r>
          </w:p>
        </w:tc>
        <w:tc>
          <w:tcPr>
            <w:tcW w:w="1440" w:type="dxa"/>
            <w:vAlign w:val="bottom"/>
          </w:tcPr>
          <w:p>
            <w:pPr>
              <w:spacing w:after="0"/>
              <w:rPr>
                <w:sz w:val="11"/>
                <w:szCs w:val="11"/>
                <w:color w:val="auto"/>
              </w:rPr>
            </w:pPr>
          </w:p>
        </w:tc>
      </w:tr>
      <w:tr>
        <w:trPr>
          <w:trHeight w:val="164"/>
        </w:trPr>
        <w:tc>
          <w:tcPr>
            <w:tcW w:w="2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Principal Financial Officer and Principal Accounting</w:t>
            </w:r>
          </w:p>
        </w:tc>
        <w:tc>
          <w:tcPr>
            <w:tcW w:w="1440" w:type="dxa"/>
            <w:vAlign w:val="bottom"/>
          </w:tcPr>
          <w:p>
            <w:pPr>
              <w:spacing w:after="0"/>
              <w:rPr>
                <w:sz w:val="14"/>
                <w:szCs w:val="14"/>
                <w:color w:val="auto"/>
              </w:rPr>
            </w:pPr>
          </w:p>
        </w:tc>
      </w:tr>
      <w:tr>
        <w:trPr>
          <w:trHeight w:val="176"/>
        </w:trPr>
        <w:tc>
          <w:tcPr>
            <w:tcW w:w="2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Officer)</w:t>
            </w:r>
          </w:p>
        </w:tc>
        <w:tc>
          <w:tcPr>
            <w:tcW w:w="1440" w:type="dxa"/>
            <w:vAlign w:val="bottom"/>
          </w:tcPr>
          <w:p>
            <w:pPr>
              <w:spacing w:after="0"/>
              <w:rPr>
                <w:sz w:val="15"/>
                <w:szCs w:val="15"/>
                <w:color w:val="auto"/>
              </w:rPr>
            </w:pPr>
          </w:p>
        </w:tc>
      </w:tr>
      <w:tr>
        <w:trPr>
          <w:trHeight w:val="329"/>
        </w:trPr>
        <w:tc>
          <w:tcPr>
            <w:tcW w:w="236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Alfred J. Dermody</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6"/>
              </w:rPr>
              <w:t>Alfred J. Dermody</w:t>
            </w:r>
          </w:p>
        </w:tc>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3"/>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9"/>
              </w:rPr>
              <w:t>/s/ Nüvit Erku</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9"/>
              </w:rPr>
              <w:t>Nüvit Erku</w:t>
            </w:r>
          </w:p>
        </w:tc>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3"/>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3"/>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9"/>
              </w:rPr>
              <w:t>/s/ Thomas J. Gordon</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Thomas J. Gordon</w:t>
            </w:r>
          </w:p>
        </w:tc>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3"/>
        </w:trPr>
        <w:tc>
          <w:tcPr>
            <w:tcW w:w="236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6"/>
              </w:rPr>
              <w:t>/s/ James Yackish</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44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4"/>
              </w:rPr>
              <w:t>James Yackish</w:t>
            </w:r>
          </w:p>
        </w:tc>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2"/>
        </w:trPr>
        <w:tc>
          <w:tcPr>
            <w:tcW w:w="236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[Signature Page to Form S-4—Crown Beverage Packaging, LLC]</w:t>
            </w:r>
          </w:p>
        </w:tc>
        <w:tc>
          <w:tcPr>
            <w:tcW w:w="1440" w:type="dxa"/>
            <w:vAlign w:val="bottom"/>
          </w:tcPr>
          <w:p>
            <w:pPr>
              <w:spacing w:after="0"/>
              <w:rPr>
                <w:sz w:val="24"/>
                <w:szCs w:val="24"/>
                <w:color w:val="auto"/>
              </w:rPr>
            </w:pPr>
          </w:p>
        </w:tc>
      </w:tr>
      <w:tr>
        <w:trPr>
          <w:trHeight w:val="277"/>
        </w:trPr>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II-15</w:t>
            </w:r>
          </w:p>
        </w:tc>
        <w:tc>
          <w:tcPr>
            <w:tcW w:w="144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CONSULTANTS,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2">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Kevin C. Clothier</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20" w:type="dxa"/>
            <w:vAlign w:val="bottom"/>
          </w:tcPr>
          <w:p>
            <w:pPr>
              <w:spacing w:after="0"/>
              <w:rPr>
                <w:sz w:val="12"/>
                <w:szCs w:val="12"/>
                <w:color w:val="auto"/>
              </w:rPr>
            </w:pP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General Counsel, Secretary and Director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Financial and</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820" w:type="dxa"/>
            <w:vAlign w:val="bottom"/>
          </w:tcPr>
          <w:p>
            <w:pPr>
              <w:spacing w:after="0"/>
              <w:rPr>
                <w:sz w:val="14"/>
                <w:szCs w:val="14"/>
                <w:color w:val="auto"/>
              </w:rPr>
            </w:pP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Accounting Officer)</w:t>
            </w:r>
          </w:p>
        </w:tc>
        <w:tc>
          <w:tcPr>
            <w:tcW w:w="1400" w:type="dxa"/>
            <w:vAlign w:val="bottom"/>
          </w:tcPr>
          <w:p>
            <w:pPr>
              <w:spacing w:after="0"/>
              <w:rPr>
                <w:sz w:val="14"/>
                <w:szCs w:val="14"/>
                <w:color w:val="auto"/>
              </w:rPr>
            </w:pPr>
          </w:p>
        </w:tc>
      </w:tr>
      <w:tr>
        <w:trPr>
          <w:trHeight w:val="323"/>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60" w:type="dxa"/>
            <w:vAlign w:val="bottom"/>
          </w:tcPr>
          <w:p>
            <w:pPr>
              <w:spacing w:after="0"/>
              <w:rPr>
                <w:sz w:val="24"/>
                <w:szCs w:val="24"/>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[Signature Page to Form S-4—Crown Consultants, Inc.]</w:t>
            </w:r>
          </w:p>
        </w:tc>
        <w:tc>
          <w:tcPr>
            <w:tcW w:w="1400" w:type="dxa"/>
            <w:vAlign w:val="bottom"/>
          </w:tcPr>
          <w:p>
            <w:pPr>
              <w:spacing w:after="0"/>
              <w:rPr>
                <w:sz w:val="24"/>
                <w:szCs w:val="24"/>
                <w:color w:val="auto"/>
              </w:rPr>
            </w:pPr>
          </w:p>
        </w:tc>
      </w:tr>
      <w:tr>
        <w:trPr>
          <w:trHeight w:val="277"/>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II-16</w:t>
            </w:r>
          </w:p>
        </w:tc>
        <w:tc>
          <w:tcPr>
            <w:tcW w:w="14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FOREIGN MANUFACTURERS FINANCE</w:t>
      </w:r>
    </w:p>
    <w:p>
      <w:pPr>
        <w:spacing w:after="0" w:line="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CORPORATION</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Ronald S. Cenderelli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12700</wp:posOffset>
            </wp:positionV>
            <wp:extent cx="19704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4">
                      <a:extLst>
                        <a:ext uri="{28A0092B-C50C-407E-A947-70E740481C1C}"/>
                      </a:extLst>
                    </a:blip>
                    <a:srcRect/>
                    <a:stretch>
                      <a:fillRect/>
                    </a:stretch>
                  </pic:blipFill>
                  <pic:spPr bwMode="auto">
                    <a:xfrm>
                      <a:off x="0" y="0"/>
                      <a:ext cx="1970405" cy="6350"/>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Name: Ronald S. Cenderelli</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140" w:type="dxa"/>
            <w:vAlign w:val="bottom"/>
          </w:tcPr>
          <w:p>
            <w:pPr>
              <w:ind w:left="14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Vice President and Treasurer (Principal Financial</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314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and Accounting Officer)</w:t>
            </w:r>
          </w:p>
        </w:tc>
        <w:tc>
          <w:tcPr>
            <w:tcW w:w="1300" w:type="dxa"/>
            <w:vAlign w:val="bottom"/>
          </w:tcPr>
          <w:p>
            <w:pPr>
              <w:spacing w:after="0"/>
              <w:rPr>
                <w:sz w:val="14"/>
                <w:szCs w:val="14"/>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S-4—Foreign Manufacturers Finance Corporation]</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II-17</w:t>
      </w:r>
    </w:p>
    <w:p>
      <w:pPr>
        <w:sectPr>
          <w:pgSz w:w="11900" w:h="16838" w:orient="portrait"/>
          <w:cols w:equalWidth="0" w:num="1">
            <w:col w:w="10159"/>
          </w:cols>
          <w:pgMar w:left="300" w:top="380"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CORK &amp; SEAL COMPANY (DE),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6">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David A. Beaver</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Vice President and Treasurer</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(Principal Executive, Financial and Accounting Officer)</w:t>
            </w: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Secretary and 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S-4—Crown Cork &amp; Seal Company (DE), LLC]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II-18</w:t>
      </w:r>
    </w:p>
    <w:p>
      <w:pPr>
        <w:sectPr>
          <w:pgSz w:w="11900" w:h="16838" w:orient="portrait"/>
          <w:cols w:equalWidth="0" w:num="1">
            <w:col w:w="10159"/>
          </w:cols>
          <w:pgMar w:left="300" w:top="380"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CORK &amp; SEAL USA,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Gary M. Gavin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12700</wp:posOffset>
            </wp:positionV>
            <wp:extent cx="249936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8">
                      <a:extLst>
                        <a:ext uri="{28A0092B-C50C-407E-A947-70E740481C1C}"/>
                      </a:extLst>
                    </a:blip>
                    <a:srcRect/>
                    <a:stretch>
                      <a:fillRect/>
                    </a:stretch>
                  </pic:blipFill>
                  <pic:spPr bwMode="auto">
                    <a:xfrm>
                      <a:off x="0" y="0"/>
                      <a:ext cx="2499360" cy="6350"/>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Name: Gary M. Gavin</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Chairman, President and Chief Executive Officer</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140" w:type="dxa"/>
            <w:vAlign w:val="bottom"/>
          </w:tcPr>
          <w:p>
            <w:pPr>
              <w:ind w:left="14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Gary M. Gavin</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President, Chief Executive Officer, Chairman of the</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3140" w:type="dxa"/>
            <w:vAlign w:val="bottom"/>
          </w:tcPr>
          <w:p>
            <w:pPr>
              <w:ind w:left="80"/>
              <w:spacing w:after="0" w:line="156" w:lineRule="exact"/>
              <w:rPr>
                <w:sz w:val="20"/>
                <w:szCs w:val="20"/>
                <w:color w:val="auto"/>
              </w:rPr>
            </w:pPr>
            <w:r>
              <w:rPr>
                <w:rFonts w:ascii="Times New Roman" w:cs="Times New Roman" w:eastAsia="Times New Roman" w:hAnsi="Times New Roman"/>
                <w:sz w:val="14"/>
                <w:szCs w:val="14"/>
                <w:color w:val="auto"/>
              </w:rPr>
              <w:t>Board and Director (Principal Executive Officer)</w:t>
            </w:r>
          </w:p>
        </w:tc>
        <w:tc>
          <w:tcPr>
            <w:tcW w:w="1300" w:type="dxa"/>
            <w:vAlign w:val="bottom"/>
          </w:tcPr>
          <w:p>
            <w:pPr>
              <w:spacing w:after="0"/>
              <w:rPr>
                <w:sz w:val="14"/>
                <w:szCs w:val="14"/>
                <w:color w:val="auto"/>
              </w:rPr>
            </w:pPr>
          </w:p>
        </w:tc>
      </w:tr>
      <w:tr>
        <w:trPr>
          <w:trHeight w:val="32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Vice President, Chief Financial Officer, Treasurer</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37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314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and Director (Principal Financial Officer and</w:t>
            </w:r>
          </w:p>
        </w:tc>
        <w:tc>
          <w:tcPr>
            <w:tcW w:w="1300" w:type="dxa"/>
            <w:vAlign w:val="bottom"/>
          </w:tcPr>
          <w:p>
            <w:pPr>
              <w:spacing w:after="0"/>
              <w:rPr>
                <w:sz w:val="11"/>
                <w:szCs w:val="11"/>
                <w:color w:val="auto"/>
              </w:rPr>
            </w:pPr>
          </w:p>
        </w:tc>
      </w:tr>
      <w:tr>
        <w:trPr>
          <w:trHeight w:val="176"/>
        </w:trPr>
        <w:tc>
          <w:tcPr>
            <w:tcW w:w="378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300" w:type="dxa"/>
            <w:vAlign w:val="bottom"/>
          </w:tcPr>
          <w:p>
            <w:pPr>
              <w:spacing w:after="0"/>
              <w:rPr>
                <w:sz w:val="15"/>
                <w:szCs w:val="15"/>
                <w:color w:val="auto"/>
              </w:rPr>
            </w:pPr>
          </w:p>
        </w:tc>
      </w:tr>
      <w:tr>
        <w:trPr>
          <w:trHeight w:val="329"/>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Alfred J. Dermody</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Alfred J. Dermody</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 Nüvit Erku</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Nüvit Erku</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Thomas J. Gordon</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Thomas J. Gordon</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3"/>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James Yackish</w:t>
            </w:r>
          </w:p>
        </w:tc>
        <w:tc>
          <w:tcPr>
            <w:tcW w:w="3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300" w:type="dxa"/>
            <w:vAlign w:val="bottom"/>
          </w:tcPr>
          <w:p>
            <w:pPr>
              <w:jc w:val="center"/>
              <w:ind w:left="13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James Yackish</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S-4—Crown Cork &amp; Seal USA, Inc.]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II-19</w:t>
      </w:r>
    </w:p>
    <w:p>
      <w:pPr>
        <w:sectPr>
          <w:pgSz w:w="11900" w:h="16838" w:orient="portrait"/>
          <w:cols w:equalWidth="0" w:num="1">
            <w:col w:w="10159"/>
          </w:cols>
          <w:pgMar w:left="300" w:top="380"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PACKAGING TECHNOLOGY,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Brian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0">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Brian Rogers</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00" w:type="dxa"/>
            <w:vAlign w:val="bottom"/>
          </w:tcPr>
          <w:p>
            <w:pPr>
              <w:jc w:val="center"/>
              <w:ind w:left="91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80" w:type="dxa"/>
            <w:vAlign w:val="bottom"/>
          </w:tcPr>
          <w:p>
            <w:pPr>
              <w:spacing w:after="0"/>
              <w:rPr>
                <w:sz w:val="12"/>
                <w:szCs w:val="12"/>
                <w:color w:val="auto"/>
              </w:rPr>
            </w:pP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30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9"/>
              </w:rPr>
              <w:t>/s/ Brian Rogers</w:t>
            </w:r>
          </w:p>
        </w:tc>
        <w:tc>
          <w:tcPr>
            <w:tcW w:w="98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00" w:type="dxa"/>
            <w:vAlign w:val="bottom"/>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w w:val="97"/>
              </w:rPr>
              <w:t>Brian Rogers</w:t>
            </w:r>
          </w:p>
        </w:tc>
        <w:tc>
          <w:tcPr>
            <w:tcW w:w="9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30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98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Financial and</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00" w:type="dxa"/>
            <w:vAlign w:val="bottom"/>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980" w:type="dxa"/>
            <w:vAlign w:val="bottom"/>
          </w:tcPr>
          <w:p>
            <w:pPr>
              <w:spacing w:after="0"/>
              <w:rPr>
                <w:sz w:val="14"/>
                <w:szCs w:val="14"/>
                <w:color w:val="auto"/>
              </w:rPr>
            </w:pP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Accounting Officer)</w:t>
            </w:r>
          </w:p>
        </w:tc>
        <w:tc>
          <w:tcPr>
            <w:tcW w:w="1400" w:type="dxa"/>
            <w:vAlign w:val="bottom"/>
          </w:tcPr>
          <w:p>
            <w:pPr>
              <w:spacing w:after="0"/>
              <w:rPr>
                <w:sz w:val="14"/>
                <w:szCs w:val="14"/>
                <w:color w:val="auto"/>
              </w:rPr>
            </w:pPr>
          </w:p>
        </w:tc>
      </w:tr>
      <w:tr>
        <w:trPr>
          <w:trHeight w:val="323"/>
        </w:trPr>
        <w:tc>
          <w:tcPr>
            <w:tcW w:w="230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98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General Counsel, Secretary and Director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00" w:type="dxa"/>
            <w:vAlign w:val="bottom"/>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9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30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98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Director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00" w:type="dxa"/>
            <w:vAlign w:val="bottom"/>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9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300" w:type="dxa"/>
            <w:vAlign w:val="bottom"/>
          </w:tcPr>
          <w:p>
            <w:pPr>
              <w:spacing w:after="0"/>
              <w:rPr>
                <w:sz w:val="24"/>
                <w:szCs w:val="24"/>
                <w:color w:val="auto"/>
              </w:rPr>
            </w:pPr>
          </w:p>
        </w:tc>
        <w:tc>
          <w:tcPr>
            <w:tcW w:w="4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[Signature Page to Form S-4—Crown Packaging Technology, Inc.]</w:t>
            </w:r>
          </w:p>
        </w:tc>
        <w:tc>
          <w:tcPr>
            <w:tcW w:w="1400" w:type="dxa"/>
            <w:vAlign w:val="bottom"/>
          </w:tcPr>
          <w:p>
            <w:pPr>
              <w:spacing w:after="0"/>
              <w:rPr>
                <w:sz w:val="24"/>
                <w:szCs w:val="24"/>
                <w:color w:val="auto"/>
              </w:rPr>
            </w:pPr>
          </w:p>
        </w:tc>
      </w:tr>
      <w:tr>
        <w:trPr>
          <w:trHeight w:val="277"/>
        </w:trPr>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II-20</w:t>
            </w:r>
          </w:p>
        </w:tc>
        <w:tc>
          <w:tcPr>
            <w:tcW w:w="14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BEVERAGE PACKAGING PUERTO RICO,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Gary M. Gavin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12700</wp:posOffset>
            </wp:positionV>
            <wp:extent cx="249936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2">
                      <a:extLst>
                        <a:ext uri="{28A0092B-C50C-407E-A947-70E740481C1C}"/>
                      </a:extLst>
                    </a:blip>
                    <a:srcRect/>
                    <a:stretch>
                      <a:fillRect/>
                    </a:stretch>
                  </pic:blipFill>
                  <pic:spPr bwMode="auto">
                    <a:xfrm>
                      <a:off x="0" y="0"/>
                      <a:ext cx="2499360" cy="6350"/>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Name: Gary M. Gavin</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4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Financial and</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340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Accounting Officer)</w:t>
            </w:r>
          </w:p>
        </w:tc>
        <w:tc>
          <w:tcPr>
            <w:tcW w:w="148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S-4—Crown Beverage Packaging Puerto Rico, Inc.]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II-21</w:t>
      </w:r>
    </w:p>
    <w:p>
      <w:pPr>
        <w:sectPr>
          <w:pgSz w:w="11900" w:h="16838" w:orient="portrait"/>
          <w:cols w:equalWidth="0" w:num="1">
            <w:col w:w="10159"/>
          </w:cols>
          <w:pgMar w:left="300" w:top="380"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FINANCIAL CORPORATION</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4">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Kevin C. Clothier</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420" w:type="dxa"/>
            <w:vAlign w:val="bottom"/>
          </w:tcPr>
          <w:p>
            <w:pPr>
              <w:jc w:val="center"/>
              <w:ind w:left="79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60" w:type="dxa"/>
            <w:vAlign w:val="bottom"/>
          </w:tcPr>
          <w:p>
            <w:pPr>
              <w:spacing w:after="0"/>
              <w:rPr>
                <w:sz w:val="12"/>
                <w:szCs w:val="12"/>
                <w:color w:val="auto"/>
              </w:rPr>
            </w:pPr>
          </w:p>
        </w:tc>
        <w:tc>
          <w:tcPr>
            <w:tcW w:w="34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4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8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20" w:type="dxa"/>
            <w:vAlign w:val="bottom"/>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3"/>
        </w:trPr>
        <w:tc>
          <w:tcPr>
            <w:tcW w:w="24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8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20" w:type="dxa"/>
            <w:vAlign w:val="bottom"/>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2"/>
        </w:trPr>
        <w:tc>
          <w:tcPr>
            <w:tcW w:w="24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8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Financial and</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20" w:type="dxa"/>
            <w:vAlign w:val="bottom"/>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860" w:type="dxa"/>
            <w:vAlign w:val="bottom"/>
          </w:tcPr>
          <w:p>
            <w:pPr>
              <w:spacing w:after="0"/>
              <w:rPr>
                <w:sz w:val="14"/>
                <w:szCs w:val="14"/>
                <w:color w:val="auto"/>
              </w:rPr>
            </w:pPr>
          </w:p>
        </w:tc>
        <w:tc>
          <w:tcPr>
            <w:tcW w:w="340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Accounting Officer)</w:t>
            </w:r>
          </w:p>
        </w:tc>
        <w:tc>
          <w:tcPr>
            <w:tcW w:w="1480" w:type="dxa"/>
            <w:vAlign w:val="bottom"/>
          </w:tcPr>
          <w:p>
            <w:pPr>
              <w:spacing w:after="0"/>
              <w:rPr>
                <w:sz w:val="14"/>
                <w:szCs w:val="14"/>
                <w:color w:val="auto"/>
              </w:rPr>
            </w:pPr>
          </w:p>
        </w:tc>
      </w:tr>
      <w:tr>
        <w:trPr>
          <w:trHeight w:val="323"/>
        </w:trPr>
        <w:tc>
          <w:tcPr>
            <w:tcW w:w="24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/s/ Timothy J. Donahue</w:t>
            </w:r>
          </w:p>
        </w:tc>
        <w:tc>
          <w:tcPr>
            <w:tcW w:w="8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20" w:type="dxa"/>
            <w:vAlign w:val="bottom"/>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w w:val="97"/>
              </w:rPr>
              <w:t>Timothy J. Donahue</w:t>
            </w:r>
          </w:p>
        </w:tc>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2"/>
        </w:trPr>
        <w:tc>
          <w:tcPr>
            <w:tcW w:w="2420" w:type="dxa"/>
            <w:vAlign w:val="bottom"/>
          </w:tcPr>
          <w:p>
            <w:pPr>
              <w:spacing w:after="0"/>
              <w:rPr>
                <w:sz w:val="24"/>
                <w:szCs w:val="24"/>
                <w:color w:val="auto"/>
              </w:rPr>
            </w:pPr>
          </w:p>
        </w:tc>
        <w:tc>
          <w:tcPr>
            <w:tcW w:w="4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[Signature Page to Form S-4—Crown Financial Corporation]</w:t>
            </w:r>
          </w:p>
        </w:tc>
        <w:tc>
          <w:tcPr>
            <w:tcW w:w="1480" w:type="dxa"/>
            <w:vAlign w:val="bottom"/>
          </w:tcPr>
          <w:p>
            <w:pPr>
              <w:spacing w:after="0"/>
              <w:rPr>
                <w:sz w:val="24"/>
                <w:szCs w:val="24"/>
                <w:color w:val="auto"/>
              </w:rPr>
            </w:pPr>
          </w:p>
        </w:tc>
      </w:tr>
      <w:tr>
        <w:trPr>
          <w:trHeight w:val="277"/>
        </w:trPr>
        <w:tc>
          <w:tcPr>
            <w:tcW w:w="2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II-22</w:t>
            </w:r>
          </w:p>
        </w:tc>
        <w:tc>
          <w:tcPr>
            <w:tcW w:w="148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INTERNATIONAL HOLDINGS,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Djalma Novaes,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6">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Djalma Novaes, Jr.</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60" w:type="dxa"/>
            <w:vAlign w:val="bottom"/>
          </w:tcPr>
          <w:p>
            <w:pPr>
              <w:spacing w:after="0"/>
              <w:rPr>
                <w:sz w:val="12"/>
                <w:szCs w:val="12"/>
                <w:color w:val="auto"/>
              </w:rPr>
            </w:pPr>
          </w:p>
        </w:tc>
        <w:tc>
          <w:tcPr>
            <w:tcW w:w="35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Djalma Novaes, Jr.</w:t>
            </w:r>
          </w:p>
        </w:tc>
        <w:tc>
          <w:tcPr>
            <w:tcW w:w="96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(Principal Executive Officer)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Djalma Novaes, Jr.</w:t>
            </w:r>
          </w:p>
        </w:tc>
        <w:tc>
          <w:tcPr>
            <w:tcW w:w="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3"/>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96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Secretary and Manager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2"/>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96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Chief Financial Officer and Manager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960" w:type="dxa"/>
            <w:vAlign w:val="bottom"/>
          </w:tcPr>
          <w:p>
            <w:pPr>
              <w:spacing w:after="0"/>
              <w:rPr>
                <w:sz w:val="14"/>
                <w:szCs w:val="14"/>
                <w:color w:val="auto"/>
              </w:rPr>
            </w:pPr>
          </w:p>
        </w:tc>
        <w:tc>
          <w:tcPr>
            <w:tcW w:w="35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(Principal Financial Officer)</w:t>
            </w:r>
          </w:p>
        </w:tc>
        <w:tc>
          <w:tcPr>
            <w:tcW w:w="1300" w:type="dxa"/>
            <w:vAlign w:val="bottom"/>
          </w:tcPr>
          <w:p>
            <w:pPr>
              <w:spacing w:after="0"/>
              <w:rPr>
                <w:sz w:val="14"/>
                <w:szCs w:val="14"/>
                <w:color w:val="auto"/>
              </w:rPr>
            </w:pPr>
          </w:p>
        </w:tc>
      </w:tr>
      <w:tr>
        <w:trPr>
          <w:trHeight w:val="323"/>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96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Accounting Officer)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3"/>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Timothy J. Donahue</w:t>
            </w:r>
          </w:p>
        </w:tc>
        <w:tc>
          <w:tcPr>
            <w:tcW w:w="960" w:type="dxa"/>
            <w:vAlign w:val="bottom"/>
            <w:tcBorders>
              <w:bottom w:val="single" w:sz="8" w:color="auto"/>
            </w:tcBorders>
          </w:tcPr>
          <w:p>
            <w:pPr>
              <w:spacing w:after="0"/>
              <w:rPr>
                <w:sz w:val="24"/>
                <w:szCs w:val="24"/>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300" w:type="dxa"/>
            <w:vAlign w:val="bottom"/>
          </w:tcPr>
          <w:p>
            <w:pPr>
              <w:jc w:val="center"/>
              <w:ind w:left="1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Timothy J. Donahue</w:t>
            </w:r>
          </w:p>
        </w:tc>
        <w:tc>
          <w:tcPr>
            <w:tcW w:w="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22"/>
        </w:trPr>
        <w:tc>
          <w:tcPr>
            <w:tcW w:w="23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Page to Form S-4—Crown International Holdings, LLC]</w:t>
            </w:r>
          </w:p>
        </w:tc>
        <w:tc>
          <w:tcPr>
            <w:tcW w:w="1300" w:type="dxa"/>
            <w:vAlign w:val="bottom"/>
          </w:tcPr>
          <w:p>
            <w:pPr>
              <w:spacing w:after="0"/>
              <w:rPr>
                <w:sz w:val="24"/>
                <w:szCs w:val="24"/>
                <w:color w:val="auto"/>
              </w:rPr>
            </w:pPr>
          </w:p>
        </w:tc>
      </w:tr>
      <w:tr>
        <w:trPr>
          <w:trHeight w:val="277"/>
        </w:trPr>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II-23</w:t>
            </w:r>
          </w:p>
        </w:tc>
        <w:tc>
          <w:tcPr>
            <w:tcW w:w="13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 USA,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Gary M. Gavin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8">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Gary M. Gavin</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620" w:type="dxa"/>
            <w:vAlign w:val="bottom"/>
          </w:tcPr>
          <w:p>
            <w:pPr>
              <w:jc w:val="center"/>
              <w:ind w:left="59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660" w:type="dxa"/>
            <w:vAlign w:val="bottom"/>
          </w:tcPr>
          <w:p>
            <w:pPr>
              <w:spacing w:after="0"/>
              <w:rPr>
                <w:sz w:val="12"/>
                <w:szCs w:val="12"/>
                <w:color w:val="auto"/>
              </w:rPr>
            </w:pPr>
          </w:p>
        </w:tc>
        <w:tc>
          <w:tcPr>
            <w:tcW w:w="34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620" w:type="dxa"/>
            <w:vAlign w:val="bottom"/>
            <w:tcBorders>
              <w:bottom w:val="single" w:sz="8" w:color="auto"/>
            </w:tcBorders>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6"/>
              </w:rPr>
              <w:t>/s/ Gary M. Gavin</w:t>
            </w:r>
          </w:p>
        </w:tc>
        <w:tc>
          <w:tcPr>
            <w:tcW w:w="6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620" w:type="dxa"/>
            <w:vAlign w:val="bottom"/>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6"/>
              </w:rPr>
              <w:t>Gary M. Gavin</w:t>
            </w:r>
          </w:p>
        </w:tc>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2"/>
        </w:trPr>
        <w:tc>
          <w:tcPr>
            <w:tcW w:w="2620" w:type="dxa"/>
            <w:vAlign w:val="bottom"/>
            <w:tcBorders>
              <w:bottom w:val="single" w:sz="8" w:color="auto"/>
            </w:tcBorders>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6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Treasurer (Principal Financial and</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620" w:type="dxa"/>
            <w:vAlign w:val="bottom"/>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660" w:type="dxa"/>
            <w:vAlign w:val="bottom"/>
          </w:tcPr>
          <w:p>
            <w:pPr>
              <w:spacing w:after="0"/>
              <w:rPr>
                <w:sz w:val="14"/>
                <w:szCs w:val="14"/>
                <w:color w:val="auto"/>
              </w:rPr>
            </w:pPr>
          </w:p>
        </w:tc>
        <w:tc>
          <w:tcPr>
            <w:tcW w:w="340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Accounting Officer)</w:t>
            </w:r>
          </w:p>
        </w:tc>
        <w:tc>
          <w:tcPr>
            <w:tcW w:w="1480" w:type="dxa"/>
            <w:vAlign w:val="bottom"/>
          </w:tcPr>
          <w:p>
            <w:pPr>
              <w:spacing w:after="0"/>
              <w:rPr>
                <w:sz w:val="14"/>
                <w:szCs w:val="14"/>
                <w:color w:val="auto"/>
              </w:rPr>
            </w:pPr>
          </w:p>
        </w:tc>
      </w:tr>
      <w:tr>
        <w:trPr>
          <w:trHeight w:val="323"/>
        </w:trPr>
        <w:tc>
          <w:tcPr>
            <w:tcW w:w="2620" w:type="dxa"/>
            <w:vAlign w:val="bottom"/>
            <w:tcBorders>
              <w:bottom w:val="single" w:sz="8" w:color="auto"/>
            </w:tcBorders>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6"/>
              </w:rPr>
              <w:t>/s/ Ronald S. Cenderelli</w:t>
            </w:r>
          </w:p>
        </w:tc>
        <w:tc>
          <w:tcPr>
            <w:tcW w:w="6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Director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620" w:type="dxa"/>
            <w:vAlign w:val="bottom"/>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6"/>
              </w:rPr>
              <w:t>Ronald S. Cenderelli</w:t>
            </w:r>
          </w:p>
        </w:tc>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3"/>
        </w:trPr>
        <w:tc>
          <w:tcPr>
            <w:tcW w:w="2620" w:type="dxa"/>
            <w:vAlign w:val="bottom"/>
            <w:tcBorders>
              <w:bottom w:val="single" w:sz="8" w:color="auto"/>
            </w:tcBorders>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7"/>
              </w:rPr>
              <w:t>/s/ Adam J. Dickstein</w:t>
            </w:r>
          </w:p>
        </w:tc>
        <w:tc>
          <w:tcPr>
            <w:tcW w:w="660" w:type="dxa"/>
            <w:vAlign w:val="bottom"/>
            <w:tcBorders>
              <w:bottom w:val="single" w:sz="8" w:color="auto"/>
            </w:tcBorders>
          </w:tcPr>
          <w:p>
            <w:pPr>
              <w:spacing w:after="0"/>
              <w:rPr>
                <w:sz w:val="24"/>
                <w:szCs w:val="2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Secretary and Director</w:t>
            </w:r>
          </w:p>
        </w:tc>
        <w:tc>
          <w:tcPr>
            <w:tcW w:w="148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620" w:type="dxa"/>
            <w:vAlign w:val="bottom"/>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8"/>
              </w:rPr>
              <w:t>Adam J. Dickstein</w:t>
            </w:r>
          </w:p>
        </w:tc>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2"/>
        </w:trPr>
        <w:tc>
          <w:tcPr>
            <w:tcW w:w="2620" w:type="dxa"/>
            <w:vAlign w:val="bottom"/>
          </w:tcPr>
          <w:p>
            <w:pPr>
              <w:spacing w:after="0"/>
              <w:rPr>
                <w:sz w:val="24"/>
                <w:szCs w:val="24"/>
                <w:color w:val="auto"/>
              </w:rPr>
            </w:pPr>
          </w:p>
        </w:tc>
        <w:tc>
          <w:tcPr>
            <w:tcW w:w="40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[Signature Page to Form S-4—CR USA, Inc.]</w:t>
            </w:r>
          </w:p>
        </w:tc>
        <w:tc>
          <w:tcPr>
            <w:tcW w:w="1480" w:type="dxa"/>
            <w:vAlign w:val="bottom"/>
          </w:tcPr>
          <w:p>
            <w:pPr>
              <w:spacing w:after="0"/>
              <w:rPr>
                <w:sz w:val="24"/>
                <w:szCs w:val="24"/>
                <w:color w:val="auto"/>
              </w:rPr>
            </w:pPr>
          </w:p>
        </w:tc>
      </w:tr>
      <w:tr>
        <w:trPr>
          <w:trHeight w:val="277"/>
        </w:trPr>
        <w:tc>
          <w:tcPr>
            <w:tcW w:w="2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II-24</w:t>
            </w:r>
          </w:p>
        </w:tc>
        <w:tc>
          <w:tcPr>
            <w:tcW w:w="148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SIGNODE INDUSTRIAL GROUP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0">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Matt Madeksza</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20" w:type="dxa"/>
            <w:vAlign w:val="bottom"/>
          </w:tcPr>
          <w:p>
            <w:pPr>
              <w:spacing w:after="0"/>
              <w:rPr>
                <w:sz w:val="12"/>
                <w:szCs w:val="12"/>
                <w:color w:val="auto"/>
              </w:rPr>
            </w:pPr>
          </w:p>
        </w:tc>
        <w:tc>
          <w:tcPr>
            <w:tcW w:w="344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40" w:type="dxa"/>
            <w:vAlign w:val="bottom"/>
          </w:tcPr>
          <w:p>
            <w:pPr>
              <w:jc w:val="center"/>
              <w:ind w:left="275"/>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7"/>
              </w:rPr>
              <w:t>/s/ Matt Madeksza</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of Sole Member (Principal</w:t>
            </w:r>
          </w:p>
        </w:tc>
        <w:tc>
          <w:tcPr>
            <w:tcW w:w="1440" w:type="dxa"/>
            <w:vAlign w:val="bottom"/>
          </w:tcPr>
          <w:p>
            <w:pPr>
              <w:jc w:val="center"/>
              <w:ind w:left="27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8"/>
              </w:rPr>
              <w:t>Matt Madeksza</w:t>
            </w:r>
          </w:p>
        </w:tc>
        <w:tc>
          <w:tcPr>
            <w:tcW w:w="920" w:type="dxa"/>
            <w:vAlign w:val="bottom"/>
          </w:tcPr>
          <w:p>
            <w:pPr>
              <w:spacing w:after="0"/>
              <w:rPr>
                <w:sz w:val="14"/>
                <w:szCs w:val="14"/>
                <w:color w:val="auto"/>
              </w:rPr>
            </w:pPr>
          </w:p>
        </w:tc>
        <w:tc>
          <w:tcPr>
            <w:tcW w:w="344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Executive Officer)</w:t>
            </w:r>
          </w:p>
        </w:tc>
        <w:tc>
          <w:tcPr>
            <w:tcW w:w="1440" w:type="dxa"/>
            <w:vAlign w:val="bottom"/>
          </w:tcPr>
          <w:p>
            <w:pPr>
              <w:spacing w:after="0"/>
              <w:rPr>
                <w:sz w:val="14"/>
                <w:szCs w:val="14"/>
                <w:color w:val="auto"/>
              </w:rPr>
            </w:pPr>
          </w:p>
        </w:tc>
      </w:tr>
      <w:tr>
        <w:trPr>
          <w:trHeight w:val="322"/>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Treasurer, Chief Financial Officer and Director of Sole</w:t>
            </w:r>
          </w:p>
        </w:tc>
        <w:tc>
          <w:tcPr>
            <w:tcW w:w="1440" w:type="dxa"/>
            <w:vAlign w:val="bottom"/>
          </w:tcPr>
          <w:p>
            <w:pPr>
              <w:jc w:val="center"/>
              <w:ind w:left="27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2360" w:type="dxa"/>
            <w:vAlign w:val="bottom"/>
          </w:tcPr>
          <w:p>
            <w:pPr>
              <w:jc w:val="center"/>
              <w:ind w:left="853"/>
              <w:spacing w:after="0" w:line="133" w:lineRule="exact"/>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920" w:type="dxa"/>
            <w:vAlign w:val="bottom"/>
          </w:tcPr>
          <w:p>
            <w:pPr>
              <w:spacing w:after="0"/>
              <w:rPr>
                <w:sz w:val="11"/>
                <w:szCs w:val="11"/>
                <w:color w:val="auto"/>
              </w:rPr>
            </w:pPr>
          </w:p>
        </w:tc>
        <w:tc>
          <w:tcPr>
            <w:tcW w:w="344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Member (Principal Financial Officer and Principal</w:t>
            </w:r>
          </w:p>
        </w:tc>
        <w:tc>
          <w:tcPr>
            <w:tcW w:w="1440" w:type="dxa"/>
            <w:vAlign w:val="bottom"/>
          </w:tcPr>
          <w:p>
            <w:pPr>
              <w:spacing w:after="0"/>
              <w:rPr>
                <w:sz w:val="11"/>
                <w:szCs w:val="11"/>
                <w:color w:val="auto"/>
              </w:rPr>
            </w:pPr>
          </w:p>
        </w:tc>
      </w:tr>
      <w:tr>
        <w:trPr>
          <w:trHeight w:val="176"/>
        </w:trPr>
        <w:tc>
          <w:tcPr>
            <w:tcW w:w="2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Accounting Officer)</w:t>
            </w:r>
          </w:p>
        </w:tc>
        <w:tc>
          <w:tcPr>
            <w:tcW w:w="1440" w:type="dxa"/>
            <w:vAlign w:val="bottom"/>
          </w:tcPr>
          <w:p>
            <w:pPr>
              <w:spacing w:after="0"/>
              <w:rPr>
                <w:sz w:val="15"/>
                <w:szCs w:val="15"/>
                <w:color w:val="auto"/>
              </w:rPr>
            </w:pPr>
          </w:p>
        </w:tc>
      </w:tr>
      <w:tr>
        <w:trPr>
          <w:trHeight w:val="329"/>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920" w:type="dxa"/>
            <w:vAlign w:val="bottom"/>
            <w:tcBorders>
              <w:bottom w:val="single" w:sz="8" w:color="auto"/>
            </w:tcBorders>
          </w:tcPr>
          <w:p>
            <w:pPr>
              <w:spacing w:after="0"/>
              <w:rPr>
                <w:sz w:val="24"/>
                <w:szCs w:val="2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440" w:type="dxa"/>
            <w:vAlign w:val="bottom"/>
          </w:tcPr>
          <w:p>
            <w:pPr>
              <w:jc w:val="center"/>
              <w:ind w:left="27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22"/>
        </w:trPr>
        <w:tc>
          <w:tcPr>
            <w:tcW w:w="2360" w:type="dxa"/>
            <w:vAlign w:val="bottom"/>
          </w:tcPr>
          <w:p>
            <w:pPr>
              <w:spacing w:after="0"/>
              <w:rPr>
                <w:sz w:val="24"/>
                <w:szCs w:val="24"/>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[Signature Page to Form S-4—Signode Industrial Group LLC]</w:t>
            </w:r>
          </w:p>
        </w:tc>
        <w:tc>
          <w:tcPr>
            <w:tcW w:w="1440" w:type="dxa"/>
            <w:vAlign w:val="bottom"/>
          </w:tcPr>
          <w:p>
            <w:pPr>
              <w:spacing w:after="0"/>
              <w:rPr>
                <w:sz w:val="24"/>
                <w:szCs w:val="24"/>
                <w:color w:val="auto"/>
              </w:rPr>
            </w:pPr>
          </w:p>
        </w:tc>
      </w:tr>
      <w:tr>
        <w:trPr>
          <w:trHeight w:val="277"/>
        </w:trPr>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II-25</w:t>
            </w:r>
          </w:p>
        </w:tc>
        <w:tc>
          <w:tcPr>
            <w:tcW w:w="144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SIGNODE PICKLING HOLDING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Patrick Staggs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2">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Patrick Staggs</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40" w:type="dxa"/>
            <w:vAlign w:val="bottom"/>
          </w:tcPr>
          <w:p>
            <w:pPr>
              <w:spacing w:after="0"/>
              <w:rPr>
                <w:sz w:val="12"/>
                <w:szCs w:val="12"/>
                <w:color w:val="auto"/>
              </w:rPr>
            </w:pPr>
          </w:p>
        </w:tc>
        <w:tc>
          <w:tcPr>
            <w:tcW w:w="356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6"/>
              </w:rPr>
              <w:t>/s/ Patrick Staggs</w:t>
            </w:r>
          </w:p>
        </w:tc>
        <w:tc>
          <w:tcPr>
            <w:tcW w:w="940" w:type="dxa"/>
            <w:vAlign w:val="bottom"/>
            <w:tcBorders>
              <w:bottom w:val="single" w:sz="8" w:color="auto"/>
            </w:tcBorders>
          </w:tcPr>
          <w:p>
            <w:pPr>
              <w:spacing w:after="0"/>
              <w:rPr>
                <w:sz w:val="24"/>
                <w:szCs w:val="24"/>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(Principal Executive Officer)</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6"/>
              </w:rPr>
              <w:t>Patrick Staggs</w:t>
            </w: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22"/>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940" w:type="dxa"/>
            <w:vAlign w:val="bottom"/>
            <w:tcBorders>
              <w:bottom w:val="single" w:sz="8" w:color="auto"/>
            </w:tcBorders>
          </w:tcPr>
          <w:p>
            <w:pPr>
              <w:spacing w:after="0"/>
              <w:rPr>
                <w:sz w:val="24"/>
                <w:szCs w:val="24"/>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Assistant Treasurer (Principal Financial</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940" w:type="dxa"/>
            <w:vAlign w:val="bottom"/>
          </w:tcPr>
          <w:p>
            <w:pPr>
              <w:spacing w:after="0"/>
              <w:rPr>
                <w:sz w:val="14"/>
                <w:szCs w:val="14"/>
                <w:color w:val="auto"/>
              </w:rPr>
            </w:pPr>
          </w:p>
        </w:tc>
        <w:tc>
          <w:tcPr>
            <w:tcW w:w="356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Officer and Principal Accounting Officer)</w:t>
            </w:r>
          </w:p>
        </w:tc>
        <w:tc>
          <w:tcPr>
            <w:tcW w:w="1320" w:type="dxa"/>
            <w:vAlign w:val="bottom"/>
          </w:tcPr>
          <w:p>
            <w:pPr>
              <w:spacing w:after="0"/>
              <w:rPr>
                <w:sz w:val="14"/>
                <w:szCs w:val="14"/>
                <w:color w:val="auto"/>
              </w:rPr>
            </w:pPr>
          </w:p>
        </w:tc>
      </w:tr>
      <w:tr>
        <w:trPr>
          <w:trHeight w:val="323"/>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8"/>
              </w:rPr>
              <w:t>/s/ Kevin Jaffe</w:t>
            </w:r>
          </w:p>
        </w:tc>
        <w:tc>
          <w:tcPr>
            <w:tcW w:w="940" w:type="dxa"/>
            <w:vAlign w:val="bottom"/>
            <w:tcBorders>
              <w:bottom w:val="single" w:sz="8" w:color="auto"/>
            </w:tcBorders>
          </w:tcPr>
          <w:p>
            <w:pPr>
              <w:spacing w:after="0"/>
              <w:rPr>
                <w:sz w:val="24"/>
                <w:szCs w:val="24"/>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Secretary</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8"/>
              </w:rPr>
              <w:t>Kevin Jaffe</w:t>
            </w: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23"/>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Matt Madeksza</w:t>
            </w:r>
          </w:p>
        </w:tc>
        <w:tc>
          <w:tcPr>
            <w:tcW w:w="940" w:type="dxa"/>
            <w:vAlign w:val="bottom"/>
            <w:tcBorders>
              <w:bottom w:val="single" w:sz="8" w:color="auto"/>
            </w:tcBorders>
          </w:tcPr>
          <w:p>
            <w:pPr>
              <w:spacing w:after="0"/>
              <w:rPr>
                <w:sz w:val="24"/>
                <w:szCs w:val="24"/>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 of Sole Member</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8"/>
              </w:rPr>
              <w:t>Matt Madeksza</w:t>
            </w: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23"/>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940" w:type="dxa"/>
            <w:vAlign w:val="bottom"/>
            <w:tcBorders>
              <w:bottom w:val="single" w:sz="8" w:color="auto"/>
            </w:tcBorders>
          </w:tcPr>
          <w:p>
            <w:pPr>
              <w:spacing w:after="0"/>
              <w:rPr>
                <w:sz w:val="24"/>
                <w:szCs w:val="24"/>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 of Sole Member</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23"/>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940" w:type="dxa"/>
            <w:vAlign w:val="bottom"/>
            <w:tcBorders>
              <w:bottom w:val="single" w:sz="8" w:color="auto"/>
            </w:tcBorders>
          </w:tcPr>
          <w:p>
            <w:pPr>
              <w:spacing w:after="0"/>
              <w:rPr>
                <w:sz w:val="24"/>
                <w:szCs w:val="24"/>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 of Sole Member</w:t>
            </w:r>
          </w:p>
        </w:tc>
        <w:tc>
          <w:tcPr>
            <w:tcW w:w="1320" w:type="dxa"/>
            <w:vAlign w:val="bottom"/>
          </w:tcPr>
          <w:p>
            <w:pPr>
              <w:jc w:val="center"/>
              <w:ind w:left="153"/>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22"/>
        </w:trPr>
        <w:tc>
          <w:tcPr>
            <w:tcW w:w="2340" w:type="dxa"/>
            <w:vAlign w:val="bottom"/>
          </w:tcPr>
          <w:p>
            <w:pPr>
              <w:spacing w:after="0"/>
              <w:rPr>
                <w:sz w:val="24"/>
                <w:szCs w:val="24"/>
                <w:color w:val="auto"/>
              </w:rPr>
            </w:pP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[Signature Page to Form S-4—Signode Pickling Holding LLC]</w:t>
            </w:r>
          </w:p>
        </w:tc>
        <w:tc>
          <w:tcPr>
            <w:tcW w:w="1320" w:type="dxa"/>
            <w:vAlign w:val="bottom"/>
          </w:tcPr>
          <w:p>
            <w:pPr>
              <w:spacing w:after="0"/>
              <w:rPr>
                <w:sz w:val="24"/>
                <w:szCs w:val="24"/>
                <w:color w:val="auto"/>
              </w:rPr>
            </w:pPr>
          </w:p>
        </w:tc>
      </w:tr>
      <w:tr>
        <w:trPr>
          <w:trHeight w:val="277"/>
        </w:trPr>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II-26</w:t>
            </w:r>
          </w:p>
        </w:tc>
        <w:tc>
          <w:tcPr>
            <w:tcW w:w="132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SIGNODE US IP HOLDINGS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4">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Matt Madeksza</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20" w:type="dxa"/>
            <w:vAlign w:val="bottom"/>
          </w:tcPr>
          <w:p>
            <w:pPr>
              <w:spacing w:after="0"/>
              <w:rPr>
                <w:sz w:val="12"/>
                <w:szCs w:val="12"/>
                <w:color w:val="auto"/>
              </w:rPr>
            </w:pPr>
          </w:p>
        </w:tc>
        <w:tc>
          <w:tcPr>
            <w:tcW w:w="35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7"/>
              </w:rPr>
              <w:t>/s/ Matt Madeksza</w:t>
            </w:r>
          </w:p>
        </w:tc>
        <w:tc>
          <w:tcPr>
            <w:tcW w:w="920" w:type="dxa"/>
            <w:vAlign w:val="bottom"/>
            <w:tcBorders>
              <w:bottom w:val="single" w:sz="8" w:color="auto"/>
            </w:tcBorders>
          </w:tcPr>
          <w:p>
            <w:pPr>
              <w:spacing w:after="0"/>
              <w:rPr>
                <w:sz w:val="24"/>
                <w:szCs w:val="24"/>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of Sole Member (Principal</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8"/>
              </w:rPr>
              <w:t>Matt Madeksza</w:t>
            </w:r>
          </w:p>
        </w:tc>
        <w:tc>
          <w:tcPr>
            <w:tcW w:w="920" w:type="dxa"/>
            <w:vAlign w:val="bottom"/>
          </w:tcPr>
          <w:p>
            <w:pPr>
              <w:spacing w:after="0"/>
              <w:rPr>
                <w:sz w:val="14"/>
                <w:szCs w:val="14"/>
                <w:color w:val="auto"/>
              </w:rPr>
            </w:pPr>
          </w:p>
        </w:tc>
        <w:tc>
          <w:tcPr>
            <w:tcW w:w="350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Executive Officer)</w:t>
            </w:r>
          </w:p>
        </w:tc>
        <w:tc>
          <w:tcPr>
            <w:tcW w:w="1380" w:type="dxa"/>
            <w:vAlign w:val="bottom"/>
          </w:tcPr>
          <w:p>
            <w:pPr>
              <w:spacing w:after="0"/>
              <w:rPr>
                <w:sz w:val="14"/>
                <w:szCs w:val="14"/>
                <w:color w:val="auto"/>
              </w:rPr>
            </w:pPr>
          </w:p>
        </w:tc>
      </w:tr>
      <w:tr>
        <w:trPr>
          <w:trHeight w:val="322"/>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920" w:type="dxa"/>
            <w:vAlign w:val="bottom"/>
            <w:tcBorders>
              <w:bottom w:val="single" w:sz="8" w:color="auto"/>
            </w:tcBorders>
          </w:tcPr>
          <w:p>
            <w:pPr>
              <w:spacing w:after="0"/>
              <w:rPr>
                <w:sz w:val="24"/>
                <w:szCs w:val="24"/>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and Treasurer and Director of Sole</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2360" w:type="dxa"/>
            <w:vAlign w:val="bottom"/>
          </w:tcPr>
          <w:p>
            <w:pPr>
              <w:jc w:val="center"/>
              <w:ind w:left="853"/>
              <w:spacing w:after="0" w:line="133" w:lineRule="exact"/>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920" w:type="dxa"/>
            <w:vAlign w:val="bottom"/>
          </w:tcPr>
          <w:p>
            <w:pPr>
              <w:spacing w:after="0"/>
              <w:rPr>
                <w:sz w:val="11"/>
                <w:szCs w:val="11"/>
                <w:color w:val="auto"/>
              </w:rPr>
            </w:pPr>
          </w:p>
        </w:tc>
        <w:tc>
          <w:tcPr>
            <w:tcW w:w="350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Member (Principal Financial Officer and Principal</w:t>
            </w:r>
          </w:p>
        </w:tc>
        <w:tc>
          <w:tcPr>
            <w:tcW w:w="1380" w:type="dxa"/>
            <w:vAlign w:val="bottom"/>
          </w:tcPr>
          <w:p>
            <w:pPr>
              <w:spacing w:after="0"/>
              <w:rPr>
                <w:sz w:val="11"/>
                <w:szCs w:val="11"/>
                <w:color w:val="auto"/>
              </w:rPr>
            </w:pPr>
          </w:p>
        </w:tc>
      </w:tr>
      <w:tr>
        <w:trPr>
          <w:trHeight w:val="176"/>
        </w:trPr>
        <w:tc>
          <w:tcPr>
            <w:tcW w:w="2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Accounting Officer)</w:t>
            </w:r>
          </w:p>
        </w:tc>
        <w:tc>
          <w:tcPr>
            <w:tcW w:w="1380" w:type="dxa"/>
            <w:vAlign w:val="bottom"/>
          </w:tcPr>
          <w:p>
            <w:pPr>
              <w:spacing w:after="0"/>
              <w:rPr>
                <w:sz w:val="15"/>
                <w:szCs w:val="15"/>
                <w:color w:val="auto"/>
              </w:rPr>
            </w:pPr>
          </w:p>
        </w:tc>
      </w:tr>
      <w:tr>
        <w:trPr>
          <w:trHeight w:val="329"/>
        </w:trPr>
        <w:tc>
          <w:tcPr>
            <w:tcW w:w="23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920" w:type="dxa"/>
            <w:vAlign w:val="bottom"/>
            <w:tcBorders>
              <w:bottom w:val="single" w:sz="8" w:color="auto"/>
            </w:tcBorders>
          </w:tcPr>
          <w:p>
            <w:pPr>
              <w:spacing w:after="0"/>
              <w:rPr>
                <w:sz w:val="24"/>
                <w:szCs w:val="24"/>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6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9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22"/>
        </w:trPr>
        <w:tc>
          <w:tcPr>
            <w:tcW w:w="2360" w:type="dxa"/>
            <w:vAlign w:val="bottom"/>
          </w:tcPr>
          <w:p>
            <w:pPr>
              <w:spacing w:after="0"/>
              <w:rPr>
                <w:sz w:val="24"/>
                <w:szCs w:val="24"/>
                <w:color w:val="auto"/>
              </w:rPr>
            </w:pP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[Signature Page to Form S-4—Signode US IP Holdings LLC]</w:t>
            </w:r>
          </w:p>
        </w:tc>
        <w:tc>
          <w:tcPr>
            <w:tcW w:w="1380" w:type="dxa"/>
            <w:vAlign w:val="bottom"/>
          </w:tcPr>
          <w:p>
            <w:pPr>
              <w:spacing w:after="0"/>
              <w:rPr>
                <w:sz w:val="24"/>
                <w:szCs w:val="24"/>
                <w:color w:val="auto"/>
              </w:rPr>
            </w:pPr>
          </w:p>
        </w:tc>
      </w:tr>
      <w:tr>
        <w:trPr>
          <w:trHeight w:val="277"/>
        </w:trPr>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II-27</w:t>
            </w:r>
          </w:p>
        </w:tc>
        <w:tc>
          <w:tcPr>
            <w:tcW w:w="138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SIGNODE INDUSTRIAL GROUP US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6">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Matt Madeksza</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60" w:type="dxa"/>
            <w:vAlign w:val="bottom"/>
          </w:tcPr>
          <w:p>
            <w:pPr>
              <w:spacing w:after="0"/>
              <w:rPr>
                <w:sz w:val="12"/>
                <w:szCs w:val="12"/>
                <w:color w:val="auto"/>
              </w:rPr>
            </w:pPr>
          </w:p>
        </w:tc>
        <w:tc>
          <w:tcPr>
            <w:tcW w:w="35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Matt Madeksza</w:t>
            </w:r>
          </w:p>
        </w:tc>
        <w:tc>
          <w:tcPr>
            <w:tcW w:w="960" w:type="dxa"/>
            <w:vAlign w:val="bottom"/>
            <w:tcBorders>
              <w:bottom w:val="single" w:sz="8" w:color="auto"/>
            </w:tcBorders>
          </w:tcPr>
          <w:p>
            <w:pPr>
              <w:spacing w:after="0"/>
              <w:rPr>
                <w:sz w:val="24"/>
                <w:szCs w:val="24"/>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8"/>
              </w:rPr>
              <w:t>Matt Madeksza</w:t>
            </w:r>
          </w:p>
        </w:tc>
        <w:tc>
          <w:tcPr>
            <w:tcW w:w="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22"/>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960" w:type="dxa"/>
            <w:vAlign w:val="bottom"/>
            <w:tcBorders>
              <w:bottom w:val="single" w:sz="8" w:color="auto"/>
            </w:tcBorders>
          </w:tcPr>
          <w:p>
            <w:pPr>
              <w:spacing w:after="0"/>
              <w:rPr>
                <w:sz w:val="24"/>
                <w:szCs w:val="24"/>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Chief Financial Officer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2320" w:type="dxa"/>
            <w:vAlign w:val="bottom"/>
          </w:tcPr>
          <w:p>
            <w:pPr>
              <w:jc w:val="center"/>
              <w:ind w:left="893"/>
              <w:spacing w:after="0" w:line="133" w:lineRule="exact"/>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960" w:type="dxa"/>
            <w:vAlign w:val="bottom"/>
          </w:tcPr>
          <w:p>
            <w:pPr>
              <w:spacing w:after="0"/>
              <w:rPr>
                <w:sz w:val="11"/>
                <w:szCs w:val="11"/>
                <w:color w:val="auto"/>
              </w:rPr>
            </w:pPr>
          </w:p>
        </w:tc>
        <w:tc>
          <w:tcPr>
            <w:tcW w:w="350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and Director (Principal Financial Officer and Principal</w:t>
            </w:r>
          </w:p>
        </w:tc>
        <w:tc>
          <w:tcPr>
            <w:tcW w:w="1380" w:type="dxa"/>
            <w:vAlign w:val="bottom"/>
          </w:tcPr>
          <w:p>
            <w:pPr>
              <w:spacing w:after="0"/>
              <w:rPr>
                <w:sz w:val="11"/>
                <w:szCs w:val="11"/>
                <w:color w:val="auto"/>
              </w:rPr>
            </w:pPr>
          </w:p>
        </w:tc>
      </w:tr>
      <w:tr>
        <w:trPr>
          <w:trHeight w:val="176"/>
        </w:trPr>
        <w:tc>
          <w:tcPr>
            <w:tcW w:w="2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Accounting Officer)</w:t>
            </w:r>
          </w:p>
        </w:tc>
        <w:tc>
          <w:tcPr>
            <w:tcW w:w="1380" w:type="dxa"/>
            <w:vAlign w:val="bottom"/>
          </w:tcPr>
          <w:p>
            <w:pPr>
              <w:spacing w:after="0"/>
              <w:rPr>
                <w:sz w:val="15"/>
                <w:szCs w:val="15"/>
                <w:color w:val="auto"/>
              </w:rPr>
            </w:pPr>
          </w:p>
        </w:tc>
      </w:tr>
      <w:tr>
        <w:trPr>
          <w:trHeight w:val="329"/>
        </w:trPr>
        <w:tc>
          <w:tcPr>
            <w:tcW w:w="2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960" w:type="dxa"/>
            <w:vAlign w:val="bottom"/>
            <w:tcBorders>
              <w:bottom w:val="single" w:sz="8" w:color="auto"/>
            </w:tcBorders>
          </w:tcPr>
          <w:p>
            <w:pPr>
              <w:spacing w:after="0"/>
              <w:rPr>
                <w:sz w:val="24"/>
                <w:szCs w:val="24"/>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2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22"/>
        </w:trPr>
        <w:tc>
          <w:tcPr>
            <w:tcW w:w="2320" w:type="dxa"/>
            <w:vAlign w:val="bottom"/>
          </w:tcPr>
          <w:p>
            <w:pPr>
              <w:spacing w:after="0"/>
              <w:rPr>
                <w:sz w:val="24"/>
                <w:szCs w:val="24"/>
                <w:color w:val="auto"/>
              </w:rPr>
            </w:pPr>
          </w:p>
        </w:tc>
        <w:tc>
          <w:tcPr>
            <w:tcW w:w="44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[Signature Page to Form S-4—Signode Industrial Group US Inc.]</w:t>
            </w:r>
          </w:p>
        </w:tc>
        <w:tc>
          <w:tcPr>
            <w:tcW w:w="1380" w:type="dxa"/>
            <w:vAlign w:val="bottom"/>
          </w:tcPr>
          <w:p>
            <w:pPr>
              <w:spacing w:after="0"/>
              <w:rPr>
                <w:sz w:val="24"/>
                <w:szCs w:val="24"/>
                <w:color w:val="auto"/>
              </w:rPr>
            </w:pPr>
          </w:p>
        </w:tc>
      </w:tr>
      <w:tr>
        <w:trPr>
          <w:trHeight w:val="277"/>
        </w:trPr>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II-28</w:t>
            </w:r>
          </w:p>
        </w:tc>
        <w:tc>
          <w:tcPr>
            <w:tcW w:w="138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SIGNODE INDUSTRIAL GROUP HOLDINGS US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12700</wp:posOffset>
            </wp:positionV>
            <wp:extent cx="247332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8">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Name: Matt Madeksza</w:t>
      </w:r>
    </w:p>
    <w:p>
      <w:pPr>
        <w:spacing w:after="0" w:line="1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5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Matt Madeksza</w:t>
            </w: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Matt Madeksza</w:t>
            </w: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2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Chief Financial Officer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32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350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and Director (Principal Financial Officer and Principal</w:t>
            </w:r>
          </w:p>
        </w:tc>
        <w:tc>
          <w:tcPr>
            <w:tcW w:w="1380" w:type="dxa"/>
            <w:vAlign w:val="bottom"/>
          </w:tcPr>
          <w:p>
            <w:pPr>
              <w:spacing w:after="0"/>
              <w:rPr>
                <w:sz w:val="11"/>
                <w:szCs w:val="11"/>
                <w:color w:val="auto"/>
              </w:rPr>
            </w:pPr>
          </w:p>
        </w:tc>
      </w:tr>
      <w:tr>
        <w:trPr>
          <w:trHeight w:val="176"/>
        </w:trPr>
        <w:tc>
          <w:tcPr>
            <w:tcW w:w="3280" w:type="dxa"/>
            <w:vAlign w:val="bottom"/>
          </w:tcPr>
          <w:p>
            <w:pPr>
              <w:spacing w:after="0"/>
              <w:rPr>
                <w:sz w:val="15"/>
                <w:szCs w:val="15"/>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Accounting Officer)</w:t>
            </w:r>
          </w:p>
        </w:tc>
        <w:tc>
          <w:tcPr>
            <w:tcW w:w="1380" w:type="dxa"/>
            <w:vAlign w:val="bottom"/>
          </w:tcPr>
          <w:p>
            <w:pPr>
              <w:spacing w:after="0"/>
              <w:rPr>
                <w:sz w:val="15"/>
                <w:szCs w:val="15"/>
                <w:color w:val="auto"/>
              </w:rPr>
            </w:pPr>
          </w:p>
        </w:tc>
      </w:tr>
      <w:tr>
        <w:trPr>
          <w:trHeight w:val="32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380" w:type="dxa"/>
            <w:vAlign w:val="bottom"/>
          </w:tcPr>
          <w:p>
            <w:pPr>
              <w:jc w:val="center"/>
              <w:ind w:left="21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S-4—Signode Industrial Group Holdings US Inc.]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II-29</w:t>
      </w:r>
    </w:p>
    <w:p>
      <w:pPr>
        <w:sectPr>
          <w:pgSz w:w="11900" w:h="16838" w:orient="portrait"/>
          <w:cols w:equalWidth="0" w:num="1">
            <w:col w:w="10159"/>
          </w:cols>
          <w:pgMar w:left="300" w:top="380"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SIGNODE INTERNATIONAL IP HOLDINGS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Matt Madeksza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12700</wp:posOffset>
            </wp:positionV>
            <wp:extent cx="222504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0">
                      <a:extLst>
                        <a:ext uri="{28A0092B-C50C-407E-A947-70E740481C1C}"/>
                      </a:extLst>
                    </a:blip>
                    <a:srcRect/>
                    <a:stretch>
                      <a:fillRect/>
                    </a:stretch>
                  </pic:blipFill>
                  <pic:spPr bwMode="auto">
                    <a:xfrm>
                      <a:off x="0" y="0"/>
                      <a:ext cx="2225040"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Matt Madeksza</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52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60" w:type="dxa"/>
            <w:vAlign w:val="bottom"/>
          </w:tcPr>
          <w:p>
            <w:pPr>
              <w:jc w:val="center"/>
              <w:ind w:left="195"/>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Matt Madeksza</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of Sole Member (Principal</w:t>
            </w:r>
          </w:p>
        </w:tc>
        <w:tc>
          <w:tcPr>
            <w:tcW w:w="1360" w:type="dxa"/>
            <w:vAlign w:val="bottom"/>
          </w:tcPr>
          <w:p>
            <w:pPr>
              <w:jc w:val="center"/>
              <w:ind w:left="19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Matt Madeksza</w:t>
            </w:r>
          </w:p>
        </w:tc>
        <w:tc>
          <w:tcPr>
            <w:tcW w:w="352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Executive Officer)</w:t>
            </w:r>
          </w:p>
        </w:tc>
        <w:tc>
          <w:tcPr>
            <w:tcW w:w="1360" w:type="dxa"/>
            <w:vAlign w:val="bottom"/>
          </w:tcPr>
          <w:p>
            <w:pPr>
              <w:spacing w:after="0"/>
              <w:rPr>
                <w:sz w:val="14"/>
                <w:szCs w:val="14"/>
                <w:color w:val="auto"/>
              </w:rPr>
            </w:pPr>
          </w:p>
        </w:tc>
      </w:tr>
      <w:tr>
        <w:trPr>
          <w:trHeight w:val="32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Chief Financial Officer</w:t>
            </w:r>
          </w:p>
        </w:tc>
        <w:tc>
          <w:tcPr>
            <w:tcW w:w="1360" w:type="dxa"/>
            <w:vAlign w:val="bottom"/>
          </w:tcPr>
          <w:p>
            <w:pPr>
              <w:jc w:val="center"/>
              <w:ind w:left="19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33"/>
        </w:trPr>
        <w:tc>
          <w:tcPr>
            <w:tcW w:w="32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352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and Director of Sole Member (Principal Financial Officer</w:t>
            </w:r>
          </w:p>
        </w:tc>
        <w:tc>
          <w:tcPr>
            <w:tcW w:w="1360" w:type="dxa"/>
            <w:vAlign w:val="bottom"/>
          </w:tcPr>
          <w:p>
            <w:pPr>
              <w:spacing w:after="0"/>
              <w:rPr>
                <w:sz w:val="11"/>
                <w:szCs w:val="11"/>
                <w:color w:val="auto"/>
              </w:rPr>
            </w:pPr>
          </w:p>
        </w:tc>
      </w:tr>
      <w:tr>
        <w:trPr>
          <w:trHeight w:val="176"/>
        </w:trPr>
        <w:tc>
          <w:tcPr>
            <w:tcW w:w="328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Principal Accounting Officer)</w:t>
            </w:r>
          </w:p>
        </w:tc>
        <w:tc>
          <w:tcPr>
            <w:tcW w:w="1360" w:type="dxa"/>
            <w:vAlign w:val="bottom"/>
          </w:tcPr>
          <w:p>
            <w:pPr>
              <w:spacing w:after="0"/>
              <w:rPr>
                <w:sz w:val="15"/>
                <w:szCs w:val="15"/>
                <w:color w:val="auto"/>
              </w:rPr>
            </w:pPr>
          </w:p>
        </w:tc>
      </w:tr>
      <w:tr>
        <w:trPr>
          <w:trHeight w:val="329"/>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of Sole Member</w:t>
            </w:r>
          </w:p>
        </w:tc>
        <w:tc>
          <w:tcPr>
            <w:tcW w:w="1360" w:type="dxa"/>
            <w:vAlign w:val="bottom"/>
          </w:tcPr>
          <w:p>
            <w:pPr>
              <w:jc w:val="center"/>
              <w:ind w:left="19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52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S-4—Signode International IP Holdings LLC]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II-30</w:t>
      </w:r>
    </w:p>
    <w:p>
      <w:pPr>
        <w:sectPr>
          <w:pgSz w:w="11900" w:h="16838" w:orient="portrait"/>
          <w:cols w:equalWidth="0" w:num="1">
            <w:col w:w="10159"/>
          </w:cols>
          <w:pgMar w:left="300" w:top="380"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Tampa, State of Florida,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CROWN BEVERAGE HOLDINGS, INC.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2">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David A. Beaver</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940" w:type="dxa"/>
            <w:vAlign w:val="bottom"/>
          </w:tcPr>
          <w:p>
            <w:pPr>
              <w:spacing w:after="0"/>
              <w:rPr>
                <w:sz w:val="12"/>
                <w:szCs w:val="12"/>
                <w:color w:val="auto"/>
              </w:rPr>
            </w:pPr>
          </w:p>
        </w:tc>
        <w:tc>
          <w:tcPr>
            <w:tcW w:w="354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340" w:type="dxa"/>
            <w:vAlign w:val="bottom"/>
          </w:tcPr>
          <w:p>
            <w:pPr>
              <w:jc w:val="center"/>
              <w:ind w:left="175"/>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940" w:type="dxa"/>
            <w:vAlign w:val="bottom"/>
            <w:tcBorders>
              <w:bottom w:val="single" w:sz="8" w:color="auto"/>
            </w:tcBorders>
          </w:tcPr>
          <w:p>
            <w:pPr>
              <w:spacing w:after="0"/>
              <w:rPr>
                <w:sz w:val="24"/>
                <w:szCs w:val="24"/>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Director (Principal Executive Officer)</w:t>
            </w:r>
          </w:p>
        </w:tc>
        <w:tc>
          <w:tcPr>
            <w:tcW w:w="1340" w:type="dxa"/>
            <w:vAlign w:val="bottom"/>
          </w:tcPr>
          <w:p>
            <w:pPr>
              <w:jc w:val="center"/>
              <w:ind w:left="17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9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22"/>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/s/ Joseph C. Pearce</w:t>
            </w:r>
          </w:p>
        </w:tc>
        <w:tc>
          <w:tcPr>
            <w:tcW w:w="940" w:type="dxa"/>
            <w:vAlign w:val="bottom"/>
            <w:tcBorders>
              <w:bottom w:val="single" w:sz="8" w:color="auto"/>
            </w:tcBorders>
          </w:tcPr>
          <w:p>
            <w:pPr>
              <w:spacing w:after="0"/>
              <w:rPr>
                <w:sz w:val="24"/>
                <w:szCs w:val="24"/>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(Finance) and Director (Principal Financial</w:t>
            </w:r>
          </w:p>
        </w:tc>
        <w:tc>
          <w:tcPr>
            <w:tcW w:w="1340" w:type="dxa"/>
            <w:vAlign w:val="bottom"/>
          </w:tcPr>
          <w:p>
            <w:pPr>
              <w:jc w:val="center"/>
              <w:ind w:left="17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7"/>
              </w:rPr>
              <w:t>Joseph C. Pearce</w:t>
            </w:r>
          </w:p>
        </w:tc>
        <w:tc>
          <w:tcPr>
            <w:tcW w:w="940" w:type="dxa"/>
            <w:vAlign w:val="bottom"/>
          </w:tcPr>
          <w:p>
            <w:pPr>
              <w:spacing w:after="0"/>
              <w:rPr>
                <w:sz w:val="14"/>
                <w:szCs w:val="14"/>
                <w:color w:val="auto"/>
              </w:rPr>
            </w:pPr>
          </w:p>
        </w:tc>
        <w:tc>
          <w:tcPr>
            <w:tcW w:w="354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Officer and Principal Accounting Officer)</w:t>
            </w:r>
          </w:p>
        </w:tc>
        <w:tc>
          <w:tcPr>
            <w:tcW w:w="1340" w:type="dxa"/>
            <w:vAlign w:val="bottom"/>
          </w:tcPr>
          <w:p>
            <w:pPr>
              <w:spacing w:after="0"/>
              <w:rPr>
                <w:sz w:val="14"/>
                <w:szCs w:val="14"/>
                <w:color w:val="auto"/>
              </w:rPr>
            </w:pPr>
          </w:p>
        </w:tc>
      </w:tr>
      <w:tr>
        <w:trPr>
          <w:trHeight w:val="323"/>
        </w:trPr>
        <w:tc>
          <w:tcPr>
            <w:tcW w:w="2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8"/>
              </w:rPr>
              <w:t>/s/ Donald J. Puglisi</w:t>
            </w:r>
          </w:p>
        </w:tc>
        <w:tc>
          <w:tcPr>
            <w:tcW w:w="940" w:type="dxa"/>
            <w:vAlign w:val="bottom"/>
            <w:tcBorders>
              <w:bottom w:val="single" w:sz="8" w:color="auto"/>
            </w:tcBorders>
          </w:tcPr>
          <w:p>
            <w:pPr>
              <w:spacing w:after="0"/>
              <w:rPr>
                <w:sz w:val="24"/>
                <w:szCs w:val="24"/>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340" w:type="dxa"/>
            <w:vAlign w:val="bottom"/>
          </w:tcPr>
          <w:p>
            <w:pPr>
              <w:jc w:val="center"/>
              <w:ind w:left="175"/>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340" w:type="dxa"/>
            <w:vAlign w:val="bottom"/>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8"/>
              </w:rPr>
              <w:t>Donald J. Puglisi</w:t>
            </w:r>
          </w:p>
        </w:tc>
        <w:tc>
          <w:tcPr>
            <w:tcW w:w="9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22"/>
        </w:trPr>
        <w:tc>
          <w:tcPr>
            <w:tcW w:w="2340" w:type="dxa"/>
            <w:vAlign w:val="bottom"/>
          </w:tcPr>
          <w:p>
            <w:pPr>
              <w:spacing w:after="0"/>
              <w:rPr>
                <w:sz w:val="24"/>
                <w:szCs w:val="24"/>
                <w:color w:val="auto"/>
              </w:rPr>
            </w:pP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[Signature Page to Form S-4—Crown Beverage Holdings, Inc.]</w:t>
            </w:r>
          </w:p>
        </w:tc>
        <w:tc>
          <w:tcPr>
            <w:tcW w:w="1340" w:type="dxa"/>
            <w:vAlign w:val="bottom"/>
          </w:tcPr>
          <w:p>
            <w:pPr>
              <w:spacing w:after="0"/>
              <w:rPr>
                <w:sz w:val="24"/>
                <w:szCs w:val="24"/>
                <w:color w:val="auto"/>
              </w:rPr>
            </w:pPr>
          </w:p>
        </w:tc>
      </w:tr>
      <w:tr>
        <w:trPr>
          <w:trHeight w:val="277"/>
        </w:trPr>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II-31</w:t>
            </w:r>
          </w:p>
        </w:tc>
        <w:tc>
          <w:tcPr>
            <w:tcW w:w="134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SIMPLIMATIC ENGINEERING HOLDINGS,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Dietmar Holzmann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12700</wp:posOffset>
            </wp:positionV>
            <wp:extent cx="197040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4">
                      <a:extLst>
                        <a:ext uri="{28A0092B-C50C-407E-A947-70E740481C1C}"/>
                      </a:extLst>
                    </a:blip>
                    <a:srcRect/>
                    <a:stretch>
                      <a:fillRect/>
                    </a:stretch>
                  </pic:blipFill>
                  <pic:spPr bwMode="auto">
                    <a:xfrm>
                      <a:off x="0" y="0"/>
                      <a:ext cx="1970405" cy="6350"/>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Name: Dietmar Holzmann</w:t>
      </w:r>
    </w:p>
    <w:p>
      <w:pPr>
        <w:spacing w:after="0" w:line="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60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80" w:type="dxa"/>
            <w:vAlign w:val="bottom"/>
          </w:tcPr>
          <w:p>
            <w:pPr>
              <w:jc w:val="center"/>
              <w:ind w:left="11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Dietmar Holzmann</w:t>
            </w:r>
          </w:p>
        </w:tc>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Manager (Principal Executive Officer)</w:t>
            </w:r>
          </w:p>
        </w:tc>
        <w:tc>
          <w:tcPr>
            <w:tcW w:w="128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Dietmar Holzmann</w:t>
            </w:r>
          </w:p>
        </w:tc>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Sr. Vice President and Treasurer (Principal Financial Officer</w:t>
            </w:r>
          </w:p>
        </w:tc>
        <w:tc>
          <w:tcPr>
            <w:tcW w:w="128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360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and Principal Accounting Officer)</w:t>
            </w:r>
          </w:p>
        </w:tc>
        <w:tc>
          <w:tcPr>
            <w:tcW w:w="128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Rosemary M. Haselroth</w:t>
            </w:r>
          </w:p>
        </w:tc>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Assistant Secretary</w:t>
            </w:r>
          </w:p>
        </w:tc>
        <w:tc>
          <w:tcPr>
            <w:tcW w:w="128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Rosemary M. Haselroth</w:t>
            </w:r>
          </w:p>
        </w:tc>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28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28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36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S-4—Simplimatic Engineering Holdings, LLC]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II-32</w:t>
      </w:r>
    </w:p>
    <w:p>
      <w:pPr>
        <w:sectPr>
          <w:pgSz w:w="11900" w:h="16838" w:orient="portrait"/>
          <w:cols w:equalWidth="0" w:num="1">
            <w:col w:w="10159"/>
          </w:cols>
          <w:pgMar w:left="300" w:top="380"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SIMPLIMATIC AUTOMATION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Dietmar Holzmann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6">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Dietmar Holzmann</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20" w:type="dxa"/>
            <w:vAlign w:val="bottom"/>
          </w:tcPr>
          <w:p>
            <w:pPr>
              <w:spacing w:after="0"/>
              <w:rPr>
                <w:sz w:val="12"/>
                <w:szCs w:val="12"/>
                <w:color w:val="auto"/>
              </w:rPr>
            </w:pP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6"/>
              </w:rPr>
              <w:t>/s/ Dietmar Holzmann</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Manager (Principal Executive Officer)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6"/>
              </w:rPr>
              <w:t>Dietmar Holzmann</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and Manager (Principal</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820" w:type="dxa"/>
            <w:vAlign w:val="bottom"/>
          </w:tcPr>
          <w:p>
            <w:pPr>
              <w:spacing w:after="0"/>
              <w:rPr>
                <w:sz w:val="14"/>
                <w:szCs w:val="14"/>
                <w:color w:val="auto"/>
              </w:rPr>
            </w:pP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Financial Officer and Principal Accounting Officer)</w:t>
            </w:r>
          </w:p>
        </w:tc>
        <w:tc>
          <w:tcPr>
            <w:tcW w:w="1400" w:type="dxa"/>
            <w:vAlign w:val="bottom"/>
          </w:tcPr>
          <w:p>
            <w:pPr>
              <w:spacing w:after="0"/>
              <w:rPr>
                <w:sz w:val="14"/>
                <w:szCs w:val="14"/>
                <w:color w:val="auto"/>
              </w:rPr>
            </w:pPr>
          </w:p>
        </w:tc>
      </w:tr>
      <w:tr>
        <w:trPr>
          <w:trHeight w:val="323"/>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Assistant Treasurer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/s/ Rosemary M. Haselroth</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Assistant Secretary</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Rosemary M. Haselroth</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82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6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6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[Signature Page to Form S-4—Simplimatic Automation LLC]</w:t>
            </w:r>
          </w:p>
        </w:tc>
        <w:tc>
          <w:tcPr>
            <w:tcW w:w="1400" w:type="dxa"/>
            <w:vAlign w:val="bottom"/>
          </w:tcPr>
          <w:p>
            <w:pPr>
              <w:spacing w:after="0"/>
              <w:rPr>
                <w:sz w:val="24"/>
                <w:szCs w:val="24"/>
                <w:color w:val="auto"/>
              </w:rPr>
            </w:pPr>
          </w:p>
        </w:tc>
      </w:tr>
      <w:tr>
        <w:trPr>
          <w:trHeight w:val="277"/>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II-33</w:t>
            </w:r>
          </w:p>
        </w:tc>
        <w:tc>
          <w:tcPr>
            <w:tcW w:w="14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SEH REAL ESTATE HOLDINGS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Dietmar Holzmann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8">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Dietmar Holzmann</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40" w:type="dxa"/>
            <w:vAlign w:val="bottom"/>
          </w:tcPr>
          <w:p>
            <w:pPr>
              <w:spacing w:after="0"/>
              <w:rPr>
                <w:sz w:val="12"/>
                <w:szCs w:val="12"/>
                <w:color w:val="auto"/>
              </w:rPr>
            </w:pP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6"/>
              </w:rPr>
              <w:t>/s/ Dietmar Holzmann</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Manager (Principal Executive Officer)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6"/>
              </w:rPr>
              <w:t>Dietmar Holzmann</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and Manager (Principal</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840" w:type="dxa"/>
            <w:vAlign w:val="bottom"/>
          </w:tcPr>
          <w:p>
            <w:pPr>
              <w:spacing w:after="0"/>
              <w:rPr>
                <w:sz w:val="14"/>
                <w:szCs w:val="14"/>
                <w:color w:val="auto"/>
              </w:rPr>
            </w:pP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Financial Officer and Principal Accounting Officer)</w:t>
            </w:r>
          </w:p>
        </w:tc>
        <w:tc>
          <w:tcPr>
            <w:tcW w:w="1400" w:type="dxa"/>
            <w:vAlign w:val="bottom"/>
          </w:tcPr>
          <w:p>
            <w:pPr>
              <w:spacing w:after="0"/>
              <w:rPr>
                <w:sz w:val="14"/>
                <w:szCs w:val="14"/>
                <w:color w:val="auto"/>
              </w:rPr>
            </w:pPr>
          </w:p>
        </w:tc>
      </w:tr>
      <w:tr>
        <w:trPr>
          <w:trHeight w:val="323"/>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Assistant Treasurer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/s/ Rosemary M. Haselroth</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Assistant Secretary</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Rosemary M. Haselroth</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Page to Form S-4—SEH Real Estate Holdings LLC]</w:t>
            </w:r>
          </w:p>
        </w:tc>
        <w:tc>
          <w:tcPr>
            <w:tcW w:w="1400" w:type="dxa"/>
            <w:vAlign w:val="bottom"/>
          </w:tcPr>
          <w:p>
            <w:pPr>
              <w:spacing w:after="0"/>
              <w:rPr>
                <w:sz w:val="24"/>
                <w:szCs w:val="24"/>
                <w:color w:val="auto"/>
              </w:rPr>
            </w:pPr>
          </w:p>
        </w:tc>
      </w:tr>
      <w:tr>
        <w:trPr>
          <w:trHeight w:val="277"/>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II-34</w:t>
            </w:r>
          </w:p>
        </w:tc>
        <w:tc>
          <w:tcPr>
            <w:tcW w:w="14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 INTERNATIONAL HOLDINGS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Dietmar Holzmann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0">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Dietmar Holzmann</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40" w:type="dxa"/>
            <w:vAlign w:val="bottom"/>
          </w:tcPr>
          <w:p>
            <w:pPr>
              <w:spacing w:after="0"/>
              <w:rPr>
                <w:sz w:val="12"/>
                <w:szCs w:val="12"/>
                <w:color w:val="auto"/>
              </w:rPr>
            </w:pP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6"/>
              </w:rPr>
              <w:t>/s/ Dietmar Holzmann</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Manager (Principal Executive Officer)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6"/>
              </w:rPr>
              <w:t>Dietmar Holzmann</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and Manager (Principal</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840" w:type="dxa"/>
            <w:vAlign w:val="bottom"/>
          </w:tcPr>
          <w:p>
            <w:pPr>
              <w:spacing w:after="0"/>
              <w:rPr>
                <w:sz w:val="14"/>
                <w:szCs w:val="14"/>
                <w:color w:val="auto"/>
              </w:rPr>
            </w:pP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Financial Officer and Principal Accounting Officer)</w:t>
            </w:r>
          </w:p>
        </w:tc>
        <w:tc>
          <w:tcPr>
            <w:tcW w:w="1400" w:type="dxa"/>
            <w:vAlign w:val="bottom"/>
          </w:tcPr>
          <w:p>
            <w:pPr>
              <w:spacing w:after="0"/>
              <w:rPr>
                <w:sz w:val="14"/>
                <w:szCs w:val="14"/>
                <w:color w:val="auto"/>
              </w:rPr>
            </w:pPr>
          </w:p>
        </w:tc>
      </w:tr>
      <w:tr>
        <w:trPr>
          <w:trHeight w:val="323"/>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Assistant Treasurer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/s/ Rosemary M. Haselroth</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Assistant Secretary</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Rosemary M. Haselroth</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244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840" w:type="dxa"/>
            <w:vAlign w:val="bottom"/>
            <w:tcBorders>
              <w:bottom w:val="single" w:sz="8" w:color="auto"/>
            </w:tcBorders>
          </w:tcPr>
          <w:p>
            <w:pPr>
              <w:spacing w:after="0"/>
              <w:rPr>
                <w:sz w:val="24"/>
                <w:szCs w:val="24"/>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244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24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Page to Form S-4—SE International Holdings LLC]</w:t>
            </w:r>
          </w:p>
        </w:tc>
        <w:tc>
          <w:tcPr>
            <w:tcW w:w="1400" w:type="dxa"/>
            <w:vAlign w:val="bottom"/>
          </w:tcPr>
          <w:p>
            <w:pPr>
              <w:spacing w:after="0"/>
              <w:rPr>
                <w:sz w:val="24"/>
                <w:szCs w:val="24"/>
                <w:color w:val="auto"/>
              </w:rPr>
            </w:pPr>
          </w:p>
        </w:tc>
      </w:tr>
      <w:tr>
        <w:trPr>
          <w:trHeight w:val="277"/>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II-35</w:t>
            </w:r>
          </w:p>
        </w:tc>
        <w:tc>
          <w:tcPr>
            <w:tcW w:w="1400" w:type="dxa"/>
            <w:vAlign w:val="bottom"/>
          </w:tcPr>
          <w:p>
            <w:pPr>
              <w:spacing w:after="0"/>
              <w:rPr>
                <w:sz w:val="24"/>
                <w:szCs w:val="24"/>
                <w:color w:val="auto"/>
              </w:rPr>
            </w:pPr>
          </w:p>
        </w:tc>
      </w:tr>
    </w:tbl>
    <w:p>
      <w:pPr>
        <w:sectPr>
          <w:pgSz w:w="11900" w:h="16838" w:orient="portrait"/>
          <w:cols w:equalWidth="0" w:num="1">
            <w:col w:w="10159"/>
          </w:cols>
          <w:pgMar w:left="300" w:top="380"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ind w:left="1460" w:right="59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County of Cook, State of Illinois, on November 24, 2025.</w:t>
      </w:r>
    </w:p>
    <w:p>
      <w:pPr>
        <w:spacing w:after="0" w:line="1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 INTERNATIONAL HOLDINGS II LLC</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b w:val="1"/>
          <w:bCs w:val="1"/>
          <w:color w:val="auto"/>
        </w:rPr>
        <w:t>/s/ Dietmar Holzmann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12700</wp:posOffset>
            </wp:positionV>
            <wp:extent cx="195135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2">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Name: Dietmar Holzmann</w:t>
      </w:r>
    </w:p>
    <w:p>
      <w:pPr>
        <w:spacing w:after="0" w:line="1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Title: President</w:t>
      </w: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3"/>
          <w:szCs w:val="13"/>
          <w:color w:val="auto"/>
        </w:rPr>
        <w:t>KNOW ALL MEN BY THESE PRESENTS, that each of the undersigned directors and officers of the registrant appoints Adam J. Dickstein, Timothy J. Donahue and Kevin C. Clothier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34" w:lineRule="exact"/>
        <w:rPr>
          <w:sz w:val="20"/>
          <w:szCs w:val="20"/>
          <w:color w:val="auto"/>
        </w:rPr>
      </w:pPr>
    </w:p>
    <w:p>
      <w:pPr>
        <w:ind w:left="1460" w:right="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44"/>
        </w:trPr>
        <w:tc>
          <w:tcPr>
            <w:tcW w:w="3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3480" w:type="dxa"/>
            <w:vAlign w:val="bottom"/>
          </w:tcPr>
          <w:p>
            <w:pPr>
              <w:ind w:left="16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 Dietmar Holzmann</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and Manager (Principal Executive Officer)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Dietmar Holzmann</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 Oliver Streit</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Treasurer and Manager (Principal</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Oliver Streit</w:t>
            </w:r>
          </w:p>
        </w:tc>
        <w:tc>
          <w:tcPr>
            <w:tcW w:w="3480" w:type="dxa"/>
            <w:vAlign w:val="bottom"/>
          </w:tcPr>
          <w:p>
            <w:pPr>
              <w:ind w:left="100"/>
              <w:spacing w:after="0" w:line="156" w:lineRule="exact"/>
              <w:rPr>
                <w:sz w:val="20"/>
                <w:szCs w:val="20"/>
                <w:color w:val="auto"/>
              </w:rPr>
            </w:pPr>
            <w:r>
              <w:rPr>
                <w:rFonts w:ascii="Times New Roman" w:cs="Times New Roman" w:eastAsia="Times New Roman" w:hAnsi="Times New Roman"/>
                <w:sz w:val="14"/>
                <w:szCs w:val="14"/>
                <w:color w:val="auto"/>
              </w:rPr>
              <w:t>Financial Officer and Principal Accounting Officer)</w:t>
            </w: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David A. Beaver</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President and Assistant Treasurer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David A. Beaver</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Rosemary M. Haselroth</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Assistant Secretary</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Rosemary M. Haselroth</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 Kevin C. Clothier</w:t>
            </w: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Manager</w:t>
            </w:r>
          </w:p>
        </w:tc>
        <w:tc>
          <w:tcPr>
            <w:tcW w:w="1400" w:type="dxa"/>
            <w:vAlign w:val="bottom"/>
          </w:tcPr>
          <w:p>
            <w:pPr>
              <w:jc w:val="center"/>
              <w:ind w:left="234"/>
              <w:spacing w:after="0"/>
              <w:rPr>
                <w:sz w:val="20"/>
                <w:szCs w:val="20"/>
                <w:color w:val="auto"/>
              </w:rPr>
            </w:pPr>
            <w:r>
              <w:rPr>
                <w:rFonts w:ascii="Times New Roman" w:cs="Times New Roman" w:eastAsia="Times New Roman" w:hAnsi="Times New Roman"/>
                <w:sz w:val="14"/>
                <w:szCs w:val="14"/>
                <w:color w:val="auto"/>
                <w:w w:val="98"/>
              </w:rPr>
              <w:t>November 24, 2025</w:t>
            </w:r>
          </w:p>
        </w:tc>
      </w:tr>
      <w:tr>
        <w:trPr>
          <w:trHeight w:val="171"/>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Kevin C. Clothier</w:t>
            </w:r>
          </w:p>
        </w:tc>
        <w:tc>
          <w:tcPr>
            <w:tcW w:w="348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1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Form S-4—SE International Holdings II LLC]</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II-36</w:t>
      </w:r>
    </w:p>
    <w:p>
      <w:pPr>
        <w:sectPr>
          <w:pgSz w:w="11900" w:h="16838" w:orient="portrait"/>
          <w:cols w:equalWidth="0" w:num="1">
            <w:col w:w="10159"/>
          </w:cols>
          <w:pgMar w:left="300" w:top="380" w:right="1440" w:bottom="1440" w:gutter="0" w:footer="0" w:header="0"/>
        </w:sectPr>
      </w:pPr>
    </w:p>
    <w:bookmarkStart w:id="101" w:name="page102"/>
    <w:bookmarkEnd w:id="101"/>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3.o</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CERTIFICATE OF FORMATION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CROWN INTERNATIONAL HOLDINGS, LLC</w:t>
      </w:r>
    </w:p>
    <w:p>
      <w:pPr>
        <w:spacing w:after="0" w:line="172" w:lineRule="exact"/>
        <w:rPr>
          <w:sz w:val="20"/>
          <w:szCs w:val="20"/>
          <w:color w:val="auto"/>
        </w:rPr>
      </w:pPr>
    </w:p>
    <w:p>
      <w:pPr>
        <w:ind w:left="320" w:right="399" w:firstLine="335"/>
        <w:spacing w:after="0" w:line="256" w:lineRule="auto"/>
        <w:rPr>
          <w:sz w:val="20"/>
          <w:szCs w:val="20"/>
          <w:color w:val="auto"/>
        </w:rPr>
      </w:pPr>
      <w:r>
        <w:rPr>
          <w:rFonts w:ascii="Times New Roman" w:cs="Times New Roman" w:eastAsia="Times New Roman" w:hAnsi="Times New Roman"/>
          <w:sz w:val="14"/>
          <w:szCs w:val="14"/>
          <w:color w:val="auto"/>
        </w:rPr>
        <w:t>The undersigned, an authorized natural person, for the purpose of forming a limited liability company, under the provisions and subject to the requirements of the State of Delaware (particularly Chapter 18, Title 6 of the Delaware Code and the acts amendatory thereof and supplemental thereto, and known, identified, and referred to as the “Delaware Limited Liability Company Act”), hereby certifies that: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The name of the limited liability company is Crown International Holdings, LLC.</w:t>
      </w:r>
    </w:p>
    <w:p>
      <w:pPr>
        <w:spacing w:after="0" w:line="168" w:lineRule="exact"/>
        <w:rPr>
          <w:sz w:val="20"/>
          <w:szCs w:val="20"/>
          <w:color w:val="auto"/>
        </w:rPr>
      </w:pPr>
    </w:p>
    <w:p>
      <w:pPr>
        <w:ind w:left="320" w:right="699" w:firstLine="335"/>
        <w:spacing w:after="0" w:line="256" w:lineRule="auto"/>
        <w:rPr>
          <w:sz w:val="20"/>
          <w:szCs w:val="20"/>
          <w:color w:val="auto"/>
        </w:rPr>
      </w:pP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The address of the registered office of the limited liability company in the State of Delaware is 1209 Orange Street, Wilmington, Delaware 19801, and the name of the limited liability company’s registered agent for service of process located at such registered office is The Corporation Trust Company.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u w:val="single" w:color="auto"/>
          <w:color w:val="auto"/>
        </w:rPr>
        <w:t>THIRD</w:t>
      </w:r>
      <w:r>
        <w:rPr>
          <w:rFonts w:ascii="Times New Roman" w:cs="Times New Roman" w:eastAsia="Times New Roman" w:hAnsi="Times New Roman"/>
          <w:sz w:val="14"/>
          <w:szCs w:val="14"/>
          <w:color w:val="auto"/>
        </w:rPr>
        <w:t>: This Certificate of Formation shall be effective on the date of filing with the Secretary of State of the State of Delaware.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ectPr>
          <w:pgSz w:w="11900" w:h="16838" w:orient="portrait"/>
          <w:cols w:equalWidth="0" w:num="1">
            <w:col w:w="9019"/>
          </w:cols>
          <w:pgMar w:left="1440" w:top="123" w:right="1440"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undersigned has executed this Certificate of Formation on the 30th day of December, 2024.</w:t>
      </w:r>
    </w:p>
    <w:p>
      <w:pPr>
        <w:spacing w:after="0" w:line="2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10160</wp:posOffset>
            </wp:positionV>
            <wp:extent cx="212725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4">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 David A. Beaver</w:t>
      </w:r>
    </w:p>
    <w:p>
      <w:pPr>
        <w:spacing w:after="0" w:line="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Title: Authorized Person</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Certificate of Formation of Crown International Holdings, LLC]</w:t>
      </w:r>
    </w:p>
    <w:p>
      <w:pPr>
        <w:sectPr>
          <w:pgSz w:w="11900" w:h="16838" w:orient="portrait"/>
          <w:cols w:equalWidth="0" w:num="1">
            <w:col w:w="9019"/>
          </w:cols>
          <w:pgMar w:left="1440" w:top="236" w:right="1440" w:bottom="1440" w:gutter="0" w:footer="0" w:header="0"/>
        </w:sectPr>
      </w:pPr>
    </w:p>
    <w:bookmarkStart w:id="103" w:name="page104"/>
    <w:bookmarkEnd w:id="103"/>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3.p</w:t>
      </w:r>
    </w:p>
    <w:p>
      <w:pPr>
        <w:spacing w:after="0" w:line="16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LIMITED LIABILITY COMPANY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CROWN INTERNATIONAL HOLDINGS, LLC</w:t>
      </w:r>
    </w:p>
    <w:p>
      <w:pPr>
        <w:sectPr>
          <w:pgSz w:w="11900" w:h="16838" w:orient="portrait"/>
          <w:cols w:equalWidth="0" w:num="1">
            <w:col w:w="9019"/>
          </w:cols>
          <w:pgMar w:left="1440" w:top="123"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65"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5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3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DEFINED TERMS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FORMATION AND NAME; OFFICE; PURPOSE; TERM; SERIES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Organization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Name of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Purpose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Term</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Principal Office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Registered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Member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MEMBERSHIP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and Transfer of Membership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CAPITAL</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 Contributions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Other Capital Contributions Required</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PROFIT, LOSS AND DISTRIBUTIONS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51"/>
        </w:trPr>
        <w:tc>
          <w:tcPr>
            <w:tcW w:w="50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MANAGEMENT: RIGHTS, POWERS, AND DUTIES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Meetings and Voting</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Officers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Signing Authority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Liability and Indemnification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TRANSFER OR PLEDGE OF MEMBERSHIP INTERESTS; ADMISSION OF NEW MEMBERS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Transfer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Pledge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Admission of New Members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7"/>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DISSOLUTION, LIQUIDATION AND TERMINATION OF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Events of Dissolution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Procedure for Winding Up and Dissolution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4"/>
                <w:szCs w:val="24"/>
                <w:color w:val="auto"/>
              </w:rPr>
            </w:pPr>
          </w:p>
        </w:tc>
        <w:tc>
          <w:tcPr>
            <w:tcW w:w="6720" w:type="dxa"/>
            <w:vAlign w:val="bottom"/>
          </w:tcPr>
          <w:p>
            <w:pPr>
              <w:ind w:left="3620"/>
              <w:spacing w:after="0"/>
              <w:rPr>
                <w:sz w:val="20"/>
                <w:szCs w:val="20"/>
                <w:color w:val="auto"/>
              </w:rPr>
            </w:pPr>
            <w:r>
              <w:rPr>
                <w:rFonts w:ascii="Times New Roman" w:cs="Times New Roman" w:eastAsia="Times New Roman" w:hAnsi="Times New Roman"/>
                <w:sz w:val="14"/>
                <w:szCs w:val="14"/>
                <w:color w:val="auto"/>
              </w:rPr>
              <w:t>-i-</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6"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TABLE OF CONTENTS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(continued)</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5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3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8.3.</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Filing of Certificate of Cancellation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BOOKS, RECORDS, ACCOUNTING, AND TAX ELECTIONS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9.1.</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Bank Accounts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9.2.</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Books and 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9.3.</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Elections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GENERAL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10.1.</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Complete Agreement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10.2.</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Applicable Law</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10.3.</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Titles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10.4.</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Binding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10.5.</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Terms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7"/>
        </w:trPr>
        <w:tc>
          <w:tcPr>
            <w:tcW w:w="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10.6.</w:t>
            </w:r>
          </w:p>
        </w:tc>
        <w:tc>
          <w:tcPr>
            <w:tcW w:w="5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Severability of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77"/>
        </w:trPr>
        <w:tc>
          <w:tcPr>
            <w:tcW w:w="580" w:type="dxa"/>
            <w:vAlign w:val="bottom"/>
          </w:tcPr>
          <w:p>
            <w:pPr>
              <w:spacing w:after="0"/>
              <w:rPr>
                <w:sz w:val="24"/>
                <w:szCs w:val="24"/>
                <w:color w:val="auto"/>
              </w:rPr>
            </w:pPr>
          </w:p>
        </w:tc>
        <w:tc>
          <w:tcPr>
            <w:tcW w:w="56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-ii-</w:t>
            </w:r>
          </w:p>
        </w:tc>
        <w:tc>
          <w:tcPr>
            <w:tcW w:w="2120" w:type="dxa"/>
            <w:vAlign w:val="bottom"/>
          </w:tcPr>
          <w:p>
            <w:pPr>
              <w:spacing w:after="0"/>
              <w:rPr>
                <w:sz w:val="24"/>
                <w:szCs w:val="24"/>
                <w:color w:val="auto"/>
              </w:rPr>
            </w:pPr>
          </w:p>
        </w:tc>
      </w:tr>
    </w:tbl>
    <w:p>
      <w:pPr>
        <w:sectPr>
          <w:pgSz w:w="11900" w:h="16838" w:orient="portrait"/>
          <w:cols w:equalWidth="0" w:num="1">
            <w:col w:w="9019"/>
          </w:cols>
          <w:pgMar w:left="1440" w:top="236" w:right="1440"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LIMITED LIABILITY COMPANY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CROWN INTERNATIONAL HOLDINGS, LLC</w:t>
      </w:r>
    </w:p>
    <w:p>
      <w:pPr>
        <w:spacing w:after="0" w:line="172" w:lineRule="exact"/>
        <w:rPr>
          <w:sz w:val="20"/>
          <w:szCs w:val="20"/>
          <w:color w:val="auto"/>
        </w:rPr>
      </w:pPr>
    </w:p>
    <w:p>
      <w:pPr>
        <w:ind w:left="320" w:right="379" w:firstLine="335"/>
        <w:spacing w:after="0" w:line="219" w:lineRule="auto"/>
        <w:rPr>
          <w:sz w:val="20"/>
          <w:szCs w:val="20"/>
          <w:color w:val="auto"/>
        </w:rPr>
      </w:pPr>
      <w:r>
        <w:rPr>
          <w:rFonts w:ascii="Times New Roman" w:cs="Times New Roman" w:eastAsia="Times New Roman" w:hAnsi="Times New Roman"/>
          <w:sz w:val="14"/>
          <w:szCs w:val="14"/>
          <w:color w:val="auto"/>
        </w:rPr>
        <w:t>THIS LIMITED LIABILITY COMPANY AGREEMENT (this “Agreement”) is entered into this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of December, 2024 (the “Effective Date”), by and between Crown International Holdings, LLC, a Delaware limited liability company (the “Company”) and Crown Cork &amp; Seal Company, Inc., a Pennsylvania Corporation (the “Member”).</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EXPLANATORY STATEMENT</w:t>
      </w:r>
    </w:p>
    <w:p>
      <w:pPr>
        <w:spacing w:after="0" w:line="172"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4"/>
          <w:szCs w:val="14"/>
          <w:color w:val="auto"/>
        </w:rPr>
        <w:t>The Member desires to organize and operate a limited liability company in accordance with the terms and subject to the conditions set forth in this Agreement.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NOW, THEREFORE, for good and valuable consideration, the parties, intending legally to be bound, agree as follows: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172" w:lineRule="exact"/>
        <w:rPr>
          <w:sz w:val="20"/>
          <w:szCs w:val="20"/>
          <w:color w:val="auto"/>
        </w:rPr>
      </w:pPr>
    </w:p>
    <w:p>
      <w:pPr>
        <w:ind w:left="320" w:right="639" w:firstLine="335"/>
        <w:spacing w:after="0" w:line="267" w:lineRule="auto"/>
        <w:rPr>
          <w:sz w:val="20"/>
          <w:szCs w:val="20"/>
          <w:color w:val="auto"/>
        </w:rPr>
      </w:pPr>
      <w:r>
        <w:rPr>
          <w:rFonts w:ascii="Times New Roman" w:cs="Times New Roman" w:eastAsia="Times New Roman" w:hAnsi="Times New Roman"/>
          <w:sz w:val="14"/>
          <w:szCs w:val="14"/>
          <w:color w:val="auto"/>
        </w:rPr>
        <w:t>The following capitalized terms shall have the meanings specified in this Article I. Other terms are defined in the text of this Agreement and, throughout this Agreement, those terms shall have the meanings respectively ascribed to them.</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means the Delaware Limited Liability Company Act, as amended from time to time.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means this Agreement, as amended from time to time.</w:t>
      </w:r>
    </w:p>
    <w:p>
      <w:pPr>
        <w:spacing w:after="0" w:line="168" w:lineRule="exact"/>
        <w:rPr>
          <w:sz w:val="20"/>
          <w:szCs w:val="20"/>
          <w:color w:val="auto"/>
        </w:rPr>
      </w:pPr>
    </w:p>
    <w:p>
      <w:pPr>
        <w:ind w:left="320" w:right="459" w:firstLine="335"/>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Contribution</w:t>
      </w:r>
      <w:r>
        <w:rPr>
          <w:rFonts w:ascii="Times New Roman" w:cs="Times New Roman" w:eastAsia="Times New Roman" w:hAnsi="Times New Roman"/>
          <w:sz w:val="14"/>
          <w:szCs w:val="14"/>
          <w:color w:val="auto"/>
        </w:rPr>
        <w:t>” means the total amount of cash and the fair market value of any other assets contributed to the Company by the Member, net of liabilities assumed or to which the assets are subject.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Flow</w:t>
      </w:r>
      <w:r>
        <w:rPr>
          <w:rFonts w:ascii="Times New Roman" w:cs="Times New Roman" w:eastAsia="Times New Roman" w:hAnsi="Times New Roman"/>
          <w:sz w:val="14"/>
          <w:szCs w:val="14"/>
          <w:color w:val="auto"/>
        </w:rPr>
        <w:t>” means all cash provided by operations of the Company as reflected in the financial statements of the Company.</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 or any corresponding provision of any succeeding law.</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the limited liability company formed in accordance with this Agreement.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Delaware Secretary of State</w:t>
      </w:r>
      <w:r>
        <w:rPr>
          <w:rFonts w:ascii="Times New Roman" w:cs="Times New Roman" w:eastAsia="Times New Roman" w:hAnsi="Times New Roman"/>
          <w:sz w:val="14"/>
          <w:szCs w:val="14"/>
          <w:color w:val="auto"/>
        </w:rPr>
        <w:t>” means the Secretary of State of the State of Delaware.</w:t>
      </w:r>
    </w:p>
    <w:p>
      <w:pPr>
        <w:spacing w:after="0" w:line="168" w:lineRule="exact"/>
        <w:rPr>
          <w:sz w:val="20"/>
          <w:szCs w:val="20"/>
          <w:color w:val="auto"/>
        </w:rPr>
      </w:pPr>
    </w:p>
    <w:p>
      <w:pPr>
        <w:ind w:left="320" w:right="819" w:firstLine="335"/>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Involuntary Withdrawal</w:t>
      </w:r>
      <w:r>
        <w:rPr>
          <w:rFonts w:ascii="Times New Roman" w:cs="Times New Roman" w:eastAsia="Times New Roman" w:hAnsi="Times New Roman"/>
          <w:sz w:val="14"/>
          <w:szCs w:val="14"/>
          <w:color w:val="auto"/>
        </w:rPr>
        <w:t>” means, with respect to the Member, the bankruptcy, insolvency, liquidation or dissolution of the Member under applicable federal or state law.</w:t>
      </w:r>
    </w:p>
    <w:p>
      <w:pPr>
        <w:sectPr>
          <w:pgSz w:w="11900" w:h="16838" w:orient="portrait"/>
          <w:cols w:equalWidth="0" w:num="1">
            <w:col w:w="9019"/>
          </w:cols>
          <w:pgMar w:left="1440" w:top="236" w:right="1440"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Member</w:t>
      </w:r>
      <w:r>
        <w:rPr>
          <w:rFonts w:ascii="Times New Roman" w:cs="Times New Roman" w:eastAsia="Times New Roman" w:hAnsi="Times New Roman"/>
          <w:sz w:val="14"/>
          <w:szCs w:val="14"/>
          <w:color w:val="auto"/>
        </w:rPr>
        <w:t>” means Crown Cork &amp; Seal Company, Inc. and any Person who subsequently is admitted as a member of the Company.</w:t>
      </w:r>
    </w:p>
    <w:p>
      <w:pPr>
        <w:spacing w:after="0" w:line="168" w:lineRule="exact"/>
        <w:rPr>
          <w:sz w:val="20"/>
          <w:szCs w:val="20"/>
          <w:color w:val="auto"/>
        </w:rPr>
      </w:pPr>
    </w:p>
    <w:p>
      <w:pPr>
        <w:ind w:left="320" w:right="479" w:firstLine="335"/>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a corporation, a partnership, an association, a federal, state, local or foreign governmental or regulatory entity (or any department, agency, authority or political subdivision thereof), a trust or other entity or organization.</w:t>
      </w:r>
    </w:p>
    <w:p>
      <w:pPr>
        <w:spacing w:after="0" w:line="135"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Profit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Loss</w:t>
      </w:r>
      <w:r>
        <w:rPr>
          <w:rFonts w:ascii="Times New Roman" w:cs="Times New Roman" w:eastAsia="Times New Roman" w:hAnsi="Times New Roman"/>
          <w:sz w:val="14"/>
          <w:szCs w:val="14"/>
          <w:color w:val="auto"/>
        </w:rPr>
        <w:t>” means, for each taxable year of the Company (or other period for which Profit or Loss must be computed), the Company’s net income or net loss determined in accordance with generally accepted accounting principles, as consistently applied by the Company.</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 means membership units which shall be issued in a single class of voting, non-redeemable units.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FORMATION AND NAME; OFFICE; PURPOSE; TERM; SERIES</w:t>
      </w:r>
    </w:p>
    <w:p>
      <w:pPr>
        <w:spacing w:after="0" w:line="172"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Organization</w:t>
      </w:r>
      <w:r>
        <w:rPr>
          <w:rFonts w:ascii="Times New Roman" w:cs="Times New Roman" w:eastAsia="Times New Roman" w:hAnsi="Times New Roman"/>
          <w:sz w:val="14"/>
          <w:szCs w:val="14"/>
          <w:color w:val="auto"/>
        </w:rPr>
        <w:t>. The Company was formed on February 10, 2003, as a Delaware corporation under the name Crown International Holdings, Inc. On the Effective Date, the Company filed a Certificate of Conversion with the Secretary of State of Delaware and on the Effective Date filed a Certificate of Formation with the Secretary of State of Delaware pursuant to and in accordance with the Act. Subsequently and pursuant to the Certificate of Conversion, the sole shareholder of Crown International Holdings, Inc. became the sole Member of the Company. The Member hereby approves and ratifies the execution, delivery and filing of the Certificate of Formation and Certificate of Conversion in the office of the Secretary of State by the designated “authorized person” within the meaning of the Act.</w:t>
      </w:r>
    </w:p>
    <w:p>
      <w:pPr>
        <w:spacing w:after="0" w:line="149" w:lineRule="exact"/>
        <w:rPr>
          <w:sz w:val="20"/>
          <w:szCs w:val="20"/>
          <w:color w:val="auto"/>
        </w:rPr>
      </w:pPr>
    </w:p>
    <w:p>
      <w:pPr>
        <w:ind w:left="320" w:right="399" w:firstLine="335"/>
        <w:spacing w:after="0" w:line="267"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Name of the Company</w:t>
      </w:r>
      <w:r>
        <w:rPr>
          <w:rFonts w:ascii="Times New Roman" w:cs="Times New Roman" w:eastAsia="Times New Roman" w:hAnsi="Times New Roman"/>
          <w:sz w:val="14"/>
          <w:szCs w:val="14"/>
          <w:color w:val="auto"/>
        </w:rPr>
        <w:t>. The name of the Company shall be “Crown International Holdings, LLC”. The Company may do business under that name and under any other name or names as selected by the Manager.</w:t>
      </w:r>
    </w:p>
    <w:p>
      <w:pPr>
        <w:spacing w:after="0" w:line="135" w:lineRule="exact"/>
        <w:rPr>
          <w:sz w:val="20"/>
          <w:szCs w:val="20"/>
          <w:color w:val="auto"/>
        </w:rPr>
      </w:pPr>
    </w:p>
    <w:p>
      <w:pPr>
        <w:ind w:left="320" w:right="559" w:firstLine="335"/>
        <w:spacing w:after="0" w:line="267"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Purpose</w:t>
      </w:r>
      <w:r>
        <w:rPr>
          <w:rFonts w:ascii="Times New Roman" w:cs="Times New Roman" w:eastAsia="Times New Roman" w:hAnsi="Times New Roman"/>
          <w:sz w:val="14"/>
          <w:szCs w:val="14"/>
          <w:color w:val="auto"/>
        </w:rPr>
        <w:t>. The Company is organized to do all things permitted to be done by limited liability companies under the Act, and to do all things necessary, convenient or incidental to that purpose.</w:t>
      </w:r>
    </w:p>
    <w:p>
      <w:pPr>
        <w:spacing w:after="0" w:line="135"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The term of the Company began on February 10, 2003 upon the acceptance of the Articles of Incorporation by the office of the Delaware Secretary of State. On the Effective Date, the Company filed a Certificate of Conversion with the Secretary of State of Delaware and on the Effective Date filed a Certificate of Formation with the Secretary of state of Delaware. The Company shall continue in existence perpetually unless terminated pursuant to the terms of this Agreement.</w:t>
      </w:r>
    </w:p>
    <w:p>
      <w:pPr>
        <w:spacing w:after="0" w:line="146" w:lineRule="exact"/>
        <w:rPr>
          <w:sz w:val="20"/>
          <w:szCs w:val="20"/>
          <w:color w:val="auto"/>
        </w:rPr>
      </w:pPr>
    </w:p>
    <w:p>
      <w:pPr>
        <w:ind w:left="320" w:right="819" w:firstLine="335"/>
        <w:spacing w:after="0" w:line="267"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Principal Office</w:t>
      </w:r>
      <w:r>
        <w:rPr>
          <w:rFonts w:ascii="Times New Roman" w:cs="Times New Roman" w:eastAsia="Times New Roman" w:hAnsi="Times New Roman"/>
          <w:sz w:val="14"/>
          <w:szCs w:val="14"/>
          <w:color w:val="auto"/>
        </w:rPr>
        <w:t>. The principal office of the Company shall be located at such address as shall be determined from time to time by the Member.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08" w:name="page109"/>
    <w:bookmarkEnd w:id="108"/>
    <w:p>
      <w:pPr>
        <w:ind w:left="320" w:right="899" w:firstLine="335"/>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2.6. </w:t>
      </w:r>
      <w:r>
        <w:rPr>
          <w:rFonts w:ascii="Times New Roman" w:cs="Times New Roman" w:eastAsia="Times New Roman" w:hAnsi="Times New Roman"/>
          <w:sz w:val="14"/>
          <w:szCs w:val="14"/>
          <w:u w:val="single" w:color="auto"/>
          <w:color w:val="auto"/>
        </w:rPr>
        <w:t>Registered Agent</w:t>
      </w:r>
      <w:r>
        <w:rPr>
          <w:rFonts w:ascii="Times New Roman" w:cs="Times New Roman" w:eastAsia="Times New Roman" w:hAnsi="Times New Roman"/>
          <w:sz w:val="14"/>
          <w:szCs w:val="14"/>
          <w:color w:val="auto"/>
        </w:rPr>
        <w:t>. The name and address of the Company’s registered agent in the State of Delaware shall be The Corporation Trust Company, Corporation Trust Center, 1209 Orange Street, Wilmington, New Castle County, Delaware 19805.</w:t>
      </w:r>
    </w:p>
    <w:p>
      <w:pPr>
        <w:spacing w:after="0" w:line="135" w:lineRule="exact"/>
        <w:rPr>
          <w:sz w:val="20"/>
          <w:szCs w:val="20"/>
          <w:color w:val="auto"/>
        </w:rPr>
      </w:pPr>
    </w:p>
    <w:p>
      <w:pPr>
        <w:ind w:left="320" w:right="719" w:firstLine="335"/>
        <w:spacing w:after="0" w:line="267" w:lineRule="auto"/>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Member</w:t>
      </w:r>
      <w:r>
        <w:rPr>
          <w:rFonts w:ascii="Times New Roman" w:cs="Times New Roman" w:eastAsia="Times New Roman" w:hAnsi="Times New Roman"/>
          <w:sz w:val="14"/>
          <w:szCs w:val="14"/>
          <w:color w:val="auto"/>
        </w:rPr>
        <w:t>. The name, present mailing address and taxpayer identification number of the Member shall be maintained with the books and records of the Company.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MEMBERSHIP UNITS</w:t>
      </w:r>
    </w:p>
    <w:p>
      <w:pPr>
        <w:spacing w:after="0" w:line="172" w:lineRule="exact"/>
        <w:rPr>
          <w:sz w:val="20"/>
          <w:szCs w:val="20"/>
          <w:color w:val="auto"/>
        </w:rPr>
      </w:pPr>
    </w:p>
    <w:p>
      <w:pPr>
        <w:ind w:left="320" w:right="519" w:firstLine="335"/>
        <w:spacing w:after="0" w:line="250"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Units</w:t>
      </w:r>
      <w:r>
        <w:rPr>
          <w:rFonts w:ascii="Times New Roman" w:cs="Times New Roman" w:eastAsia="Times New Roman" w:hAnsi="Times New Roman"/>
          <w:sz w:val="14"/>
          <w:szCs w:val="14"/>
          <w:color w:val="auto"/>
        </w:rPr>
        <w:t>. The ownership rights in the Company are reflected in membership units which shall be issued in a single class of voting, non-redeemable units (“Units”). Each Unit shall have equal rights with every other Unit in all matters, including allocations of profits and losses and distributions, and in matters subject to a vote, each Unit shall have one vote. The Company hereby authorizes for issuance 1,000 Units. As of the date hereof, the Company shall have issued 1 Unit to the Member. The Company’s profits and losses shall be automatically allocated to the members in proportion to their respective ownership interest.</w:t>
      </w:r>
    </w:p>
    <w:p>
      <w:pPr>
        <w:spacing w:after="0" w:line="148" w:lineRule="exact"/>
        <w:rPr>
          <w:sz w:val="20"/>
          <w:szCs w:val="20"/>
          <w:color w:val="auto"/>
        </w:rPr>
      </w:pPr>
    </w:p>
    <w:p>
      <w:pPr>
        <w:ind w:left="320" w:right="539" w:firstLine="335"/>
        <w:spacing w:after="0" w:line="267" w:lineRule="auto"/>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Issuance and Transfer of Membership Units</w:t>
      </w:r>
      <w:r>
        <w:rPr>
          <w:rFonts w:ascii="Times New Roman" w:cs="Times New Roman" w:eastAsia="Times New Roman" w:hAnsi="Times New Roman"/>
          <w:sz w:val="14"/>
          <w:szCs w:val="14"/>
          <w:color w:val="auto"/>
        </w:rPr>
        <w:t>. The Manager may issue additional Units to the Member. The Member may transfer Units to a person other than the Member only pursuant to the terms and conditions set forth in Article VII.</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Capital Contributions</w:t>
      </w:r>
      <w:r>
        <w:rPr>
          <w:rFonts w:ascii="Times New Roman" w:cs="Times New Roman" w:eastAsia="Times New Roman" w:hAnsi="Times New Roman"/>
          <w:sz w:val="14"/>
          <w:szCs w:val="14"/>
          <w:color w:val="auto"/>
        </w:rPr>
        <w:t>. The capital contributions of the Member shall be as set forth on the books and records of the Company.</w:t>
      </w:r>
    </w:p>
    <w:p>
      <w:pPr>
        <w:spacing w:after="0" w:line="168" w:lineRule="exact"/>
        <w:rPr>
          <w:sz w:val="20"/>
          <w:szCs w:val="20"/>
          <w:color w:val="auto"/>
        </w:rPr>
      </w:pPr>
    </w:p>
    <w:p>
      <w:pPr>
        <w:ind w:left="320" w:right="459" w:firstLine="335"/>
        <w:spacing w:after="0" w:line="267"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No Other Capital Contributions Required</w:t>
      </w:r>
      <w:r>
        <w:rPr>
          <w:rFonts w:ascii="Times New Roman" w:cs="Times New Roman" w:eastAsia="Times New Roman" w:hAnsi="Times New Roman"/>
          <w:sz w:val="14"/>
          <w:szCs w:val="14"/>
          <w:color w:val="auto"/>
        </w:rPr>
        <w:t>. The Member is not required to contribute any additional capital to the Company, and the Member shall have no personal liability for any obligations of the Company.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PROFIT, LOSS AND DISTRIBUTIONS</w:t>
      </w:r>
    </w:p>
    <w:p>
      <w:pPr>
        <w:spacing w:after="0" w:line="172" w:lineRule="exact"/>
        <w:rPr>
          <w:sz w:val="20"/>
          <w:szCs w:val="20"/>
          <w:color w:val="auto"/>
        </w:rPr>
      </w:pPr>
    </w:p>
    <w:p>
      <w:pPr>
        <w:jc w:val="center"/>
        <w:ind w:left="320" w:right="699"/>
        <w:spacing w:after="0" w:line="436" w:lineRule="auto"/>
        <w:rPr>
          <w:sz w:val="20"/>
          <w:szCs w:val="20"/>
          <w:color w:val="auto"/>
        </w:rPr>
      </w:pPr>
      <w:r>
        <w:rPr>
          <w:rFonts w:ascii="Times New Roman" w:cs="Times New Roman" w:eastAsia="Times New Roman" w:hAnsi="Times New Roman"/>
          <w:sz w:val="14"/>
          <w:szCs w:val="14"/>
          <w:color w:val="auto"/>
        </w:rPr>
        <w:t>The Company’s profits and losses shall be automatically allocated to the members in proportion to their respective ownership interest. 3</w:t>
      </w:r>
    </w:p>
    <w:p>
      <w:pPr>
        <w:sectPr>
          <w:pgSz w:w="11900" w:h="16838" w:orient="portrait"/>
          <w:cols w:equalWidth="0" w:num="1">
            <w:col w:w="9019"/>
          </w:cols>
          <w:pgMar w:left="1440" w:top="240"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VI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 RIGHTS, POWERS, AND DUTIES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Management</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320" w:right="359" w:firstLine="755"/>
        <w:spacing w:after="0" w:line="250" w:lineRule="auto"/>
        <w:rPr>
          <w:sz w:val="20"/>
          <w:szCs w:val="20"/>
          <w:color w:val="auto"/>
        </w:rPr>
      </w:pPr>
      <w:r>
        <w:rPr>
          <w:rFonts w:ascii="Times New Roman" w:cs="Times New Roman" w:eastAsia="Times New Roman" w:hAnsi="Times New Roman"/>
          <w:sz w:val="14"/>
          <w:szCs w:val="14"/>
          <w:color w:val="auto"/>
        </w:rPr>
        <w:t>A. The Company shall be managed exclusively by the Member (in such capacity, the “</w:t>
      </w:r>
      <w:r>
        <w:rPr>
          <w:rFonts w:ascii="Times New Roman" w:cs="Times New Roman" w:eastAsia="Times New Roman" w:hAnsi="Times New Roman"/>
          <w:sz w:val="14"/>
          <w:szCs w:val="14"/>
          <w:u w:val="single" w:color="auto"/>
          <w:color w:val="auto"/>
        </w:rPr>
        <w:t>Manager</w:t>
      </w:r>
      <w:r>
        <w:rPr>
          <w:rFonts w:ascii="Times New Roman" w:cs="Times New Roman" w:eastAsia="Times New Roman" w:hAnsi="Times New Roman"/>
          <w:sz w:val="14"/>
          <w:szCs w:val="14"/>
          <w:color w:val="auto"/>
        </w:rPr>
        <w:t>”). All decisions to be made on behalf of the Company and all actions to be taken on behalf of the Company (including the execution, delivery and performance of any documents) shall be made or taken solely by the Manager. Without limiting the foregoing, the Manager shall have the sole authority to execute and/or deliver, in furtherance of the Company’s business, any deed of trust, promissory note, bill of sale, contract or other instrument purporting to convey, exchange, or encumber any LLC asset.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Meetings and Voting</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320" w:right="499" w:firstLine="755"/>
        <w:spacing w:after="0" w:line="256" w:lineRule="auto"/>
        <w:rPr>
          <w:sz w:val="20"/>
          <w:szCs w:val="20"/>
          <w:color w:val="auto"/>
        </w:rPr>
      </w:pPr>
      <w:r>
        <w:rPr>
          <w:rFonts w:ascii="Times New Roman" w:cs="Times New Roman" w:eastAsia="Times New Roman" w:hAnsi="Times New Roman"/>
          <w:sz w:val="14"/>
          <w:szCs w:val="14"/>
          <w:color w:val="auto"/>
        </w:rPr>
        <w:t>A. Regular and special meetings of the members shall be held at any time on reasonable notice given to the members by the Manager. Meetings of the members shall be held at the Company’s principal place of business or at such other place as shall be designated from time to time by the Manager.</w:t>
      </w:r>
    </w:p>
    <w:p>
      <w:pPr>
        <w:spacing w:after="0" w:line="143" w:lineRule="exact"/>
        <w:rPr>
          <w:sz w:val="20"/>
          <w:szCs w:val="20"/>
          <w:color w:val="auto"/>
        </w:rPr>
      </w:pPr>
    </w:p>
    <w:p>
      <w:pPr>
        <w:ind w:left="320" w:right="459" w:firstLine="755"/>
        <w:spacing w:after="0" w:line="278" w:lineRule="auto"/>
        <w:rPr>
          <w:sz w:val="20"/>
          <w:szCs w:val="20"/>
          <w:color w:val="auto"/>
        </w:rPr>
      </w:pPr>
      <w:r>
        <w:rPr>
          <w:rFonts w:ascii="Times New Roman" w:cs="Times New Roman" w:eastAsia="Times New Roman" w:hAnsi="Times New Roman"/>
          <w:sz w:val="13"/>
          <w:szCs w:val="13"/>
          <w:color w:val="auto"/>
        </w:rPr>
        <w:t>B. The presence in person or by proxy of at least a majority of the members shall constitute a quorum for the transaction of business at a member meeting. Members may participate in any meeting of the members by means of telephone and participation by such means shall constitute presence in person at such members’ meeting. The affirmative vote of a majority of the members present at a duly constituted meeting shall govern all of the members’ actions and constitute approval by the members. Each member may vote by delivering his proxy to another member.</w:t>
      </w:r>
    </w:p>
    <w:p>
      <w:pPr>
        <w:spacing w:after="0" w:line="1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C. In lieu of holding a meeting, the members may vote or otherwise take action by a written instrument indicating the consent of members.</w:t>
      </w:r>
    </w:p>
    <w:p>
      <w:pPr>
        <w:spacing w:after="0" w:line="17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Executive Officers</w:t>
      </w:r>
      <w:r>
        <w:rPr>
          <w:rFonts w:ascii="Times New Roman" w:cs="Times New Roman" w:eastAsia="Times New Roman" w:hAnsi="Times New Roman"/>
          <w:sz w:val="14"/>
          <w:szCs w:val="14"/>
          <w:color w:val="auto"/>
        </w:rPr>
        <w:t>. The Manager may unanimously agree on and appoint employees to hold the positions of president, chief financial officer, treasurer, secretary, one or more vice presidents, and any other office that the Manager may establish, all with such duties as may be established by the Manager. Initially, there shall be a President, a Vice President and Treasurer, Senior Vice President and Chief Financial Officer, Senior Vice President, General Counsel and Secretary, Vice President and Assistant Treasurer, an Assistant Treasurer, a Secretary, and an Assistant Secretary and Assistant General Counsel of the Company.</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Signing Authority</w:t>
      </w:r>
      <w:r>
        <w:rPr>
          <w:rFonts w:ascii="Times New Roman" w:cs="Times New Roman" w:eastAsia="Times New Roman" w:hAnsi="Times New Roman"/>
          <w:sz w:val="14"/>
          <w:szCs w:val="14"/>
          <w:color w:val="auto"/>
        </w:rPr>
        <w:t>. Any document or instrument purporting to bind the Company shall be effective to bind the Company when executed by</w:t>
      </w:r>
    </w:p>
    <w:p>
      <w:pPr>
        <w:spacing w:after="0" w:line="15" w:lineRule="exact"/>
        <w:rPr>
          <w:sz w:val="20"/>
          <w:szCs w:val="20"/>
          <w:color w:val="auto"/>
        </w:rPr>
      </w:pPr>
    </w:p>
    <w:p>
      <w:pPr>
        <w:ind w:left="320" w:right="539" w:hanging="9"/>
        <w:spacing w:after="0" w:line="250" w:lineRule="auto"/>
        <w:tabs>
          <w:tab w:leader="none" w:pos="50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Manager or (b) an officer of the Company expressly authorized to execute such document or instrument by the terms of this Agreement or the written resolutions of the Member.</w:t>
      </w:r>
    </w:p>
    <w:p>
      <w:pPr>
        <w:spacing w:after="0" w:line="146" w:lineRule="exact"/>
        <w:rPr>
          <w:sz w:val="20"/>
          <w:szCs w:val="20"/>
          <w:color w:val="auto"/>
        </w:rPr>
      </w:pPr>
    </w:p>
    <w:p>
      <w:pPr>
        <w:jc w:val="both"/>
        <w:ind w:left="320" w:right="559" w:firstLine="335"/>
        <w:spacing w:after="0" w:line="256" w:lineRule="auto"/>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Liability and Indemnification</w:t>
      </w:r>
      <w:r>
        <w:rPr>
          <w:rFonts w:ascii="Times New Roman" w:cs="Times New Roman" w:eastAsia="Times New Roman" w:hAnsi="Times New Roman"/>
          <w:sz w:val="14"/>
          <w:szCs w:val="14"/>
          <w:color w:val="auto"/>
        </w:rPr>
        <w:t>. The Company shall indemnify and hold harmless, to the fullest extent permitted by law, (i) the members (in their capacity as such), (ii) the Manager, (iii) each officer, (iv) each agent, officer, partner, employee, counsel and affiliate of the Manager and of any member, or of any of their affiliates (individually, an “Indemnified Party”), as follows:</w:t>
      </w:r>
    </w:p>
    <w:p>
      <w:pPr>
        <w:spacing w:after="0" w:line="143" w:lineRule="exact"/>
        <w:rPr>
          <w:sz w:val="20"/>
          <w:szCs w:val="20"/>
          <w:color w:val="auto"/>
        </w:rPr>
      </w:pPr>
    </w:p>
    <w:p>
      <w:pPr>
        <w:ind w:left="320" w:right="399" w:firstLine="755"/>
        <w:spacing w:after="0" w:line="256" w:lineRule="auto"/>
        <w:rPr>
          <w:sz w:val="20"/>
          <w:szCs w:val="20"/>
          <w:color w:val="auto"/>
        </w:rPr>
      </w:pPr>
      <w:r>
        <w:rPr>
          <w:rFonts w:ascii="Times New Roman" w:cs="Times New Roman" w:eastAsia="Times New Roman" w:hAnsi="Times New Roman"/>
          <w:sz w:val="14"/>
          <w:szCs w:val="14"/>
          <w:color w:val="auto"/>
        </w:rPr>
        <w:t>A. The Company shall indemnify and hold harmless, to the fullest extent permitted by law, any Indemnified Party from and against any and all losses, claims, damages, liabilities, expenses (including legal fees and expenses), judgments, fines, settlements and other amounts (“Indemnified Costs”) arising from all claims, demands, actions, suits or proceedings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6" w:right="1440" w:bottom="1440" w:gutter="0" w:footer="0" w:header="0"/>
        </w:sectPr>
      </w:pPr>
    </w:p>
    <w:bookmarkStart w:id="110" w:name="page111"/>
    <w:bookmarkEnd w:id="110"/>
    <w:p>
      <w:pPr>
        <w:ind w:left="320" w:right="33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(“Actions”), whether civil, criminal, administrative or investigative, in which the Indemnified Party may be involved, or threatened to be involved, as a party or otherwise arising as a result of its status as (i) a member, (ii) the Manager, (iii) an officer or (iv) an agent, officer, partner, employee, counsel or Affiliate of a member or the Manager, regardless of whether the Indemnified Party continues in the capacity at the time the liability or expense is paid or incurred, and regardless of whether the Action is brought by a third party, or by or in the right of the Company; provided, however, no such Person shall be indemnified for any Indemnified Costs which proximately result from the Person’s fraud, bad faith or willful misconduct or the Person’s material breach of this Agreement.</w:t>
      </w:r>
    </w:p>
    <w:p>
      <w:pPr>
        <w:spacing w:after="0" w:line="149" w:lineRule="exact"/>
        <w:rPr>
          <w:sz w:val="20"/>
          <w:szCs w:val="20"/>
          <w:color w:val="auto"/>
        </w:rPr>
      </w:pPr>
    </w:p>
    <w:p>
      <w:pPr>
        <w:ind w:left="320" w:right="419" w:firstLine="755"/>
        <w:spacing w:after="0" w:line="256" w:lineRule="auto"/>
        <w:rPr>
          <w:sz w:val="20"/>
          <w:szCs w:val="20"/>
          <w:color w:val="auto"/>
        </w:rPr>
      </w:pPr>
      <w:r>
        <w:rPr>
          <w:rFonts w:ascii="Times New Roman" w:cs="Times New Roman" w:eastAsia="Times New Roman" w:hAnsi="Times New Roman"/>
          <w:sz w:val="14"/>
          <w:szCs w:val="14"/>
          <w:color w:val="auto"/>
        </w:rPr>
        <w:t>B. The Company shall pay or reimburse, to the fullest extent allowed by law and consistent with this Section 6.5 above, in advance of the final disposition of the proceeding, Indemnified Costs incurred by the Indemnified Party in connection with any Action that is the subject of this Section 6.5.</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OR PLEDGE OF MEMBERSHIP INTERESTS; ADMISSION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NEW MEMBERS</w:t>
      </w:r>
    </w:p>
    <w:p>
      <w:pPr>
        <w:spacing w:after="0" w:line="156"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The Member shall have the right to transfer all (but not less than all) of its membership interest to any Person at any time. Any transferee shall be admitted as the Manager as of the effective date of the transfer. No Person can become a member of the Company unless it has been agreed and approved by the Manager to become a party of the Agreement. No member shall sell, transfer, assign, convey or otherwise directly or indirectly dispose its interest unless it has been agreed and approved by the Manager.</w:t>
      </w:r>
    </w:p>
    <w:p>
      <w:pPr>
        <w:spacing w:after="0" w:line="146"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Pledge</w:t>
      </w:r>
      <w:r>
        <w:rPr>
          <w:rFonts w:ascii="Times New Roman" w:cs="Times New Roman" w:eastAsia="Times New Roman" w:hAnsi="Times New Roman"/>
          <w:sz w:val="14"/>
          <w:szCs w:val="14"/>
          <w:color w:val="auto"/>
        </w:rPr>
        <w:t>. The Member shall have the right to pledge, or grant a security interest in, up to all of its membership interest to any Person at any time. With respect to such pledge or grant of security interest under the Uniform Commercial Code, as codified under applicable law (the “UCC”), the Company elects to opt in and be governed by Article 8 of the UCC, and anything contained in the Agreement or any other document of the Company to the contrary notwithstanding, the membership interests of the Company shall be considered “securities” for purposes of Section 8-103(c), Article 8 and Article 9 of the UCC.</w:t>
      </w:r>
    </w:p>
    <w:p>
      <w:pPr>
        <w:spacing w:after="0" w:line="148"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Admission of New Members</w:t>
      </w:r>
      <w:r>
        <w:rPr>
          <w:rFonts w:ascii="Times New Roman" w:cs="Times New Roman" w:eastAsia="Times New Roman" w:hAnsi="Times New Roman"/>
          <w:sz w:val="13"/>
          <w:szCs w:val="13"/>
          <w:color w:val="auto"/>
        </w:rPr>
        <w:t>. No new member (“New Member”) shall be admitted (other than pursuant to Section 7.1), either by transfer of a portion of a member’s interest in accordance with this Agreement, or in any other manner, which causes the Company to have two or more members, until this Agreement has been amended to provide for such admission, including amendments relating to the governance of the Company, and providing for the allocation of Profits and Losses of the Company among the members, and such amendment has been accepted by the existing members and the New Member. No Person can become a member of the Company unless it has been agreed and approved by the Manager to become a party of the Agreement. No member shall sell, transfer, assign, convey or otherwise directly or indirectly dispose its interest unless it has been agreed and approved by the Manager. The Company’s profits and losses shall be automatically allocated to the members in proportion to their respective ownership interest.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VIII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DISSOLUTION, LIQUIDATION AND TERMINATION OF THE COMPANY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Events of Dissolution</w:t>
      </w:r>
      <w:r>
        <w:rPr>
          <w:rFonts w:ascii="Times New Roman" w:cs="Times New Roman" w:eastAsia="Times New Roman" w:hAnsi="Times New Roman"/>
          <w:sz w:val="14"/>
          <w:szCs w:val="14"/>
          <w:color w:val="auto"/>
        </w:rPr>
        <w:t>. The Company shall be dissolved upon the happening of any of the following events:</w:t>
      </w:r>
    </w:p>
    <w:p>
      <w:pPr>
        <w:spacing w:after="0" w:line="1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 upon the election of the Manager; or</w:t>
      </w:r>
    </w:p>
    <w:p>
      <w:pPr>
        <w:spacing w:after="0" w:line="1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B. upon the affirmative vote or unanimous written consent of the members; or</w:t>
      </w:r>
    </w:p>
    <w:p>
      <w:pPr>
        <w:spacing w:after="0" w:line="1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C. upon the death, dissolution, winding up, insolvency or bankruptcy of all members.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Procedure for Winding Up and Dissolution</w:t>
      </w:r>
      <w:r>
        <w:rPr>
          <w:rFonts w:ascii="Times New Roman" w:cs="Times New Roman" w:eastAsia="Times New Roman" w:hAnsi="Times New Roman"/>
          <w:sz w:val="14"/>
          <w:szCs w:val="14"/>
          <w:color w:val="auto"/>
        </w:rPr>
        <w:t>. If the Company is dissolved for any reason, the Manager shall wind up its affairs.</w:t>
      </w:r>
    </w:p>
    <w:p>
      <w:pPr>
        <w:spacing w:after="0" w:line="168" w:lineRule="exact"/>
        <w:rPr>
          <w:sz w:val="20"/>
          <w:szCs w:val="20"/>
          <w:color w:val="auto"/>
        </w:rPr>
      </w:pPr>
    </w:p>
    <w:p>
      <w:pPr>
        <w:ind w:left="320" w:right="759" w:firstLine="335"/>
        <w:spacing w:after="0" w:line="267" w:lineRule="auto"/>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Filing of Certificate of Cancellation</w:t>
      </w:r>
      <w:r>
        <w:rPr>
          <w:rFonts w:ascii="Times New Roman" w:cs="Times New Roman" w:eastAsia="Times New Roman" w:hAnsi="Times New Roman"/>
          <w:sz w:val="14"/>
          <w:szCs w:val="14"/>
          <w:color w:val="auto"/>
        </w:rPr>
        <w:t>. If the Company is dissolved, the Manager shall promptly file a certificate of cancellation with the Delaware Secretary of State.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BOOKS, RECORDS, ACCOUNTING, AND TAX ELECTIONS</w:t>
      </w:r>
    </w:p>
    <w:p>
      <w:pPr>
        <w:spacing w:after="0" w:line="172" w:lineRule="exact"/>
        <w:rPr>
          <w:sz w:val="20"/>
          <w:szCs w:val="20"/>
          <w:color w:val="auto"/>
        </w:rPr>
      </w:pPr>
    </w:p>
    <w:p>
      <w:pPr>
        <w:ind w:left="320" w:right="3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Bank Accounts</w:t>
      </w:r>
      <w:r>
        <w:rPr>
          <w:rFonts w:ascii="Times New Roman" w:cs="Times New Roman" w:eastAsia="Times New Roman" w:hAnsi="Times New Roman"/>
          <w:sz w:val="14"/>
          <w:szCs w:val="14"/>
          <w:color w:val="auto"/>
        </w:rPr>
        <w:t>. All funds of the Company shall be deposited in a bank account or accounts opened in the Company’s name as determined by the Manager.</w:t>
      </w:r>
    </w:p>
    <w:p>
      <w:pPr>
        <w:spacing w:after="0" w:line="135" w:lineRule="exact"/>
        <w:rPr>
          <w:sz w:val="20"/>
          <w:szCs w:val="20"/>
          <w:color w:val="auto"/>
        </w:rPr>
      </w:pPr>
    </w:p>
    <w:p>
      <w:pPr>
        <w:ind w:left="320" w:right="499" w:firstLine="335"/>
        <w:spacing w:after="0" w:line="267"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Books and Records</w:t>
      </w:r>
      <w:r>
        <w:rPr>
          <w:rFonts w:ascii="Times New Roman" w:cs="Times New Roman" w:eastAsia="Times New Roman" w:hAnsi="Times New Roman"/>
          <w:sz w:val="14"/>
          <w:szCs w:val="14"/>
          <w:color w:val="auto"/>
        </w:rPr>
        <w:t>. The Company shall keep or cause to be kept complete and accurate books and records of the Company. The books and records shall be maintained in accordance with generally accepted accounting principles and practices.</w:t>
      </w:r>
    </w:p>
    <w:p>
      <w:pPr>
        <w:spacing w:after="0" w:line="135" w:lineRule="exact"/>
        <w:rPr>
          <w:sz w:val="20"/>
          <w:szCs w:val="20"/>
          <w:color w:val="auto"/>
        </w:rPr>
      </w:pPr>
    </w:p>
    <w:p>
      <w:pPr>
        <w:ind w:left="320" w:right="439" w:firstLine="335"/>
        <w:spacing w:after="0" w:line="267" w:lineRule="auto"/>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Tax Elections</w:t>
      </w:r>
      <w:r>
        <w:rPr>
          <w:rFonts w:ascii="Times New Roman" w:cs="Times New Roman" w:eastAsia="Times New Roman" w:hAnsi="Times New Roman"/>
          <w:sz w:val="14"/>
          <w:szCs w:val="14"/>
          <w:color w:val="auto"/>
        </w:rPr>
        <w:t>. Any election under any provision of any tax law shall be made only by the Manager or by a person authorized to do so by the Manager.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72" w:lineRule="exact"/>
        <w:rPr>
          <w:sz w:val="20"/>
          <w:szCs w:val="20"/>
          <w:color w:val="auto"/>
        </w:rPr>
      </w:pPr>
    </w:p>
    <w:p>
      <w:pPr>
        <w:jc w:val="both"/>
        <w:ind w:left="320" w:right="339" w:firstLine="335"/>
        <w:spacing w:after="0" w:line="256"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Complete Agreement</w:t>
      </w:r>
      <w:r>
        <w:rPr>
          <w:rFonts w:ascii="Times New Roman" w:cs="Times New Roman" w:eastAsia="Times New Roman" w:hAnsi="Times New Roman"/>
          <w:sz w:val="14"/>
          <w:szCs w:val="14"/>
          <w:color w:val="auto"/>
        </w:rPr>
        <w:t>. This Agreement constitutes the complete and exclusive statement of the agreement of the parties hereto. It supersedes all prior written and oral statements, including any prior representation, statement, condition or warranty. Except as expressly provided otherwise herein, this Agreement may not be amended without the written consent of the Member.</w:t>
      </w:r>
    </w:p>
    <w:p>
      <w:pPr>
        <w:spacing w:after="0" w:line="143" w:lineRule="exact"/>
        <w:rPr>
          <w:sz w:val="20"/>
          <w:szCs w:val="20"/>
          <w:color w:val="auto"/>
        </w:rPr>
      </w:pPr>
    </w:p>
    <w:p>
      <w:pPr>
        <w:ind w:left="320" w:right="819" w:firstLine="335"/>
        <w:spacing w:after="0" w:line="267"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Applicable Law</w:t>
      </w:r>
      <w:r>
        <w:rPr>
          <w:rFonts w:ascii="Times New Roman" w:cs="Times New Roman" w:eastAsia="Times New Roman" w:hAnsi="Times New Roman"/>
          <w:sz w:val="14"/>
          <w:szCs w:val="14"/>
          <w:color w:val="auto"/>
        </w:rPr>
        <w:t>. All questions concerning the construction, validity and interpretation of this Agreement and the performance of the obligations imposed by this Agreement shall be governed by the internal law, not the law of conflicts, of the State of Delaware.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6" w:right="1440" w:bottom="1440" w:gutter="0" w:footer="0" w:header="0"/>
        </w:sectPr>
      </w:pPr>
    </w:p>
    <w:bookmarkStart w:id="112" w:name="page113"/>
    <w:bookmarkEnd w:id="112"/>
    <w:p>
      <w:pPr>
        <w:ind w:left="320" w:right="779" w:firstLine="335"/>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10.3. </w:t>
      </w:r>
      <w:r>
        <w:rPr>
          <w:rFonts w:ascii="Times New Roman" w:cs="Times New Roman" w:eastAsia="Times New Roman" w:hAnsi="Times New Roman"/>
          <w:sz w:val="14"/>
          <w:szCs w:val="14"/>
          <w:u w:val="single" w:color="auto"/>
          <w:color w:val="auto"/>
        </w:rPr>
        <w:t>Section Titles</w:t>
      </w:r>
      <w:r>
        <w:rPr>
          <w:rFonts w:ascii="Times New Roman" w:cs="Times New Roman" w:eastAsia="Times New Roman" w:hAnsi="Times New Roman"/>
          <w:sz w:val="14"/>
          <w:szCs w:val="14"/>
          <w:color w:val="auto"/>
        </w:rPr>
        <w:t>. The headings herein are inserted as a matter of convenience only, and do not define, limit or describe the scope of this Agreement or the intent of the provisions hereof</w:t>
      </w:r>
    </w:p>
    <w:p>
      <w:pPr>
        <w:spacing w:after="0" w:line="135" w:lineRule="exact"/>
        <w:rPr>
          <w:sz w:val="20"/>
          <w:szCs w:val="20"/>
          <w:color w:val="auto"/>
        </w:rPr>
      </w:pPr>
    </w:p>
    <w:p>
      <w:pPr>
        <w:ind w:left="320" w:right="5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4"/>
          <w:szCs w:val="14"/>
          <w:u w:val="single" w:color="auto"/>
          <w:color w:val="auto"/>
        </w:rPr>
        <w:t>Binding Provisions</w:t>
      </w:r>
      <w:r>
        <w:rPr>
          <w:rFonts w:ascii="Times New Roman" w:cs="Times New Roman" w:eastAsia="Times New Roman" w:hAnsi="Times New Roman"/>
          <w:sz w:val="14"/>
          <w:szCs w:val="14"/>
          <w:color w:val="auto"/>
        </w:rPr>
        <w:t>. This Agreement is binding upon, and inures to the benefit of, the parties hereto and their respective heirs, executors, administrators, personal and legal representatives, successors and permitted assigns.</w:t>
      </w:r>
    </w:p>
    <w:p>
      <w:pPr>
        <w:spacing w:after="0" w:line="135" w:lineRule="exact"/>
        <w:rPr>
          <w:sz w:val="20"/>
          <w:szCs w:val="20"/>
          <w:color w:val="auto"/>
        </w:rPr>
      </w:pPr>
    </w:p>
    <w:p>
      <w:pPr>
        <w:ind w:left="320" w:right="4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10.5. </w:t>
      </w:r>
      <w:r>
        <w:rPr>
          <w:rFonts w:ascii="Times New Roman" w:cs="Times New Roman" w:eastAsia="Times New Roman" w:hAnsi="Times New Roman"/>
          <w:sz w:val="14"/>
          <w:szCs w:val="14"/>
          <w:u w:val="single" w:color="auto"/>
          <w:color w:val="auto"/>
        </w:rPr>
        <w:t>Terms</w:t>
      </w:r>
      <w:r>
        <w:rPr>
          <w:rFonts w:ascii="Times New Roman" w:cs="Times New Roman" w:eastAsia="Times New Roman" w:hAnsi="Times New Roman"/>
          <w:sz w:val="14"/>
          <w:szCs w:val="14"/>
          <w:color w:val="auto"/>
        </w:rPr>
        <w:t>. Common nouns and pronouns shall be deemed to refer to the masculine, feminine, neuter, singular and plural, as the identity of the Person may in the context require.</w:t>
      </w:r>
    </w:p>
    <w:p>
      <w:pPr>
        <w:spacing w:after="0" w:line="135" w:lineRule="exact"/>
        <w:rPr>
          <w:sz w:val="20"/>
          <w:szCs w:val="20"/>
          <w:color w:val="auto"/>
        </w:rPr>
      </w:pPr>
    </w:p>
    <w:p>
      <w:pPr>
        <w:ind w:left="320" w:right="399" w:firstLine="335"/>
        <w:spacing w:after="0" w:line="256" w:lineRule="auto"/>
        <w:rPr>
          <w:sz w:val="20"/>
          <w:szCs w:val="20"/>
          <w:color w:val="auto"/>
        </w:rPr>
      </w:pPr>
      <w:r>
        <w:rPr>
          <w:rFonts w:ascii="Times New Roman" w:cs="Times New Roman" w:eastAsia="Times New Roman" w:hAnsi="Times New Roman"/>
          <w:sz w:val="14"/>
          <w:szCs w:val="14"/>
          <w:color w:val="auto"/>
        </w:rPr>
        <w:t xml:space="preserve">10.6. </w:t>
      </w:r>
      <w:r>
        <w:rPr>
          <w:rFonts w:ascii="Times New Roman" w:cs="Times New Roman" w:eastAsia="Times New Roman" w:hAnsi="Times New Roman"/>
          <w:sz w:val="14"/>
          <w:szCs w:val="14"/>
          <w:u w:val="single" w:color="auto"/>
          <w:color w:val="auto"/>
        </w:rPr>
        <w:t>Severability of Provisions</w:t>
      </w:r>
      <w:r>
        <w:rPr>
          <w:rFonts w:ascii="Times New Roman" w:cs="Times New Roman" w:eastAsia="Times New Roman" w:hAnsi="Times New Roman"/>
          <w:sz w:val="14"/>
          <w:szCs w:val="14"/>
          <w:color w:val="auto"/>
        </w:rPr>
        <w:t>. Each provision of this Agreement shall be considered severable; and if, for any reason, any provision or provisions herein are determined to be invalid and contrary to any existing or future law, such invalidity shall not impair the operation of or affect those portions of this Agreement which are valid.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WITNESS WHEREOF, the parties have executed, or caused this Agreement to be executed, under seal, as of the date set forth hereinabove.</w:t>
      </w:r>
    </w:p>
    <w:p>
      <w:pPr>
        <w:spacing w:after="0" w:line="19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MEMBER</w:t>
      </w:r>
    </w:p>
    <w:p>
      <w:pPr>
        <w:spacing w:after="0" w:line="17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CROWN CORK &amp; SEAL COMPANY, INC.</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195135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5">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 David A. Beaver</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Title: Vice President &amp; Treasurer</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7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CROWN INTERNATIONAL HOLDINGS, LLC</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195135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6">
                      <a:extLst>
                        <a:ext uri="{28A0092B-C50C-407E-A947-70E740481C1C}"/>
                      </a:extLst>
                    </a:blip>
                    <a:srcRect/>
                    <a:stretch>
                      <a:fillRect/>
                    </a:stretch>
                  </pic:blipFill>
                  <pic:spPr bwMode="auto">
                    <a:xfrm>
                      <a:off x="0" y="0"/>
                      <a:ext cx="1951355" cy="6350"/>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 David A. Beaver</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Title: Vice President &amp; Treasurer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14" w:name="page115"/>
    <w:bookmarkEnd w:id="114"/>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5</w:t>
      </w:r>
    </w:p>
    <w:p>
      <w:pPr>
        <w:spacing w:after="0" w:line="19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Cira Centre</w:t>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2929 Arch Street</w:t>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Philadelphia, PA 19104-2808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-67945</wp:posOffset>
            </wp:positionV>
            <wp:extent cx="587375" cy="528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7">
                      <a:extLst>
                        <a:ext uri="{28A0092B-C50C-407E-A947-70E740481C1C}"/>
                      </a:extLst>
                    </a:blip>
                    <a:srcRect/>
                    <a:stretch>
                      <a:fillRect/>
                    </a:stretch>
                  </pic:blipFill>
                  <pic:spPr bwMode="auto">
                    <a:xfrm>
                      <a:off x="0" y="0"/>
                      <a:ext cx="587375" cy="528320"/>
                    </a:xfrm>
                    <a:prstGeom prst="rect">
                      <a:avLst/>
                    </a:prstGeom>
                    <a:noFill/>
                  </pic:spPr>
                </pic:pic>
              </a:graphicData>
            </a:graphic>
          </wp:anchor>
        </w:drawing>
      </w:r>
    </w:p>
    <w:p>
      <w:pPr>
        <w:spacing w:after="0" w:line="6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+1 215 994 4000 Main</w:t>
      </w:r>
    </w:p>
    <w:p>
      <w:pPr>
        <w:spacing w:after="0" w:line="15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+1 215 994 2222</w:t>
      </w:r>
    </w:p>
    <w:p>
      <w:pPr>
        <w:spacing w:after="0" w:line="9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Fax www.dechert.com</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-100330</wp:posOffset>
            </wp:positionV>
            <wp:extent cx="175514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8">
                      <a:extLst>
                        <a:ext uri="{28A0092B-C50C-407E-A947-70E740481C1C}"/>
                      </a:extLst>
                    </a:blip>
                    <a:srcRect/>
                    <a:stretch>
                      <a:fillRect/>
                    </a:stretch>
                  </pic:blipFill>
                  <pic:spPr bwMode="auto">
                    <a:xfrm>
                      <a:off x="0" y="0"/>
                      <a:ext cx="1755140" cy="6350"/>
                    </a:xfrm>
                    <a:prstGeom prst="rect">
                      <a:avLst/>
                    </a:prstGeom>
                    <a:noFill/>
                  </pic:spPr>
                </pic:pic>
              </a:graphicData>
            </a:graphic>
          </wp:anchor>
        </w:drawing>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Holdings, Inc.</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14025 Riveredge Drive, Suite 300</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Tampa, FL 33637</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Americas LLC</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 Crown Holdings,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14025 Riveredge Drive, Suite 300</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Tampa, FL 33637</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Guarantors listed on Schedule A</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 Crown Holdings,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14025 Riveredge Drive, Suite 300</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Tampa, FL 33637</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 Form S-4 Registration Statement (Reg. No. 333-)</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6" w:lineRule="exact"/>
        <w:rPr>
          <w:sz w:val="20"/>
          <w:szCs w:val="20"/>
          <w:color w:val="auto"/>
        </w:rPr>
      </w:pPr>
    </w:p>
    <w:p>
      <w:pPr>
        <w:ind w:left="320" w:right="379"/>
        <w:spacing w:after="0" w:line="268" w:lineRule="auto"/>
        <w:rPr>
          <w:sz w:val="20"/>
          <w:szCs w:val="20"/>
          <w:color w:val="auto"/>
        </w:rPr>
      </w:pPr>
      <w:r>
        <w:rPr>
          <w:rFonts w:ascii="Times New Roman" w:cs="Times New Roman" w:eastAsia="Times New Roman" w:hAnsi="Times New Roman"/>
          <w:sz w:val="13"/>
          <w:szCs w:val="13"/>
          <w:color w:val="auto"/>
        </w:rPr>
        <w:t>We have acted as special counsel to Crown Holdings, Inc., a Pennsylvania corporation (the “Company”), Crown Americas LLC, a Pennsylvania limited liability company (the “Issuer”), and the guarantors listed on Schedule A hereto (together with the Company, the “Guarantors”) in connection with the preparation and filing of the Registration Statement on Form S-4 (Registration No. 333- ) filed by the Issuer and the Guarantors on the date hereof with the Securities and Exchange Commission (the “Commission”) under the Securities Act of 1933, as amended (the “Securities Act”), and the Trust Indenture Act of 1939, as amended (the “Trust Indenture Act”), as amended (the “Registration Statement”). Upon the effectiveness of the Registration Statement, the Issuer and the Guarantors propose to offer to exchange (the “Exchange Offer”) an aggregate principal amount of up to $700,000,000 of the Issuer’s 5.875% Senior Notes due 2033 (the “New Notes”), and the guarantees thereof by the Guarantors (the “New Guarantees”), registered under the Securities Act for an equal aggregate principal amount of the Issuer’s outstanding 5.875% Senior Notes due 2033 (the “Old Notes”), and the guarantees thereof by the Guarantors (the “Old Guarantees”). The New Notes and the New Guarantees are to be issued pursuant to the terms of the Indenture, dated as of May 27, 2025, by and among the Issuer, the Guarantors and U.S. Bank Trust Company, National Association, as trustee (the “Trustee”), incorporated by reference as Exhibit 4.u to the Registration Statement (the “Indenture”).</w:t>
      </w:r>
    </w:p>
    <w:p>
      <w:pPr>
        <w:spacing w:after="0" w:line="137" w:lineRule="exact"/>
        <w:rPr>
          <w:sz w:val="20"/>
          <w:szCs w:val="20"/>
          <w:color w:val="auto"/>
        </w:rPr>
      </w:pPr>
    </w:p>
    <w:p>
      <w:pPr>
        <w:ind w:left="320" w:right="819"/>
        <w:spacing w:after="0" w:line="306" w:lineRule="auto"/>
        <w:rPr>
          <w:sz w:val="20"/>
          <w:szCs w:val="20"/>
          <w:color w:val="auto"/>
        </w:rPr>
      </w:pPr>
      <w:r>
        <w:rPr>
          <w:rFonts w:ascii="Times New Roman" w:cs="Times New Roman" w:eastAsia="Times New Roman" w:hAnsi="Times New Roman"/>
          <w:sz w:val="13"/>
          <w:szCs w:val="13"/>
          <w:color w:val="auto"/>
        </w:rPr>
        <w:t>This opinion is being furnished to the Issuer and the Guarantors in accordance with the requirements of Item 601(b)(5) of Regulation S-K of the Securities Act, and no opinion is expressed herein as to any matter other than as to the legality of the New Notes and the New Guarantees.</w:t>
      </w:r>
    </w:p>
    <w:p>
      <w:pPr>
        <w:spacing w:after="0" w:line="112" w:lineRule="exact"/>
        <w:rPr>
          <w:sz w:val="20"/>
          <w:szCs w:val="20"/>
          <w:color w:val="auto"/>
        </w:rPr>
      </w:pPr>
    </w:p>
    <w:p>
      <w:pPr>
        <w:ind w:left="320" w:right="379"/>
        <w:spacing w:after="0" w:line="256" w:lineRule="auto"/>
        <w:rPr>
          <w:sz w:val="20"/>
          <w:szCs w:val="20"/>
          <w:color w:val="auto"/>
        </w:rPr>
      </w:pPr>
      <w:r>
        <w:rPr>
          <w:rFonts w:ascii="Times New Roman" w:cs="Times New Roman" w:eastAsia="Times New Roman" w:hAnsi="Times New Roman"/>
          <w:sz w:val="14"/>
          <w:szCs w:val="14"/>
          <w:color w:val="auto"/>
        </w:rPr>
        <w:t>We have participated in the preparation of the Registration Statement and have made such legal and factual examination and inquiry as we have deemed advisable for the rendering of this opinion. In making our examination we have assumed the genuineness of all signatures, the authenticity of all documents submitted to us as originals and the conformity to all authentic original documents of all documents submitted to us as copies.</w:t>
      </w:r>
    </w:p>
    <w:p>
      <w:pPr>
        <w:sectPr>
          <w:pgSz w:w="11900" w:h="16838" w:orient="portrait"/>
          <w:cols w:equalWidth="0" w:num="1">
            <w:col w:w="9019"/>
          </w:cols>
          <w:pgMar w:left="1440" w:top="123" w:right="1440" w:bottom="1440" w:gutter="0" w:footer="0" w:header="0"/>
        </w:sectPr>
      </w:pPr>
    </w:p>
    <w:bookmarkStart w:id="115" w:name="page116"/>
    <w:bookmarkEnd w:id="115"/>
    <w:p>
      <w:pPr>
        <w:ind w:left="320" w:right="399"/>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rendering the opinions expressed below, we have assumed that (a) the Indenture has been duly authorized, executed and delivered by the Trustee and constitutes a legal, valid and binding agreement of the Trustee, (b) the Registration Statement will have been declared effective by the Commission,</w:t>
      </w:r>
    </w:p>
    <w:p>
      <w:pPr>
        <w:ind w:left="320" w:right="439" w:hanging="9"/>
        <w:spacing w:after="0" w:line="247" w:lineRule="auto"/>
        <w:tabs>
          <w:tab w:leader="none" w:pos="50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Indenture will have been qualified under the Trust Indenture Act, and (d) the Old Notes have been, and the New Notes will have been, duly authenticated and delivered by the Trustee in accordance with the terms of the Indenture. In addition, we have assumed that there will be no changes in applicable law between the date of this opinion and the date of issuance and delivery of the New Notes and the New Guarantees.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Based upon the foregoing and subject to the assumptions, limitations and qualifications stated herein, we are of the opinion that:</w:t>
      </w:r>
    </w:p>
    <w:p>
      <w:pPr>
        <w:spacing w:after="0" w:line="86" w:lineRule="exact"/>
        <w:rPr>
          <w:sz w:val="20"/>
          <w:szCs w:val="20"/>
          <w:color w:val="auto"/>
        </w:rPr>
      </w:pPr>
    </w:p>
    <w:p>
      <w:pPr>
        <w:jc w:val="both"/>
        <w:ind w:left="320" w:right="419" w:hanging="9"/>
        <w:spacing w:after="0" w:line="256" w:lineRule="auto"/>
        <w:tabs>
          <w:tab w:leader="none" w:pos="457"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New Notes have been duly executed, authenticated, issued and delivered by or on behalf of the Issuer in exchange for the Old Notes in the manner contemplated by the prospectus included in the Registration Statement, then the New Notes will constitute valid and binding obligations of the Issuer, enforceable against the Issuer in accordance with their terms.</w:t>
      </w:r>
    </w:p>
    <w:p>
      <w:pPr>
        <w:spacing w:after="0" w:line="142" w:lineRule="exact"/>
        <w:rPr>
          <w:rFonts w:ascii="Times New Roman" w:cs="Times New Roman" w:eastAsia="Times New Roman" w:hAnsi="Times New Roman"/>
          <w:sz w:val="14"/>
          <w:szCs w:val="14"/>
          <w:color w:val="auto"/>
        </w:rPr>
      </w:pPr>
    </w:p>
    <w:p>
      <w:pPr>
        <w:ind w:left="320" w:right="419" w:hanging="9"/>
        <w:spacing w:after="0" w:line="252" w:lineRule="auto"/>
        <w:tabs>
          <w:tab w:leader="none" w:pos="457"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New Notes have been duly executed, authenticated, issued and delivered by or on behalf of the Issuer in exchange for the Old Notes in the manner contemplated by the prospectus included in the Registration Statement, and when the New Guarantees have been duly executed in accordance with the terms of the Indenture, then the New Guarantees will constitute valid and binding obligations of each Guarantor enforceable against each Guarantor in accordance with their terms.</w:t>
      </w:r>
    </w:p>
    <w:p>
      <w:pPr>
        <w:spacing w:after="0" w:line="146"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color w:val="auto"/>
        </w:rPr>
        <w:t>The opinions rendered above are limited by principles of equity (regardless of whether considered in a proceeding in equity or at law) that may limit the availability of certain rights and remedies and do not reflect the effect of bankruptcy (including preferences), insolvency, fraudulent conveyance, moratorium, receivership, reorganization and other similar laws or decisions relating to or affecting creditors’ rights generally or debtors’ obligations generally.</w:t>
      </w:r>
    </w:p>
    <w:p>
      <w:pPr>
        <w:spacing w:after="0" w:line="146"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We express no opinion as to the validity, binding effect or enforceability of any provision in any agreement or instrument that (a) requires or relates to payment of any interest at a rate or in an amount that a court would determine in the circumstances under applicable law to be commercially unreasonable or a penalty or forfeiture, (b) relates to governing law and submission by the parties to the jurisdiction of one or more particular courts or (c) relates to waivers of rights or defenses or any indemnification or contribution provisions.</w:t>
      </w:r>
    </w:p>
    <w:p>
      <w:pPr>
        <w:spacing w:after="0" w:line="146"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color w:val="auto"/>
        </w:rPr>
        <w:t>The opinions expressed herein are limited to the General Corporation Law of the State of Delaware and the laws of the United States, the Commonwealth of Pennsylvania and the State of New York that are applicable to securities of the type contemplated by the Indenture, and we express no opinion with respect to the applicability or effect of the laws of any other jurisdiction (including without limitation the effect of such laws on the enforceability of the New Notes or the New Guarantees). We are not members of the bar of the State of Delaware, nor do we purport to be experts in the laws of the State of Delaware.</w:t>
      </w:r>
    </w:p>
    <w:p>
      <w:pPr>
        <w:spacing w:after="0" w:line="148" w:lineRule="exact"/>
        <w:rPr>
          <w:sz w:val="20"/>
          <w:szCs w:val="20"/>
          <w:color w:val="auto"/>
        </w:rPr>
      </w:pPr>
    </w:p>
    <w:p>
      <w:pPr>
        <w:ind w:left="320" w:right="519"/>
        <w:spacing w:after="0" w:line="267" w:lineRule="auto"/>
        <w:rPr>
          <w:sz w:val="20"/>
          <w:szCs w:val="20"/>
          <w:color w:val="auto"/>
        </w:rPr>
      </w:pPr>
      <w:r>
        <w:rPr>
          <w:rFonts w:ascii="Times New Roman" w:cs="Times New Roman" w:eastAsia="Times New Roman" w:hAnsi="Times New Roman"/>
          <w:sz w:val="14"/>
          <w:szCs w:val="14"/>
          <w:color w:val="auto"/>
        </w:rPr>
        <w:t>The opinions expressed herein are rendered to the Company and the Guarantors in connection with the filing of the Registration Statement and for no other purpose.</w:t>
      </w:r>
    </w:p>
    <w:p>
      <w:pPr>
        <w:spacing w:after="0" w:line="135" w:lineRule="exact"/>
        <w:rPr>
          <w:sz w:val="20"/>
          <w:szCs w:val="20"/>
          <w:color w:val="auto"/>
        </w:rPr>
      </w:pPr>
    </w:p>
    <w:p>
      <w:pPr>
        <w:ind w:left="320" w:right="339"/>
        <w:spacing w:after="0" w:line="256"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 to the Registration Statement and to the use of our name in the prospectus contained therein under the caption “Legal Matters.” In giving such consent we do not thereby admit that we come within the category of persons whose consent is required under Section 7 of the Securities Act or the rules and regulations of the Commission promulgated thereunder.</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/s/ Dechert LLP</w:t>
      </w:r>
    </w:p>
    <w:p>
      <w:pPr>
        <w:sectPr>
          <w:pgSz w:w="11900" w:h="16838" w:orient="portrait"/>
          <w:cols w:equalWidth="0" w:num="1">
            <w:col w:w="9019"/>
          </w:cols>
          <w:pgMar w:left="1440" w:top="240"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Schedule A</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auto"/>
        </w:rPr>
        <w:t>Guarantors:</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Beverage Packaging Puerto Rico, Inc.</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Consultants,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Cork &amp; Seal Company (DE),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Cork &amp; Seal Company,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Financial Corporation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International Holdings,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Packaging Technology,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Foreign Manufacturers Finance Corporation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Cork &amp; Seal USA,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 USA,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Beverage Packaging,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Crown Beverage Holdings,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Signode Industrial Group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Signode Pickling Holding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Signode US IP Holdings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Signode Industrial Group US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Signode Industrial Group Holdings US Inc.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Signode International IP Holdings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Simplimatic Engineering Holdings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Simplimatic Automation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SEH Real Estate Holdings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 International Holdings LLC</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 International Holdings II LLC</w:t>
      </w:r>
    </w:p>
    <w:p>
      <w:pPr>
        <w:sectPr>
          <w:pgSz w:w="11900" w:h="16838" w:orient="portrait"/>
          <w:cols w:equalWidth="0" w:num="1">
            <w:col w:w="9019"/>
          </w:cols>
          <w:pgMar w:left="1440" w:top="236" w:right="1440" w:bottom="1440" w:gutter="0" w:footer="0" w:header="0"/>
        </w:sectPr>
      </w:pPr>
    </w:p>
    <w:bookmarkStart w:id="117" w:name="page118"/>
    <w:bookmarkEnd w:id="117"/>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23.A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2" w:lineRule="exact"/>
        <w:rPr>
          <w:sz w:val="20"/>
          <w:szCs w:val="20"/>
          <w:color w:val="auto"/>
        </w:rPr>
      </w:pPr>
    </w:p>
    <w:p>
      <w:pPr>
        <w:ind w:left="320" w:right="339"/>
        <w:spacing w:after="0" w:line="252"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S-4 of Crown Holdings, Inc. of our report dated March 3, 2025, relating to the financial statements, financial statement schedule and the effectiveness of internal control over financial reporting, which appears in Crown Holdings, Inc.’s Annual Report on Form 10-K for the year ended December 31, 2024. We also consent to the reference to us under the heading “Experts” in such Registration Statement.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 PricewaterhouseCoopers LLP</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Philadelphia, Pennsylvania</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November 24, 2025</w:t>
      </w:r>
    </w:p>
    <w:p>
      <w:pPr>
        <w:sectPr>
          <w:pgSz w:w="11900" w:h="16838" w:orient="portrait"/>
          <w:cols w:equalWidth="0" w:num="1">
            <w:col w:w="9019"/>
          </w:cols>
          <w:pgMar w:left="1440" w:top="123" w:right="1440" w:bottom="1440" w:gutter="0" w:footer="0" w:header="0"/>
        </w:sectPr>
      </w:pPr>
    </w:p>
    <w:bookmarkStart w:id="118" w:name="page119"/>
    <w:bookmarkEnd w:id="118"/>
    <w:p>
      <w:pPr>
        <w:ind w:left="8100"/>
        <w:spacing w:after="0"/>
        <w:rPr>
          <w:sz w:val="20"/>
          <w:szCs w:val="20"/>
          <w:color w:val="auto"/>
        </w:rPr>
      </w:pPr>
      <w:r>
        <w:rPr>
          <w:rFonts w:ascii="Times New Roman" w:cs="Times New Roman" w:eastAsia="Times New Roman" w:hAnsi="Times New Roman"/>
          <w:sz w:val="13"/>
          <w:szCs w:val="13"/>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144145</wp:posOffset>
            </wp:positionV>
            <wp:extent cx="532511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1">
                      <a:extLst>
                        <a:ext uri="{28A0092B-C50C-407E-A947-70E740481C1C}"/>
                      </a:extLst>
                    </a:blip>
                    <a:srcRect/>
                    <a:stretch>
                      <a:fillRect/>
                    </a:stretch>
                  </pic:blipFill>
                  <pic:spPr bwMode="auto">
                    <a:xfrm>
                      <a:off x="0" y="0"/>
                      <a:ext cx="5325110" cy="635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176530</wp:posOffset>
            </wp:positionV>
            <wp:extent cx="532511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2">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172085</wp:posOffset>
            </wp:positionV>
            <wp:extent cx="112268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186055</wp:posOffset>
            </wp:positionV>
            <wp:extent cx="112268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ELIGIBILITY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TRUST INDENTURE ACT OF 1939</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A CORPORATION DESIGNATED TO ACT AS TRUSTEE</w:t>
      </w:r>
    </w:p>
    <w:p>
      <w:pPr>
        <w:spacing w:after="0" w:line="164" w:lineRule="exact"/>
        <w:rPr>
          <w:sz w:val="20"/>
          <w:szCs w:val="20"/>
          <w:color w:val="auto"/>
        </w:rPr>
      </w:pPr>
    </w:p>
    <w:p>
      <w:pPr>
        <w:ind w:left="640" w:hanging="329"/>
        <w:spacing w:after="0"/>
        <w:tabs>
          <w:tab w:leader="none" w:pos="640" w:val="left"/>
        </w:tabs>
        <w:numPr>
          <w:ilvl w:val="0"/>
          <w:numId w:val="87"/>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198755</wp:posOffset>
            </wp:positionV>
            <wp:extent cx="112268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 BANK TRUST COMPANY,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170815</wp:posOffset>
            </wp:positionV>
            <wp:extent cx="112268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5060" w:type="dxa"/>
            <w:vAlign w:val="bottom"/>
            <w:gridSpan w:val="2"/>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91-1821036</w:t>
            </w: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44"/>
        </w:trPr>
        <w:tc>
          <w:tcPr>
            <w:tcW w:w="3300" w:type="dxa"/>
            <w:vAlign w:val="bottom"/>
          </w:tcPr>
          <w:p>
            <w:pPr>
              <w:spacing w:after="0"/>
              <w:rPr>
                <w:sz w:val="12"/>
                <w:szCs w:val="12"/>
                <w:color w:val="auto"/>
              </w:rPr>
            </w:pPr>
          </w:p>
        </w:tc>
        <w:tc>
          <w:tcPr>
            <w:tcW w:w="24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9"/>
              </w:rPr>
              <w:t>I.R.S. Employer Identification No.</w:t>
            </w:r>
          </w:p>
        </w:tc>
        <w:tc>
          <w:tcPr>
            <w:tcW w:w="2620" w:type="dxa"/>
            <w:vAlign w:val="bottom"/>
          </w:tcPr>
          <w:p>
            <w:pPr>
              <w:spacing w:after="0"/>
              <w:rPr>
                <w:sz w:val="12"/>
                <w:szCs w:val="12"/>
                <w:color w:val="auto"/>
              </w:rPr>
            </w:pPr>
          </w:p>
        </w:tc>
      </w:tr>
      <w:tr>
        <w:trPr>
          <w:trHeight w:val="321"/>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6"/>
              </w:rPr>
              <w:t>800 Nicollet Mall</w:t>
            </w:r>
          </w:p>
        </w:tc>
        <w:tc>
          <w:tcPr>
            <w:tcW w:w="2620" w:type="dxa"/>
            <w:vAlign w:val="bottom"/>
          </w:tcPr>
          <w:p>
            <w:pPr>
              <w:spacing w:after="0"/>
              <w:rPr>
                <w:sz w:val="24"/>
                <w:szCs w:val="24"/>
                <w:color w:val="auto"/>
              </w:rPr>
            </w:pPr>
          </w:p>
        </w:tc>
      </w:tr>
      <w:tr>
        <w:trPr>
          <w:trHeight w:val="172"/>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8"/>
              </w:rPr>
              <w:t>Minneapolis, Minnesota</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w w:val="97"/>
              </w:rPr>
              <w:t>55402</w:t>
            </w:r>
          </w:p>
        </w:tc>
      </w:tr>
      <w:tr>
        <w:trPr>
          <w:trHeight w:val="144"/>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w w:val="99"/>
              </w:rPr>
              <w:t>(Address of principal executive offices)</w:t>
            </w:r>
          </w:p>
        </w:tc>
        <w:tc>
          <w:tcPr>
            <w:tcW w:w="2620" w:type="dxa"/>
            <w:vAlign w:val="bottom"/>
          </w:tcPr>
          <w:p>
            <w:pPr>
              <w:jc w:val="center"/>
              <w:ind w:right="1399"/>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01"/>
        </w:trPr>
        <w:tc>
          <w:tcPr>
            <w:tcW w:w="3300" w:type="dxa"/>
            <w:vAlign w:val="bottom"/>
          </w:tcPr>
          <w:p>
            <w:pPr>
              <w:spacing w:after="0"/>
              <w:rPr>
                <w:sz w:val="24"/>
                <w:szCs w:val="24"/>
                <w:color w:val="auto"/>
              </w:rPr>
            </w:pPr>
          </w:p>
        </w:tc>
        <w:tc>
          <w:tcPr>
            <w:tcW w:w="24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6"/>
              </w:rPr>
              <w:t>Adina Casper</w:t>
            </w:r>
          </w:p>
        </w:tc>
        <w:tc>
          <w:tcPr>
            <w:tcW w:w="2620" w:type="dxa"/>
            <w:vAlign w:val="bottom"/>
          </w:tcPr>
          <w:p>
            <w:pPr>
              <w:spacing w:after="0"/>
              <w:rPr>
                <w:sz w:val="24"/>
                <w:szCs w:val="24"/>
                <w:color w:val="auto"/>
              </w:rPr>
            </w:pPr>
          </w:p>
        </w:tc>
      </w:tr>
      <w:tr>
        <w:trPr>
          <w:trHeight w:val="164"/>
        </w:trPr>
        <w:tc>
          <w:tcPr>
            <w:tcW w:w="5760" w:type="dxa"/>
            <w:vAlign w:val="bottom"/>
            <w:gridSpan w:val="3"/>
          </w:tcPr>
          <w:p>
            <w:pPr>
              <w:jc w:val="center"/>
              <w:ind w:left="2556"/>
              <w:spacing w:after="0"/>
              <w:rPr>
                <w:sz w:val="20"/>
                <w:szCs w:val="20"/>
                <w:color w:val="auto"/>
              </w:rPr>
            </w:pPr>
            <w:r>
              <w:rPr>
                <w:rFonts w:ascii="Times New Roman" w:cs="Times New Roman" w:eastAsia="Times New Roman" w:hAnsi="Times New Roman"/>
                <w:sz w:val="14"/>
                <w:szCs w:val="14"/>
                <w:b w:val="1"/>
                <w:bCs w:val="1"/>
                <w:color w:val="auto"/>
                <w:w w:val="97"/>
              </w:rPr>
              <w:t>U.S. Bank Trust Company, National Association</w:t>
            </w:r>
          </w:p>
        </w:tc>
        <w:tc>
          <w:tcPr>
            <w:tcW w:w="2620" w:type="dxa"/>
            <w:vAlign w:val="bottom"/>
          </w:tcPr>
          <w:p>
            <w:pPr>
              <w:spacing w:after="0"/>
              <w:rPr>
                <w:sz w:val="14"/>
                <w:szCs w:val="14"/>
                <w:color w:val="auto"/>
              </w:rPr>
            </w:pPr>
          </w:p>
        </w:tc>
      </w:tr>
      <w:tr>
        <w:trPr>
          <w:trHeight w:val="164"/>
        </w:trPr>
        <w:tc>
          <w:tcPr>
            <w:tcW w:w="3300" w:type="dxa"/>
            <w:vAlign w:val="bottom"/>
          </w:tcPr>
          <w:p>
            <w:pPr>
              <w:spacing w:after="0"/>
              <w:rPr>
                <w:sz w:val="14"/>
                <w:szCs w:val="14"/>
                <w:color w:val="auto"/>
              </w:rPr>
            </w:pP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333 Thornall Street</w:t>
            </w:r>
          </w:p>
        </w:tc>
        <w:tc>
          <w:tcPr>
            <w:tcW w:w="2620" w:type="dxa"/>
            <w:vAlign w:val="bottom"/>
          </w:tcPr>
          <w:p>
            <w:pPr>
              <w:spacing w:after="0"/>
              <w:rPr>
                <w:sz w:val="14"/>
                <w:szCs w:val="14"/>
                <w:color w:val="auto"/>
              </w:rPr>
            </w:pPr>
          </w:p>
        </w:tc>
      </w:tr>
      <w:tr>
        <w:trPr>
          <w:trHeight w:val="164"/>
        </w:trPr>
        <w:tc>
          <w:tcPr>
            <w:tcW w:w="3300" w:type="dxa"/>
            <w:vAlign w:val="bottom"/>
          </w:tcPr>
          <w:p>
            <w:pPr>
              <w:spacing w:after="0"/>
              <w:rPr>
                <w:sz w:val="14"/>
                <w:szCs w:val="14"/>
                <w:color w:val="auto"/>
              </w:rPr>
            </w:pP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Edison, NJ 08837</w:t>
            </w:r>
          </w:p>
        </w:tc>
        <w:tc>
          <w:tcPr>
            <w:tcW w:w="2620" w:type="dxa"/>
            <w:vAlign w:val="bottom"/>
          </w:tcPr>
          <w:p>
            <w:pPr>
              <w:spacing w:after="0"/>
              <w:rPr>
                <w:sz w:val="14"/>
                <w:szCs w:val="14"/>
                <w:color w:val="auto"/>
              </w:rPr>
            </w:pPr>
          </w:p>
        </w:tc>
      </w:tr>
      <w:tr>
        <w:trPr>
          <w:trHeight w:val="162"/>
        </w:trPr>
        <w:tc>
          <w:tcPr>
            <w:tcW w:w="5060" w:type="dxa"/>
            <w:vAlign w:val="bottom"/>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(732) 321-3956</w:t>
            </w:r>
          </w:p>
        </w:tc>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44"/>
        </w:trPr>
        <w:tc>
          <w:tcPr>
            <w:tcW w:w="5760" w:type="dxa"/>
            <w:vAlign w:val="bottom"/>
            <w:gridSpan w:val="3"/>
          </w:tcPr>
          <w:p>
            <w:pPr>
              <w:jc w:val="center"/>
              <w:ind w:left="2536"/>
              <w:spacing w:after="0"/>
              <w:rPr>
                <w:sz w:val="20"/>
                <w:szCs w:val="20"/>
                <w:color w:val="auto"/>
              </w:rPr>
            </w:pPr>
            <w:r>
              <w:rPr>
                <w:rFonts w:ascii="Times New Roman" w:cs="Times New Roman" w:eastAsia="Times New Roman" w:hAnsi="Times New Roman"/>
                <w:sz w:val="11"/>
                <w:szCs w:val="11"/>
                <w:b w:val="1"/>
                <w:bCs w:val="1"/>
                <w:color w:val="auto"/>
                <w:w w:val="99"/>
              </w:rPr>
              <w:t>(Name, address and telephone number of agent for service)</w:t>
            </w:r>
          </w:p>
        </w:tc>
        <w:tc>
          <w:tcPr>
            <w:tcW w:w="2620" w:type="dxa"/>
            <w:vAlign w:val="bottom"/>
          </w:tcPr>
          <w:p>
            <w:pPr>
              <w:spacing w:after="0"/>
              <w:rPr>
                <w:sz w:val="12"/>
                <w:szCs w:val="12"/>
                <w:color w:val="auto"/>
              </w:rPr>
            </w:pPr>
          </w:p>
        </w:tc>
      </w:tr>
      <w:tr>
        <w:trPr>
          <w:trHeight w:val="298"/>
        </w:trPr>
        <w:tc>
          <w:tcPr>
            <w:tcW w:w="3300" w:type="dxa"/>
            <w:vAlign w:val="bottom"/>
          </w:tcPr>
          <w:p>
            <w:pPr>
              <w:spacing w:after="0"/>
              <w:rPr>
                <w:sz w:val="24"/>
                <w:szCs w:val="24"/>
                <w:color w:val="auto"/>
              </w:rPr>
            </w:pP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Crown Americas LLC</w:t>
            </w:r>
          </w:p>
        </w:tc>
        <w:tc>
          <w:tcPr>
            <w:tcW w:w="2620" w:type="dxa"/>
            <w:vAlign w:val="bottom"/>
          </w:tcPr>
          <w:p>
            <w:pPr>
              <w:spacing w:after="0"/>
              <w:rPr>
                <w:sz w:val="24"/>
                <w:szCs w:val="24"/>
                <w:color w:val="auto"/>
              </w:rPr>
            </w:pPr>
          </w:p>
        </w:tc>
      </w:tr>
      <w:tr>
        <w:trPr>
          <w:trHeight w:val="144"/>
        </w:trPr>
        <w:tc>
          <w:tcPr>
            <w:tcW w:w="3300" w:type="dxa"/>
            <w:vAlign w:val="bottom"/>
          </w:tcPr>
          <w:p>
            <w:pPr>
              <w:spacing w:after="0"/>
              <w:rPr>
                <w:sz w:val="12"/>
                <w:szCs w:val="12"/>
                <w:color w:val="auto"/>
              </w:rPr>
            </w:pPr>
          </w:p>
        </w:tc>
        <w:tc>
          <w:tcPr>
            <w:tcW w:w="24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8"/>
              </w:rPr>
              <w:t>(Issuer with respect to the Securities)</w:t>
            </w:r>
          </w:p>
        </w:tc>
        <w:tc>
          <w:tcPr>
            <w:tcW w:w="2620" w:type="dxa"/>
            <w:vAlign w:val="bottom"/>
          </w:tcPr>
          <w:p>
            <w:pPr>
              <w:spacing w:after="0"/>
              <w:rPr>
                <w:sz w:val="12"/>
                <w:szCs w:val="12"/>
                <w:color w:val="auto"/>
              </w:rPr>
            </w:pPr>
          </w:p>
        </w:tc>
      </w:tr>
      <w:tr>
        <w:trPr>
          <w:trHeight w:val="256"/>
        </w:trPr>
        <w:tc>
          <w:tcPr>
            <w:tcW w:w="330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351"/>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8"/>
              </w:rPr>
              <w:t>Pennsylvania</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w w:val="97"/>
              </w:rPr>
              <w:t>23-1526444</w:t>
            </w:r>
          </w:p>
        </w:tc>
      </w:tr>
      <w:tr>
        <w:trPr>
          <w:trHeight w:val="113"/>
        </w:trPr>
        <w:tc>
          <w:tcPr>
            <w:tcW w:w="5760" w:type="dxa"/>
            <w:vAlign w:val="bottom"/>
            <w:gridSpan w:val="3"/>
          </w:tcPr>
          <w:p>
            <w:pPr>
              <w:jc w:val="center"/>
              <w:ind w:right="1540"/>
              <w:spacing w:after="0" w:line="113"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20" w:type="dxa"/>
            <w:vAlign w:val="bottom"/>
          </w:tcPr>
          <w:p>
            <w:pPr>
              <w:jc w:val="center"/>
              <w:ind w:right="1399"/>
              <w:spacing w:after="0" w:line="113"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4"/>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1"/>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7"/>
              </w:rPr>
              <w:t>770 Township Line Road</w:t>
            </w:r>
          </w:p>
        </w:tc>
        <w:tc>
          <w:tcPr>
            <w:tcW w:w="2620" w:type="dxa"/>
            <w:vAlign w:val="bottom"/>
          </w:tcPr>
          <w:p>
            <w:pPr>
              <w:spacing w:after="0"/>
              <w:rPr>
                <w:sz w:val="24"/>
                <w:szCs w:val="24"/>
                <w:color w:val="auto"/>
              </w:rPr>
            </w:pPr>
          </w:p>
        </w:tc>
      </w:tr>
      <w:tr>
        <w:trPr>
          <w:trHeight w:val="172"/>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4"/>
              </w:rPr>
              <w:t>Yardley, PA</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w w:val="97"/>
              </w:rPr>
              <w:t>19067</w:t>
            </w:r>
          </w:p>
        </w:tc>
      </w:tr>
      <w:tr>
        <w:trPr>
          <w:trHeight w:val="144"/>
        </w:trPr>
        <w:tc>
          <w:tcPr>
            <w:tcW w:w="5760" w:type="dxa"/>
            <w:vAlign w:val="bottom"/>
            <w:gridSpan w:val="3"/>
          </w:tcPr>
          <w:p>
            <w:pPr>
              <w:jc w:val="center"/>
              <w:ind w:right="154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2620" w:type="dxa"/>
            <w:vAlign w:val="bottom"/>
          </w:tcPr>
          <w:p>
            <w:pPr>
              <w:jc w:val="center"/>
              <w:ind w:right="1399"/>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56"/>
        </w:trPr>
        <w:tc>
          <w:tcPr>
            <w:tcW w:w="330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300"/>
        </w:trPr>
        <w:tc>
          <w:tcPr>
            <w:tcW w:w="5760" w:type="dxa"/>
            <w:vAlign w:val="bottom"/>
            <w:gridSpan w:val="3"/>
          </w:tcPr>
          <w:p>
            <w:pPr>
              <w:jc w:val="center"/>
              <w:ind w:left="2536"/>
              <w:spacing w:after="0"/>
              <w:rPr>
                <w:sz w:val="20"/>
                <w:szCs w:val="20"/>
                <w:color w:val="auto"/>
              </w:rPr>
            </w:pPr>
            <w:r>
              <w:rPr>
                <w:rFonts w:ascii="Times New Roman" w:cs="Times New Roman" w:eastAsia="Times New Roman" w:hAnsi="Times New Roman"/>
                <w:sz w:val="14"/>
                <w:szCs w:val="14"/>
                <w:b w:val="1"/>
                <w:bCs w:val="1"/>
                <w:color w:val="auto"/>
                <w:w w:val="97"/>
              </w:rPr>
              <w:t>5.875% Senior Notes Due 2033</w:t>
            </w:r>
          </w:p>
        </w:tc>
        <w:tc>
          <w:tcPr>
            <w:tcW w:w="2620" w:type="dxa"/>
            <w:vAlign w:val="bottom"/>
          </w:tcPr>
          <w:p>
            <w:pPr>
              <w:spacing w:after="0"/>
              <w:rPr>
                <w:sz w:val="24"/>
                <w:szCs w:val="24"/>
                <w:color w:val="auto"/>
              </w:rPr>
            </w:pPr>
          </w:p>
        </w:tc>
      </w:tr>
      <w:tr>
        <w:trPr>
          <w:trHeight w:val="144"/>
        </w:trPr>
        <w:tc>
          <w:tcPr>
            <w:tcW w:w="3300" w:type="dxa"/>
            <w:vAlign w:val="bottom"/>
          </w:tcPr>
          <w:p>
            <w:pPr>
              <w:spacing w:after="0"/>
              <w:rPr>
                <w:sz w:val="12"/>
                <w:szCs w:val="12"/>
                <w:color w:val="auto"/>
              </w:rPr>
            </w:pPr>
          </w:p>
        </w:tc>
        <w:tc>
          <w:tcPr>
            <w:tcW w:w="24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9"/>
              </w:rPr>
              <w:t>(Title of the Indenture Securities)</w:t>
            </w:r>
          </w:p>
        </w:tc>
        <w:tc>
          <w:tcPr>
            <w:tcW w:w="2620" w:type="dxa"/>
            <w:vAlign w:val="bottom"/>
          </w:tcPr>
          <w:p>
            <w:pPr>
              <w:spacing w:after="0"/>
              <w:rPr>
                <w:sz w:val="12"/>
                <w:szCs w:val="12"/>
                <w:color w:val="auto"/>
              </w:rPr>
            </w:pPr>
          </w:p>
        </w:tc>
      </w:tr>
      <w:tr>
        <w:trPr>
          <w:trHeight w:val="174"/>
        </w:trPr>
        <w:tc>
          <w:tcPr>
            <w:tcW w:w="3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31"/>
        </w:trPr>
        <w:tc>
          <w:tcPr>
            <w:tcW w:w="3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FORM T-1</w:t>
      </w:r>
    </w:p>
    <w:p>
      <w:pPr>
        <w:spacing w:after="0" w:line="188"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 the following information as to the Trustee.</w:t>
      </w:r>
    </w:p>
    <w:p>
      <w:pPr>
        <w:spacing w:after="0" w:line="96" w:lineRule="exact"/>
        <w:rPr>
          <w:sz w:val="20"/>
          <w:szCs w:val="20"/>
          <w:color w:val="auto"/>
        </w:rPr>
      </w:pPr>
    </w:p>
    <w:p>
      <w:pPr>
        <w:ind w:left="1980" w:right="2939" w:hanging="836"/>
        <w:spacing w:after="0" w:line="256" w:lineRule="auto"/>
        <w:tabs>
          <w:tab w:leader="none" w:pos="146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Name and address of each examining or supervising authority to which it is subject. </w:t>
      </w:r>
      <w:r>
        <w:rPr>
          <w:rFonts w:ascii="Times New Roman" w:cs="Times New Roman" w:eastAsia="Times New Roman" w:hAnsi="Times New Roman"/>
          <w:sz w:val="14"/>
          <w:szCs w:val="14"/>
          <w:color w:val="auto"/>
        </w:rPr>
        <w:t>Comptroller of the Currency</w:t>
      </w:r>
    </w:p>
    <w:p>
      <w:pPr>
        <w:spacing w:after="0" w:line="1"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Washington, D.C.</w:t>
      </w:r>
    </w:p>
    <w:p>
      <w:pPr>
        <w:spacing w:after="0" w:line="80" w:lineRule="exact"/>
        <w:rPr>
          <w:rFonts w:ascii="Times New Roman" w:cs="Times New Roman" w:eastAsia="Times New Roman" w:hAnsi="Times New Roman"/>
          <w:sz w:val="14"/>
          <w:szCs w:val="14"/>
          <w:color w:val="auto"/>
        </w:rPr>
      </w:pPr>
    </w:p>
    <w:p>
      <w:pPr>
        <w:ind w:left="1480" w:hanging="336"/>
        <w:spacing w:after="0"/>
        <w:tabs>
          <w:tab w:leader="none" w:pos="1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Whether it is authorized to exercise corporate trust powers.</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Yes</w:t>
      </w:r>
    </w:p>
    <w:p>
      <w:pPr>
        <w:spacing w:after="0" w:line="173"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p>
      <w:pPr>
        <w:spacing w:after="0" w:line="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None</w:t>
      </w:r>
    </w:p>
    <w:p>
      <w:pPr>
        <w:spacing w:after="0" w:line="184" w:lineRule="exact"/>
        <w:rPr>
          <w:sz w:val="20"/>
          <w:szCs w:val="20"/>
          <w:color w:val="auto"/>
        </w:rPr>
      </w:pPr>
    </w:p>
    <w:p>
      <w:pPr>
        <w:ind w:left="1140" w:right="439" w:hanging="831"/>
        <w:spacing w:after="0" w:line="273" w:lineRule="auto"/>
        <w:tabs>
          <w:tab w:leader="none" w:pos="112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148"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100" w:lineRule="exact"/>
        <w:rPr>
          <w:sz w:val="20"/>
          <w:szCs w:val="20"/>
          <w:color w:val="auto"/>
        </w:rPr>
      </w:pPr>
    </w:p>
    <w:p>
      <w:pPr>
        <w:ind w:left="1480" w:hanging="33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95" w:lineRule="exact"/>
        <w:rPr>
          <w:rFonts w:ascii="Times New Roman" w:cs="Times New Roman" w:eastAsia="Times New Roman" w:hAnsi="Times New Roman"/>
          <w:sz w:val="14"/>
          <w:szCs w:val="14"/>
          <w:color w:val="auto"/>
        </w:rPr>
      </w:pPr>
    </w:p>
    <w:p>
      <w:pPr>
        <w:ind w:left="1480" w:hanging="33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95" w:lineRule="exact"/>
        <w:rPr>
          <w:rFonts w:ascii="Times New Roman" w:cs="Times New Roman" w:eastAsia="Times New Roman" w:hAnsi="Times New Roman"/>
          <w:sz w:val="14"/>
          <w:szCs w:val="14"/>
          <w:color w:val="auto"/>
        </w:rPr>
      </w:pPr>
    </w:p>
    <w:p>
      <w:pPr>
        <w:ind w:left="1480" w:hanging="33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95" w:lineRule="exact"/>
        <w:rPr>
          <w:rFonts w:ascii="Times New Roman" w:cs="Times New Roman" w:eastAsia="Times New Roman" w:hAnsi="Times New Roman"/>
          <w:sz w:val="14"/>
          <w:szCs w:val="14"/>
          <w:color w:val="auto"/>
        </w:rPr>
      </w:pPr>
    </w:p>
    <w:p>
      <w:pPr>
        <w:ind w:left="1480" w:hanging="33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95" w:lineRule="exact"/>
        <w:rPr>
          <w:rFonts w:ascii="Times New Roman" w:cs="Times New Roman" w:eastAsia="Times New Roman" w:hAnsi="Times New Roman"/>
          <w:sz w:val="14"/>
          <w:szCs w:val="14"/>
          <w:color w:val="auto"/>
        </w:rPr>
      </w:pPr>
    </w:p>
    <w:p>
      <w:pPr>
        <w:ind w:left="1480" w:hanging="33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95" w:lineRule="exact"/>
        <w:rPr>
          <w:rFonts w:ascii="Times New Roman" w:cs="Times New Roman" w:eastAsia="Times New Roman" w:hAnsi="Times New Roman"/>
          <w:sz w:val="14"/>
          <w:szCs w:val="14"/>
          <w:color w:val="auto"/>
        </w:rPr>
      </w:pPr>
    </w:p>
    <w:p>
      <w:pPr>
        <w:ind w:left="1480" w:hanging="336"/>
        <w:spacing w:after="0"/>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95" w:lineRule="exact"/>
        <w:rPr>
          <w:rFonts w:ascii="Times New Roman" w:cs="Times New Roman" w:eastAsia="Times New Roman" w:hAnsi="Times New Roman"/>
          <w:sz w:val="14"/>
          <w:szCs w:val="14"/>
          <w:color w:val="auto"/>
        </w:rPr>
      </w:pPr>
    </w:p>
    <w:p>
      <w:pPr>
        <w:ind w:left="1480" w:right="859" w:hanging="336"/>
        <w:spacing w:after="0" w:line="267" w:lineRule="auto"/>
        <w:tabs>
          <w:tab w:leader="none" w:pos="1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June 30, 2025, published pursuant to law or the requirements of its supervising or examining authority, attached as Exhibit 7.</w:t>
      </w:r>
    </w:p>
    <w:p>
      <w:pPr>
        <w:sectPr>
          <w:pgSz w:w="11900" w:h="16838" w:orient="portrait"/>
          <w:cols w:equalWidth="0" w:num="1">
            <w:col w:w="9019"/>
          </w:cols>
          <w:pgMar w:left="1440" w:top="236"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SIGNATURE</w:t>
      </w:r>
    </w:p>
    <w:p>
      <w:pPr>
        <w:spacing w:after="0" w:line="172" w:lineRule="exact"/>
        <w:rPr>
          <w:sz w:val="20"/>
          <w:szCs w:val="20"/>
          <w:color w:val="auto"/>
        </w:rPr>
      </w:pPr>
    </w:p>
    <w:p>
      <w:pPr>
        <w:ind w:left="320" w:right="339" w:firstLine="335"/>
        <w:spacing w:after="0" w:line="26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Edison, State of New Jersey on the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of November, 2025.</w:t>
      </w:r>
    </w:p>
    <w:p>
      <w:pPr>
        <w:spacing w:after="0" w:line="6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Adina Casper</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7739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9">
                      <a:extLst>
                        <a:ext uri="{28A0092B-C50C-407E-A947-70E740481C1C}"/>
                      </a:extLst>
                    </a:blip>
                    <a:srcRect/>
                    <a:stretch>
                      <a:fillRect/>
                    </a:stretch>
                  </pic:blipFill>
                  <pic:spPr bwMode="auto">
                    <a:xfrm>
                      <a:off x="0" y="0"/>
                      <a:ext cx="197739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6"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U. S. BANK TRUST COMPANY, NATIONAL ASSOCIATION</w:t>
      </w:r>
    </w:p>
    <w:p>
      <w:pPr>
        <w:spacing w:after="0" w:line="156" w:lineRule="exact"/>
        <w:rPr>
          <w:sz w:val="20"/>
          <w:szCs w:val="20"/>
          <w:color w:val="auto"/>
        </w:rPr>
      </w:pPr>
    </w:p>
    <w:p>
      <w:pPr>
        <w:ind w:left="320" w:right="739"/>
        <w:spacing w:after="0" w:line="267" w:lineRule="auto"/>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68" w:lineRule="exact"/>
        <w:rPr>
          <w:sz w:val="20"/>
          <w:szCs w:val="20"/>
          <w:color w:val="auto"/>
        </w:rPr>
      </w:pPr>
    </w:p>
    <w:p>
      <w:pPr>
        <w:jc w:val="both"/>
        <w:ind w:left="320" w:right="49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37" w:lineRule="exact"/>
        <w:rPr>
          <w:sz w:val="20"/>
          <w:szCs w:val="20"/>
          <w:color w:val="auto"/>
        </w:rPr>
      </w:pPr>
    </w:p>
    <w:p>
      <w:pPr>
        <w:jc w:val="both"/>
        <w:ind w:left="320" w:right="3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spacing w:after="0" w:line="1" w:lineRule="exact"/>
        <w:rPr>
          <w:sz w:val="20"/>
          <w:szCs w:val="20"/>
          <w:color w:val="auto"/>
        </w:rPr>
      </w:pPr>
    </w:p>
    <w:p>
      <w:pPr>
        <w:ind w:left="320" w:right="379" w:hanging="9"/>
        <w:spacing w:after="0" w:line="250" w:lineRule="auto"/>
        <w:tabs>
          <w:tab w:leader="none" w:pos="5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that person’s most recent election to the board of directors, whichever is more recent. Any combination of common or preferred stock of the Association or holding company may be used.</w:t>
      </w:r>
    </w:p>
    <w:p>
      <w:pPr>
        <w:spacing w:after="0" w:line="146"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8" w:lineRule="exact"/>
        <w:rPr>
          <w:sz w:val="20"/>
          <w:szCs w:val="20"/>
          <w:color w:val="auto"/>
        </w:rPr>
      </w:pPr>
    </w:p>
    <w:p>
      <w:pPr>
        <w:ind w:left="320" w:right="519"/>
        <w:spacing w:after="0" w:line="252"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42" w:lineRule="exact"/>
        <w:rPr>
          <w:sz w:val="20"/>
          <w:szCs w:val="20"/>
          <w:color w:val="auto"/>
        </w:rPr>
      </w:pPr>
    </w:p>
    <w:p>
      <w:pPr>
        <w:ind w:left="320" w:right="37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ectPr>
          <w:pgSz w:w="11900" w:h="16838" w:orient="portrait"/>
          <w:cols w:equalWidth="0" w:num="1">
            <w:col w:w="9019"/>
          </w:cols>
          <w:pgMar w:left="1440" w:top="236" w:right="1440" w:bottom="1440" w:gutter="0" w:footer="0" w:header="0"/>
        </w:sectPr>
      </w:pPr>
    </w:p>
    <w:bookmarkStart w:id="122" w:name="page123"/>
    <w:bookmarkEnd w:id="122"/>
    <w:p>
      <w:pPr>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46"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6" w:lineRule="exact"/>
        <w:rPr>
          <w:sz w:val="20"/>
          <w:szCs w:val="20"/>
          <w:color w:val="auto"/>
        </w:rPr>
      </w:pPr>
    </w:p>
    <w:p>
      <w:pPr>
        <w:ind w:left="320" w:right="379"/>
        <w:spacing w:after="0" w:line="267"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5" w:lineRule="exact"/>
        <w:rPr>
          <w:sz w:val="20"/>
          <w:szCs w:val="20"/>
          <w:color w:val="auto"/>
        </w:rPr>
      </w:pPr>
    </w:p>
    <w:p>
      <w:pPr>
        <w:ind w:left="320" w:right="419"/>
        <w:spacing w:after="0" w:line="252"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42" w:lineRule="exact"/>
        <w:rPr>
          <w:sz w:val="20"/>
          <w:szCs w:val="20"/>
          <w:color w:val="auto"/>
        </w:rPr>
      </w:pPr>
    </w:p>
    <w:p>
      <w:pPr>
        <w:ind w:left="320" w:right="33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but said capital stock may be increased or decreased from time to time, according to the provisions of the laws of the United States. The Association shall have only one class of capital stock.</w:t>
      </w:r>
    </w:p>
    <w:p>
      <w:pPr>
        <w:spacing w:after="0" w:line="141"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6" w:lineRule="exact"/>
        <w:rPr>
          <w:sz w:val="20"/>
          <w:szCs w:val="20"/>
          <w:color w:val="auto"/>
        </w:rPr>
      </w:pPr>
    </w:p>
    <w:p>
      <w:pPr>
        <w:ind w:left="320" w:right="599"/>
        <w:spacing w:after="0" w:line="267"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35" w:lineRule="exact"/>
        <w:rPr>
          <w:sz w:val="20"/>
          <w:szCs w:val="20"/>
          <w:color w:val="auto"/>
        </w:rPr>
      </w:pPr>
    </w:p>
    <w:p>
      <w:pPr>
        <w:jc w:val="both"/>
        <w:ind w:left="320" w:right="499"/>
        <w:spacing w:after="0" w:line="256"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9019"/>
          </w:cols>
          <w:pgMar w:left="1440" w:top="240" w:right="1440" w:bottom="1440" w:gutter="0" w:footer="0" w:header="0"/>
        </w:sectPr>
      </w:pPr>
    </w:p>
    <w:bookmarkStart w:id="123" w:name="page124"/>
    <w:bookmarkEnd w:id="123"/>
    <w:p>
      <w:pPr>
        <w:ind w:left="320" w:right="43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35" w:lineRule="exact"/>
        <w:rPr>
          <w:sz w:val="20"/>
          <w:szCs w:val="20"/>
          <w:color w:val="auto"/>
        </w:rPr>
      </w:pPr>
    </w:p>
    <w:p>
      <w:pPr>
        <w:ind w:left="320" w:right="479"/>
        <w:spacing w:after="0" w:line="256"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43"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42"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96" w:lineRule="exact"/>
        <w:rPr>
          <w:sz w:val="20"/>
          <w:szCs w:val="20"/>
          <w:color w:val="auto"/>
        </w:rPr>
      </w:pPr>
    </w:p>
    <w:p>
      <w:pPr>
        <w:ind w:left="640" w:hanging="329"/>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95" w:lineRule="exact"/>
        <w:rPr>
          <w:rFonts w:ascii="Times New Roman" w:cs="Times New Roman" w:eastAsia="Times New Roman" w:hAnsi="Times New Roman"/>
          <w:sz w:val="14"/>
          <w:szCs w:val="14"/>
          <w:color w:val="auto"/>
        </w:rPr>
      </w:pPr>
    </w:p>
    <w:p>
      <w:pPr>
        <w:ind w:left="640" w:right="699" w:hanging="329"/>
        <w:spacing w:after="0" w:line="267" w:lineRule="auto"/>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63"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95" w:lineRule="exact"/>
        <w:rPr>
          <w:rFonts w:ascii="Times New Roman" w:cs="Times New Roman" w:eastAsia="Times New Roman" w:hAnsi="Times New Roman"/>
          <w:sz w:val="14"/>
          <w:szCs w:val="14"/>
          <w:color w:val="auto"/>
        </w:rPr>
      </w:pPr>
    </w:p>
    <w:p>
      <w:pPr>
        <w:jc w:val="both"/>
        <w:ind w:left="640" w:right="399" w:hanging="329"/>
        <w:spacing w:after="0" w:line="256" w:lineRule="auto"/>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91" w:lineRule="exact"/>
        <w:rPr>
          <w:rFonts w:ascii="Times New Roman" w:cs="Times New Roman" w:eastAsia="Times New Roman" w:hAnsi="Times New Roman"/>
          <w:sz w:val="14"/>
          <w:szCs w:val="14"/>
          <w:color w:val="auto"/>
        </w:rPr>
      </w:pPr>
    </w:p>
    <w:p>
      <w:pPr>
        <w:ind w:left="4460" w:hanging="70"/>
        <w:spacing w:after="0"/>
        <w:tabs>
          <w:tab w:leader="none" w:pos="44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ectPr>
          <w:pgSz w:w="11900" w:h="16838" w:orient="portrait"/>
          <w:cols w:equalWidth="0" w:num="1">
            <w:col w:w="9019"/>
          </w:cols>
          <w:pgMar w:left="1440" w:top="240" w:right="1440" w:bottom="1440" w:gutter="0" w:footer="0" w:header="0"/>
        </w:sectPr>
      </w:pPr>
    </w:p>
    <w:bookmarkStart w:id="124" w:name="page125"/>
    <w:bookmarkEnd w:id="124"/>
    <w:p>
      <w:pPr>
        <w:ind w:left="640" w:hanging="329"/>
        <w:spacing w:after="0"/>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Manage and administer the business and affairs of the Association.</w:t>
      </w:r>
    </w:p>
    <w:p>
      <w:pPr>
        <w:spacing w:after="0" w:line="95" w:lineRule="exact"/>
        <w:rPr>
          <w:rFonts w:ascii="Times New Roman" w:cs="Times New Roman" w:eastAsia="Times New Roman" w:hAnsi="Times New Roman"/>
          <w:sz w:val="14"/>
          <w:szCs w:val="14"/>
          <w:color w:val="auto"/>
        </w:rPr>
      </w:pPr>
    </w:p>
    <w:p>
      <w:pPr>
        <w:ind w:left="640" w:right="899" w:hanging="329"/>
        <w:spacing w:after="0" w:line="267" w:lineRule="auto"/>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63"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95" w:lineRule="exact"/>
        <w:rPr>
          <w:rFonts w:ascii="Times New Roman" w:cs="Times New Roman" w:eastAsia="Times New Roman" w:hAnsi="Times New Roman"/>
          <w:sz w:val="14"/>
          <w:szCs w:val="14"/>
          <w:color w:val="auto"/>
        </w:rPr>
      </w:pPr>
    </w:p>
    <w:p>
      <w:pPr>
        <w:ind w:left="640" w:hanging="329"/>
        <w:spacing w:after="0"/>
        <w:tabs>
          <w:tab w:leader="none" w:pos="6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64" w:lineRule="exact"/>
        <w:rPr>
          <w:sz w:val="20"/>
          <w:szCs w:val="20"/>
          <w:color w:val="auto"/>
        </w:rPr>
      </w:pPr>
    </w:p>
    <w:p>
      <w:pPr>
        <w:ind w:left="320" w:right="4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68"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45"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ectPr>
          <w:pgSz w:w="11900" w:h="16838" w:orient="portrait"/>
          <w:cols w:equalWidth="0" w:num="1">
            <w:col w:w="9019"/>
          </w:cols>
          <w:pgMar w:left="1440" w:top="240" w:right="1440" w:bottom="1440" w:gutter="0" w:footer="0" w:header="0"/>
        </w:sectPr>
      </w:pPr>
    </w:p>
    <w:bookmarkStart w:id="125" w:name="page126"/>
    <w:bookmarkEnd w:id="12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 witness whereof, we have hereunto set our hands this 11</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of June, 1997.</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Jeffrey T. Grubb</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5">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Robert D. Sznewajs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6">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Dwight V. Board</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7">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P.K. Chatterjee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8">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Robert Lane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-100965</wp:posOffset>
            </wp:positionV>
            <wp:extent cx="21272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9">
                      <a:extLst>
                        <a:ext uri="{28A0092B-C50C-407E-A947-70E740481C1C}"/>
                      </a:extLst>
                    </a:blip>
                    <a:srcRect/>
                    <a:stretch>
                      <a:fillRect/>
                    </a:stretch>
                  </pic:blipFill>
                  <pic:spPr bwMode="auto">
                    <a:xfrm>
                      <a:off x="0" y="0"/>
                      <a:ext cx="2127250" cy="635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1045845</wp:posOffset>
            </wp:positionH>
            <wp:positionV relativeFrom="paragraph">
              <wp:posOffset>150495</wp:posOffset>
            </wp:positionV>
            <wp:extent cx="3634740" cy="45485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1">
                      <a:extLst>
                        <a:ext uri="{28A0092B-C50C-407E-A947-70E740481C1C}"/>
                      </a:extLst>
                    </a:blip>
                    <a:srcRect/>
                    <a:stretch>
                      <a:fillRect/>
                    </a:stretch>
                  </pic:blipFill>
                  <pic:spPr bwMode="auto">
                    <a:xfrm>
                      <a:off x="0" y="0"/>
                      <a:ext cx="3634740" cy="4548505"/>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27" w:name="page128"/>
    <w:bookmarkEnd w:id="127"/>
    <w:p>
      <w:pPr>
        <w:ind w:left="424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4</w:t>
      </w:r>
    </w:p>
    <w:p>
      <w:pPr>
        <w:spacing w:after="0" w:line="8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8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56"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51" w:lineRule="exact"/>
        <w:rPr>
          <w:sz w:val="20"/>
          <w:szCs w:val="20"/>
          <w:color w:val="auto"/>
        </w:rPr>
      </w:pPr>
    </w:p>
    <w:p>
      <w:pPr>
        <w:ind w:left="320" w:right="35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43" w:lineRule="exact"/>
        <w:rPr>
          <w:sz w:val="20"/>
          <w:szCs w:val="20"/>
          <w:color w:val="auto"/>
        </w:rPr>
      </w:pPr>
    </w:p>
    <w:p>
      <w:pPr>
        <w:ind w:left="320" w:right="399" w:firstLine="335"/>
        <w:spacing w:after="0" w:line="267" w:lineRule="auto"/>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68" w:lineRule="exact"/>
        <w:rPr>
          <w:sz w:val="20"/>
          <w:szCs w:val="20"/>
          <w:color w:val="auto"/>
        </w:rPr>
      </w:pPr>
    </w:p>
    <w:p>
      <w:pPr>
        <w:ind w:left="320" w:right="43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35" w:lineRule="exact"/>
        <w:rPr>
          <w:sz w:val="20"/>
          <w:szCs w:val="20"/>
          <w:color w:val="auto"/>
        </w:rPr>
      </w:pPr>
    </w:p>
    <w:p>
      <w:pPr>
        <w:ind w:left="320" w:right="39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ectPr>
          <w:pgSz w:w="11900" w:h="16838" w:orient="portrait"/>
          <w:cols w:equalWidth="0" w:num="1">
            <w:col w:w="9019"/>
          </w:cols>
          <w:pgMar w:left="1440" w:top="236" w:right="1440" w:bottom="1440" w:gutter="0" w:footer="0" w:header="0"/>
        </w:sectPr>
      </w:pPr>
    </w:p>
    <w:bookmarkStart w:id="128" w:name="page129"/>
    <w:bookmarkEnd w:id="128"/>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46" w:lineRule="exact"/>
        <w:rPr>
          <w:sz w:val="20"/>
          <w:szCs w:val="20"/>
          <w:color w:val="auto"/>
        </w:rPr>
      </w:pPr>
    </w:p>
    <w:p>
      <w:pPr>
        <w:ind w:left="320" w:right="35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68" w:lineRule="exact"/>
        <w:rPr>
          <w:sz w:val="20"/>
          <w:szCs w:val="20"/>
          <w:color w:val="auto"/>
        </w:rPr>
      </w:pPr>
    </w:p>
    <w:p>
      <w:pPr>
        <w:ind w:left="320" w:right="479" w:firstLine="335"/>
        <w:spacing w:after="0" w:line="306" w:lineRule="auto"/>
        <w:rPr>
          <w:sz w:val="20"/>
          <w:szCs w:val="20"/>
          <w:color w:val="auto"/>
        </w:rPr>
      </w:pPr>
      <w:r>
        <w:rPr>
          <w:rFonts w:ascii="Times New Roman" w:cs="Times New Roman" w:eastAsia="Times New Roman" w:hAnsi="Times New Roman"/>
          <w:sz w:val="13"/>
          <w:szCs w:val="13"/>
          <w:color w:val="auto"/>
        </w:rPr>
        <w:t xml:space="preserve">Section 1.9. </w:t>
      </w:r>
      <w:r>
        <w:rPr>
          <w:rFonts w:ascii="Times New Roman" w:cs="Times New Roman" w:eastAsia="Times New Roman" w:hAnsi="Times New Roman"/>
          <w:sz w:val="13"/>
          <w:szCs w:val="13"/>
          <w:u w:val="single" w:color="auto"/>
          <w:color w:val="auto"/>
        </w:rPr>
        <w:t>Remote Meetings</w:t>
      </w:r>
      <w:r>
        <w:rPr>
          <w:rFonts w:ascii="Times New Roman" w:cs="Times New Roman" w:eastAsia="Times New Roman" w:hAnsi="Times New Roman"/>
          <w:sz w:val="13"/>
          <w:szCs w:val="13"/>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56" w:lineRule="exact"/>
        <w:rPr>
          <w:sz w:val="20"/>
          <w:szCs w:val="20"/>
          <w:color w:val="auto"/>
        </w:rPr>
      </w:pPr>
    </w:p>
    <w:p>
      <w:pPr>
        <w:ind w:left="320" w:right="45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35" w:lineRule="exact"/>
        <w:rPr>
          <w:sz w:val="20"/>
          <w:szCs w:val="20"/>
          <w:color w:val="auto"/>
        </w:rPr>
      </w:pPr>
    </w:p>
    <w:p>
      <w:pPr>
        <w:ind w:left="320" w:right="83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35" w:lineRule="exact"/>
        <w:rPr>
          <w:sz w:val="20"/>
          <w:szCs w:val="20"/>
          <w:color w:val="auto"/>
        </w:rPr>
      </w:pPr>
    </w:p>
    <w:p>
      <w:pPr>
        <w:ind w:left="320" w:right="49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35" w:lineRule="exact"/>
        <w:rPr>
          <w:sz w:val="20"/>
          <w:szCs w:val="20"/>
          <w:color w:val="auto"/>
        </w:rPr>
      </w:pPr>
    </w:p>
    <w:p>
      <w:pPr>
        <w:ind w:left="320" w:right="5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ectPr>
          <w:pgSz w:w="11900" w:h="16838" w:orient="portrait"/>
          <w:cols w:equalWidth="0" w:num="1">
            <w:col w:w="9019"/>
          </w:cols>
          <w:pgMar w:left="1440" w:top="240" w:right="1440" w:bottom="1440" w:gutter="0" w:footer="0" w:header="0"/>
        </w:sectPr>
      </w:pPr>
    </w:p>
    <w:bookmarkStart w:id="129" w:name="page130"/>
    <w:bookmarkEnd w:id="129"/>
    <w:p>
      <w:pPr>
        <w:ind w:left="320" w:right="3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49" w:lineRule="exact"/>
        <w:rPr>
          <w:sz w:val="20"/>
          <w:szCs w:val="20"/>
          <w:color w:val="auto"/>
        </w:rPr>
      </w:pPr>
    </w:p>
    <w:p>
      <w:pPr>
        <w:jc w:val="both"/>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46" w:lineRule="exact"/>
        <w:rPr>
          <w:sz w:val="20"/>
          <w:szCs w:val="20"/>
          <w:color w:val="auto"/>
        </w:rPr>
      </w:pPr>
    </w:p>
    <w:p>
      <w:pPr>
        <w:ind w:left="320" w:right="4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35"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9" w:lineRule="exact"/>
        <w:rPr>
          <w:sz w:val="20"/>
          <w:szCs w:val="20"/>
          <w:color w:val="auto"/>
        </w:rPr>
      </w:pPr>
    </w:p>
    <w:p>
      <w:pPr>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ectPr>
          <w:pgSz w:w="11900" w:h="16838" w:orient="portrait"/>
          <w:cols w:equalWidth="0" w:num="1">
            <w:col w:w="9019"/>
          </w:cols>
          <w:pgMar w:left="1440" w:top="240" w:right="1440" w:bottom="1440" w:gutter="0" w:footer="0" w:header="0"/>
        </w:sectPr>
      </w:pPr>
    </w:p>
    <w:bookmarkStart w:id="130" w:name="page131"/>
    <w:bookmarkEnd w:id="130"/>
    <w:p>
      <w:pPr>
        <w:ind w:left="320" w:right="859" w:firstLine="335"/>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35" w:lineRule="exact"/>
        <w:rPr>
          <w:sz w:val="20"/>
          <w:szCs w:val="20"/>
          <w:color w:val="auto"/>
        </w:rPr>
      </w:pPr>
    </w:p>
    <w:p>
      <w:pPr>
        <w:ind w:left="320" w:right="37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43" w:lineRule="exact"/>
        <w:rPr>
          <w:sz w:val="20"/>
          <w:szCs w:val="20"/>
          <w:color w:val="auto"/>
        </w:rPr>
      </w:pPr>
    </w:p>
    <w:p>
      <w:pPr>
        <w:ind w:left="320" w:right="4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30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56"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46"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ectPr>
          <w:pgSz w:w="11900" w:h="16838" w:orient="portrait"/>
          <w:cols w:equalWidth="0" w:num="1">
            <w:col w:w="9019"/>
          </w:cols>
          <w:pgMar w:left="1440" w:top="240"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Audit Committee of the financial holding company that is the ultimate parent of this Association, fulfilling the function of the trust audit committee:</w:t>
      </w:r>
    </w:p>
    <w:p>
      <w:pPr>
        <w:spacing w:after="0" w:line="97" w:lineRule="exact"/>
        <w:rPr>
          <w:sz w:val="20"/>
          <w:szCs w:val="20"/>
          <w:color w:val="auto"/>
        </w:rPr>
      </w:pPr>
    </w:p>
    <w:p>
      <w:pPr>
        <w:ind w:left="640" w:right="339" w:firstLine="6"/>
        <w:spacing w:after="0" w:line="267" w:lineRule="auto"/>
        <w:tabs>
          <w:tab w:leader="none" w:pos="834"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not include any officers of the Association or an affiliate who participate significantly in the administration of the Association’s fiduciary activities; and</w:t>
      </w:r>
    </w:p>
    <w:p>
      <w:pPr>
        <w:spacing w:after="0" w:line="52" w:lineRule="exact"/>
        <w:rPr>
          <w:rFonts w:ascii="Times New Roman" w:cs="Times New Roman" w:eastAsia="Times New Roman" w:hAnsi="Times New Roman"/>
          <w:sz w:val="14"/>
          <w:szCs w:val="14"/>
          <w:color w:val="auto"/>
        </w:rPr>
      </w:pPr>
    </w:p>
    <w:p>
      <w:pPr>
        <w:ind w:left="640" w:right="519" w:firstLine="6"/>
        <w:spacing w:after="0" w:line="267" w:lineRule="auto"/>
        <w:tabs>
          <w:tab w:leader="none" w:pos="834"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35" w:lineRule="exact"/>
        <w:rPr>
          <w:sz w:val="20"/>
          <w:szCs w:val="20"/>
          <w:color w:val="auto"/>
        </w:rPr>
      </w:pPr>
    </w:p>
    <w:p>
      <w:pPr>
        <w:ind w:left="320" w:right="37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43"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8" w:lineRule="exact"/>
        <w:rPr>
          <w:sz w:val="20"/>
          <w:szCs w:val="20"/>
          <w:color w:val="auto"/>
        </w:rPr>
      </w:pPr>
    </w:p>
    <w:p>
      <w:pPr>
        <w:ind w:left="320" w:right="319" w:firstLine="335"/>
        <w:spacing w:after="0" w:line="249"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9"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ectPr>
          <w:pgSz w:w="11900" w:h="16838" w:orient="portrait"/>
          <w:cols w:equalWidth="0" w:num="1">
            <w:col w:w="9019"/>
          </w:cols>
          <w:pgMar w:left="1440" w:top="240"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5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6" w:lineRule="exact"/>
        <w:rPr>
          <w:sz w:val="20"/>
          <w:szCs w:val="20"/>
          <w:color w:val="auto"/>
        </w:rPr>
      </w:pPr>
    </w:p>
    <w:p>
      <w:pPr>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46" w:lineRule="exact"/>
        <w:rPr>
          <w:sz w:val="20"/>
          <w:szCs w:val="20"/>
          <w:color w:val="auto"/>
        </w:rPr>
      </w:pPr>
    </w:p>
    <w:p>
      <w:pPr>
        <w:jc w:val="both"/>
        <w:ind w:left="320" w:right="31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43"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ectPr>
          <w:pgSz w:w="11900" w:h="16838" w:orient="portrait"/>
          <w:cols w:equalWidth="0" w:num="1">
            <w:col w:w="9019"/>
          </w:cols>
          <w:pgMar w:left="1440" w:top="240" w:right="1440" w:bottom="1440" w:gutter="0" w:footer="0" w:header="0"/>
        </w:sectPr>
      </w:pPr>
    </w:p>
    <w:bookmarkStart w:id="133" w:name="page134"/>
    <w:bookmarkEnd w:id="133"/>
    <w:p>
      <w:pPr>
        <w:ind w:left="320" w:right="319" w:firstLine="335"/>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4.5.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46" w:lineRule="exact"/>
        <w:rPr>
          <w:sz w:val="20"/>
          <w:szCs w:val="20"/>
          <w:color w:val="auto"/>
        </w:rPr>
      </w:pPr>
    </w:p>
    <w:p>
      <w:pPr>
        <w:jc w:val="both"/>
        <w:ind w:left="320" w:right="47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Tenure of Office</w:t>
      </w:r>
      <w:r>
        <w:rPr>
          <w:rFonts w:ascii="Times New Roman" w:cs="Times New Roman" w:eastAsia="Times New Roman" w:hAnsi="Times New Roman"/>
          <w:sz w:val="14"/>
          <w:szCs w:val="14"/>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5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3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56" w:lineRule="exact"/>
        <w:rPr>
          <w:sz w:val="20"/>
          <w:szCs w:val="20"/>
          <w:color w:val="auto"/>
        </w:rPr>
      </w:pPr>
    </w:p>
    <w:p>
      <w:pPr>
        <w:jc w:val="both"/>
        <w:ind w:left="320" w:right="359" w:firstLine="335"/>
        <w:spacing w:after="0" w:line="256"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ectPr>
          <w:pgSz w:w="11900" w:h="16838" w:orient="portrait"/>
          <w:cols w:equalWidth="0" w:num="1">
            <w:col w:w="9019"/>
          </w:cols>
          <w:pgMar w:left="1440" w:top="240"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VII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51" w:lineRule="exact"/>
        <w:rPr>
          <w:sz w:val="20"/>
          <w:szCs w:val="20"/>
          <w:color w:val="auto"/>
        </w:rPr>
      </w:pPr>
    </w:p>
    <w:p>
      <w:pPr>
        <w:jc w:val="both"/>
        <w:ind w:left="320" w:right="39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43" w:lineRule="exact"/>
        <w:rPr>
          <w:sz w:val="20"/>
          <w:szCs w:val="20"/>
          <w:color w:val="auto"/>
        </w:rPr>
      </w:pPr>
    </w:p>
    <w:p>
      <w:pPr>
        <w:ind w:left="320" w:right="117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35"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46" w:lineRule="exact"/>
        <w:rPr>
          <w:sz w:val="20"/>
          <w:szCs w:val="20"/>
          <w:color w:val="auto"/>
        </w:rPr>
      </w:pPr>
    </w:p>
    <w:p>
      <w:pPr>
        <w:ind w:left="320" w:right="41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43" w:lineRule="exact"/>
        <w:rPr>
          <w:sz w:val="20"/>
          <w:szCs w:val="20"/>
          <w:color w:val="auto"/>
        </w:rPr>
      </w:pPr>
    </w:p>
    <w:p>
      <w:pPr>
        <w:ind w:left="320" w:right="359"/>
        <w:spacing w:after="0" w:line="267" w:lineRule="auto"/>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ectPr>
          <w:pgSz w:w="11900" w:h="16838" w:orient="portrait"/>
          <w:cols w:equalWidth="0" w:num="1">
            <w:col w:w="9019"/>
          </w:cols>
          <w:pgMar w:left="1440" w:top="240" w:right="1440" w:bottom="1440" w:gutter="0" w:footer="0" w:header="0"/>
        </w:sectPr>
      </w:pPr>
    </w:p>
    <w:bookmarkStart w:id="135" w:name="page136"/>
    <w:bookmarkEnd w:id="135"/>
    <w:p>
      <w:pPr>
        <w:ind w:left="408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VIII</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56" w:lineRule="exact"/>
        <w:rPr>
          <w:sz w:val="20"/>
          <w:szCs w:val="20"/>
          <w:color w:val="auto"/>
        </w:rPr>
      </w:pPr>
    </w:p>
    <w:p>
      <w:pPr>
        <w:ind w:left="320" w:right="459" w:firstLine="335"/>
        <w:spacing w:after="0" w:line="249"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9" w:lineRule="exact"/>
        <w:rPr>
          <w:sz w:val="20"/>
          <w:szCs w:val="20"/>
          <w:color w:val="auto"/>
        </w:rPr>
      </w:pPr>
    </w:p>
    <w:p>
      <w:pPr>
        <w:ind w:left="320" w:right="399" w:firstLine="335"/>
        <w:spacing w:after="0" w:line="274" w:lineRule="auto"/>
        <w:rPr>
          <w:sz w:val="20"/>
          <w:szCs w:val="20"/>
          <w:color w:val="auto"/>
        </w:rPr>
      </w:pPr>
      <w:r>
        <w:rPr>
          <w:rFonts w:ascii="Times New Roman" w:cs="Times New Roman" w:eastAsia="Times New Roman" w:hAnsi="Times New Roman"/>
          <w:sz w:val="13"/>
          <w:szCs w:val="13"/>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56" w:lineRule="exact"/>
        <w:rPr>
          <w:sz w:val="20"/>
          <w:szCs w:val="20"/>
          <w:color w:val="auto"/>
        </w:rPr>
      </w:pPr>
    </w:p>
    <w:p>
      <w:pPr>
        <w:ind w:left="320" w:right="659" w:firstLine="335"/>
        <w:spacing w:after="0" w:line="267"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35" w:lineRule="exact"/>
        <w:rPr>
          <w:sz w:val="20"/>
          <w:szCs w:val="20"/>
          <w:color w:val="auto"/>
        </w:rPr>
      </w:pPr>
    </w:p>
    <w:p>
      <w:pPr>
        <w:ind w:left="320" w:right="539" w:firstLine="335"/>
        <w:spacing w:after="0" w:line="267"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ectPr>
          <w:pgSz w:w="11900" w:h="16838" w:orient="portrait"/>
          <w:cols w:equalWidth="0" w:num="1">
            <w:col w:w="9019"/>
          </w:cols>
          <w:pgMar w:left="1440" w:top="240"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35" w:lineRule="exact"/>
        <w:rPr>
          <w:sz w:val="20"/>
          <w:szCs w:val="20"/>
          <w:color w:val="auto"/>
        </w:rPr>
      </w:pPr>
    </w:p>
    <w:p>
      <w:pPr>
        <w:ind w:left="320" w:right="499" w:firstLine="335"/>
        <w:spacing w:after="0" w:line="256"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color w:val="auto"/>
        </w:rPr>
        <w:t>(February 8, 2021)</w:t>
      </w:r>
    </w:p>
    <w:p>
      <w:pPr>
        <w:sectPr>
          <w:pgSz w:w="11900" w:h="16838" w:orient="portrait"/>
          <w:cols w:equalWidth="0" w:num="1">
            <w:col w:w="9019"/>
          </w:cols>
          <w:pgMar w:left="1440" w:top="240" w:right="14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2" w:lineRule="exact"/>
        <w:rPr>
          <w:sz w:val="20"/>
          <w:szCs w:val="20"/>
          <w:color w:val="auto"/>
        </w:rPr>
      </w:pPr>
    </w:p>
    <w:p>
      <w:pPr>
        <w:ind w:left="320" w:right="379" w:firstLine="335"/>
        <w:spacing w:after="0" w:line="256"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Dated: November 24, 2025</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Adina Casper</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-100965</wp:posOffset>
            </wp:positionV>
            <wp:extent cx="197739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3">
                      <a:extLst>
                        <a:ext uri="{28A0092B-C50C-407E-A947-70E740481C1C}"/>
                      </a:extLst>
                    </a:blip>
                    <a:srcRect/>
                    <a:stretch>
                      <a:fillRect/>
                    </a:stretch>
                  </pic:blipFill>
                  <pic:spPr bwMode="auto">
                    <a:xfrm>
                      <a:off x="0" y="0"/>
                      <a:ext cx="1977390" cy="635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6"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7</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9/30/2025</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3580" w:type="dxa"/>
            <w:vAlign w:val="bottom"/>
          </w:tcPr>
          <w:p>
            <w:pPr>
              <w:spacing w:after="0"/>
              <w:rPr>
                <w:sz w:val="15"/>
                <w:szCs w:val="15"/>
                <w:color w:val="auto"/>
              </w:rPr>
            </w:pPr>
          </w:p>
        </w:tc>
        <w:tc>
          <w:tcPr>
            <w:tcW w:w="4200" w:type="dxa"/>
            <w:vAlign w:val="bottom"/>
            <w:gridSpan w:val="2"/>
          </w:tcPr>
          <w:p>
            <w:pPr>
              <w:jc w:val="right"/>
              <w:ind w:right="3360"/>
              <w:spacing w:after="0"/>
              <w:rPr>
                <w:sz w:val="20"/>
                <w:szCs w:val="20"/>
                <w:color w:val="auto"/>
              </w:rPr>
            </w:pPr>
            <w:r>
              <w:rPr>
                <w:rFonts w:ascii="Times New Roman" w:cs="Times New Roman" w:eastAsia="Times New Roman" w:hAnsi="Times New Roman"/>
                <w:sz w:val="14"/>
                <w:szCs w:val="14"/>
                <w:b w:val="1"/>
                <w:bCs w:val="1"/>
                <w:color w:val="auto"/>
              </w:rPr>
              <w:t>($000’s)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9"/>
        </w:trPr>
        <w:tc>
          <w:tcPr>
            <w:tcW w:w="3580" w:type="dxa"/>
            <w:vAlign w:val="bottom"/>
            <w:tcBorders>
              <w:bottom w:val="single" w:sz="8" w:color="CCEEFF"/>
            </w:tcBorders>
          </w:tcPr>
          <w:p>
            <w:pPr>
              <w:spacing w:after="0"/>
              <w:rPr>
                <w:sz w:val="24"/>
                <w:szCs w:val="24"/>
                <w:color w:val="auto"/>
              </w:rPr>
            </w:pPr>
          </w:p>
        </w:tc>
        <w:tc>
          <w:tcPr>
            <w:tcW w:w="4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8"/>
              </w:rPr>
              <w:t>9/30/2025</w:t>
            </w:r>
          </w:p>
        </w:tc>
        <w:tc>
          <w:tcPr>
            <w:tcW w:w="40" w:type="dxa"/>
            <w:vAlign w:val="bottom"/>
            <w:tcBorders>
              <w:bottom w:val="single" w:sz="8" w:color="CCEEFF"/>
            </w:tcBorders>
          </w:tcPr>
          <w:p>
            <w:pPr>
              <w:spacing w:after="0"/>
              <w:rPr>
                <w:sz w:val="24"/>
                <w:szCs w:val="24"/>
                <w:color w:val="auto"/>
              </w:rPr>
            </w:pPr>
          </w:p>
        </w:tc>
      </w:tr>
      <w:tr>
        <w:trPr>
          <w:trHeight w:val="144"/>
        </w:trPr>
        <w:tc>
          <w:tcPr>
            <w:tcW w:w="35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4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1,949,886</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4,656</w:t>
            </w: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Funds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Fixed Assets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713</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574,611</w:t>
            </w:r>
          </w:p>
        </w:tc>
      </w:tr>
      <w:tr>
        <w:trPr>
          <w:trHeight w:val="165"/>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162,279</w:t>
            </w: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2,692,145</w:t>
            </w:r>
          </w:p>
        </w:tc>
      </w:tr>
      <w:tr>
        <w:trPr>
          <w:trHeight w:val="164"/>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 Funds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Demand Notes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Trading Liabilities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Borrowed Money</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Acceptances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5"/>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222,254</w:t>
            </w: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222,254</w:t>
            </w:r>
          </w:p>
        </w:tc>
      </w:tr>
      <w:tr>
        <w:trPr>
          <w:trHeight w:val="164"/>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r>
      <w:tr>
        <w:trPr>
          <w:trHeight w:val="164"/>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Surplus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1,171,635</w:t>
            </w:r>
          </w:p>
        </w:tc>
      </w:tr>
      <w:tr>
        <w:trPr>
          <w:trHeight w:val="164"/>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Undivided Profits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1,298,056</w:t>
            </w:r>
          </w:p>
        </w:tc>
      </w:tr>
      <w:tr>
        <w:trPr>
          <w:trHeight w:val="165"/>
        </w:trPr>
        <w:tc>
          <w:tcPr>
            <w:tcW w:w="3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2,469,891</w:t>
            </w:r>
          </w:p>
        </w:tc>
      </w:tr>
      <w:tr>
        <w:trPr>
          <w:trHeight w:val="180"/>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2,692,145</w:t>
            </w:r>
          </w:p>
        </w:tc>
      </w:tr>
    </w:tbl>
    <w:p>
      <w:pPr>
        <w:sectPr>
          <w:pgSz w:w="11900" w:h="16838" w:orient="portrait"/>
          <w:cols w:equalWidth="0" w:num="1">
            <w:col w:w="9019"/>
          </w:cols>
          <w:pgMar w:left="1440" w:top="236" w:right="1440" w:bottom="1440" w:gutter="0" w:footer="0" w:header="0"/>
        </w:sectPr>
      </w:pPr>
    </w:p>
    <w:bookmarkStart w:id="139" w:name="page140"/>
    <w:bookmarkEnd w:id="139"/>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12700</wp:posOffset>
            </wp:positionV>
            <wp:extent cx="2120900" cy="267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5">
                      <a:extLst>
                        <a:ext uri="{28A0092B-C50C-407E-A947-70E740481C1C}"/>
                      </a:extLst>
                    </a:blip>
                    <a:srcRect/>
                    <a:stretch>
                      <a:fillRect/>
                    </a:stretch>
                  </pic:blipFill>
                  <pic:spPr bwMode="auto">
                    <a:xfrm>
                      <a:off x="0" y="0"/>
                      <a:ext cx="2120900" cy="2673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CROWN AMERICAS LLC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LETTER OF TRANSMITTAL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OFFER TO EXCHANGE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 outstanding 5.875% Senior Notes Due 2033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5.875% Senior Notes Due 2033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that have been registered under the Securities Act of 1933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144A CUSIP Number: 228180 AC9</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Regulation S CUSIP Number: U20330 AB9</w:t>
      </w:r>
    </w:p>
    <w:p>
      <w:pPr>
        <w:spacing w:after="0" w:line="152" w:lineRule="exact"/>
        <w:rPr>
          <w:sz w:val="20"/>
          <w:szCs w:val="20"/>
          <w:color w:val="auto"/>
        </w:rPr>
      </w:pPr>
    </w:p>
    <w:p>
      <w:pPr>
        <w:ind w:left="320" w:right="399"/>
        <w:spacing w:after="0" w:line="313" w:lineRule="auto"/>
        <w:rPr>
          <w:sz w:val="20"/>
          <w:szCs w:val="20"/>
          <w:color w:val="auto"/>
        </w:rPr>
      </w:pPr>
      <w:r>
        <w:rPr>
          <w:rFonts w:ascii="Times New Roman" w:cs="Times New Roman" w:eastAsia="Times New Roman" w:hAnsi="Times New Roman"/>
          <w:sz w:val="13"/>
          <w:szCs w:val="13"/>
          <w:b w:val="1"/>
          <w:bCs w:val="1"/>
          <w:color w:val="auto"/>
        </w:rPr>
        <w:t>THE EXCHANGE OFFER WILL EXPIRE AT 5:00 P.M., NEW YORK CITY TIME, ON 2025, UNLESS EXTENDED (THE “EXPIRATION DATE”). TENDERS OF OLD NOTES MAY BE WITHDRAWN AT ANY TIME PRIOR TO 5:00 P.M. ON THE EXPIRATION DATE.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Deliver to the Exchange Agent: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By Mail, Overnight Courier or Hand: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 Fillmore Avenue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 Paul, MN 55107-1402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Specialized Finance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(800) 934-6802</w:t>
      </w:r>
    </w:p>
    <w:p>
      <w:pPr>
        <w:spacing w:after="0" w:line="152" w:lineRule="exact"/>
        <w:rPr>
          <w:sz w:val="20"/>
          <w:szCs w:val="20"/>
          <w:color w:val="auto"/>
        </w:rPr>
      </w:pPr>
    </w:p>
    <w:p>
      <w:pPr>
        <w:ind w:left="320" w:right="879"/>
        <w:spacing w:after="0" w:line="259" w:lineRule="auto"/>
        <w:rPr>
          <w:sz w:val="20"/>
          <w:szCs w:val="20"/>
          <w:color w:val="auto"/>
        </w:rPr>
      </w:pPr>
      <w:r>
        <w:rPr>
          <w:rFonts w:ascii="Times New Roman" w:cs="Times New Roman" w:eastAsia="Times New Roman" w:hAnsi="Times New Roman"/>
          <w:sz w:val="14"/>
          <w:szCs w:val="14"/>
          <w:b w:val="1"/>
          <w:bCs w:val="1"/>
          <w:color w:val="auto"/>
        </w:rPr>
        <w:t>DELIVERY OF THIS INSTRUMENT TO AN ADDRESS OTHER THAN AS SET FORTH ABOVE OR TRANSMISSION OF INSTRUCTIONS VIA A FACSIMILE NUMBER OTHER THAN THE ONE LISTED ABOVE WILL NOT CONSTITUTE A VALID DELIVERY.</w:t>
      </w:r>
    </w:p>
    <w:p>
      <w:pPr>
        <w:spacing w:after="0" w:line="137" w:lineRule="exact"/>
        <w:rPr>
          <w:sz w:val="20"/>
          <w:szCs w:val="20"/>
          <w:color w:val="auto"/>
        </w:rPr>
      </w:pPr>
    </w:p>
    <w:p>
      <w:pPr>
        <w:ind w:left="320" w:right="839"/>
        <w:spacing w:after="0" w:line="273" w:lineRule="auto"/>
        <w:rPr>
          <w:sz w:val="20"/>
          <w:szCs w:val="20"/>
          <w:color w:val="auto"/>
        </w:rPr>
      </w:pPr>
      <w:r>
        <w:rPr>
          <w:rFonts w:ascii="Times New Roman" w:cs="Times New Roman" w:eastAsia="Times New Roman" w:hAnsi="Times New Roman"/>
          <w:sz w:val="14"/>
          <w:szCs w:val="14"/>
          <w:b w:val="1"/>
          <w:bCs w:val="1"/>
          <w:color w:val="auto"/>
        </w:rPr>
        <w:t>THE INSTRUCTIONS ACCOMPANYING THIS LETTER OF TRANSMITTAL SHOULD BE READ CAREFULLY BEFORE THIS LETTER OF TRANSMITTAL IS COMPLETED.</w:t>
      </w:r>
    </w:p>
    <w:p>
      <w:pPr>
        <w:spacing w:after="0" w:line="127" w:lineRule="exact"/>
        <w:rPr>
          <w:sz w:val="20"/>
          <w:szCs w:val="20"/>
          <w:color w:val="auto"/>
        </w:rPr>
      </w:pPr>
    </w:p>
    <w:p>
      <w:pPr>
        <w:ind w:left="320" w:right="559"/>
        <w:spacing w:after="0" w:line="259" w:lineRule="auto"/>
        <w:rPr>
          <w:sz w:val="20"/>
          <w:szCs w:val="20"/>
          <w:color w:val="auto"/>
        </w:rPr>
      </w:pPr>
      <w:r>
        <w:rPr>
          <w:rFonts w:ascii="Times New Roman" w:cs="Times New Roman" w:eastAsia="Times New Roman" w:hAnsi="Times New Roman"/>
          <w:sz w:val="14"/>
          <w:szCs w:val="14"/>
          <w:b w:val="1"/>
          <w:bCs w:val="1"/>
          <w:color w:val="auto"/>
        </w:rPr>
        <w:t>HOLDERS WHO WISH TO BE ELIGIBLE TO RECEIVE NEW NOTES FOR THEIR OLD NOTES PURSUANT TO THE EXCHANGE OFFER MUST VALIDLY TENDER (AND NOT WITHDRAW) THEIR OLD NOTES TO THE EXCHANGE AGENT PRIOR TO THE EXPIRATION DATE.</w:t>
      </w:r>
    </w:p>
    <w:p>
      <w:pPr>
        <w:spacing w:after="0" w:line="141" w:lineRule="exact"/>
        <w:rPr>
          <w:sz w:val="20"/>
          <w:szCs w:val="20"/>
          <w:color w:val="auto"/>
        </w:rPr>
      </w:pPr>
    </w:p>
    <w:p>
      <w:pPr>
        <w:ind w:left="320" w:right="479"/>
        <w:spacing w:after="0" w:line="248" w:lineRule="auto"/>
        <w:rPr>
          <w:sz w:val="20"/>
          <w:szCs w:val="20"/>
          <w:color w:val="auto"/>
        </w:rPr>
      </w:pPr>
      <w:r>
        <w:rPr>
          <w:rFonts w:ascii="Times New Roman" w:cs="Times New Roman" w:eastAsia="Times New Roman" w:hAnsi="Times New Roman"/>
          <w:sz w:val="14"/>
          <w:szCs w:val="14"/>
          <w:color w:val="auto"/>
        </w:rPr>
        <w:t>The undersigned acknowledges receipt of the Prospectus dated , 2025 (the “Prospectus”) of Crown Americas LLC (the “Company”) and this Letter of Transmittal (the “Letter of Transmittal”), which together constitute the Company’s offer to exchange (the “Exchange Offer”), upon the terms and conditions set forth in the Prospectus and this Letter of Transmittal, each $1,000 principal amount of their 5.875% Senior Notes due 2033 (the “New Notes”) that have been registered under the Securities Act of 1933, as amended (the “Securities Act”), pursuant to a registration statement (the “Registration Statement”) of which the Prospectus is a part, for each $1,000 principal amount of their outstanding 5.875% Senior Notes due 2033 (the “Old Notes”), of which $700 million aggregate principal amount is outstanding. Other capitalized terms used but not defined herein have the meaning given to them in the Prospectus.</w:t>
      </w:r>
    </w:p>
    <w:p>
      <w:pPr>
        <w:sectPr>
          <w:pgSz w:w="11900" w:h="16838" w:orient="portrait"/>
          <w:cols w:equalWidth="0" w:num="1">
            <w:col w:w="9019"/>
          </w:cols>
          <w:pgMar w:left="1440" w:top="123" w:right="1440" w:bottom="1440" w:gutter="0" w:footer="0" w:header="0"/>
        </w:sectPr>
      </w:pPr>
    </w:p>
    <w:bookmarkStart w:id="140" w:name="page141"/>
    <w:bookmarkEnd w:id="140"/>
    <w:p>
      <w:pPr>
        <w:ind w:left="320" w:right="33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Interest on the New Notes will accrue from and including the issue date of the Old Notes surrendered in exchange therefor. Holders (as hereinafter defined) of Old Notes accepted for exchange will be deemed to have waived the right to receive any other payments or accrued interest on the Old Notes. The Company reserves the right, at any time or from time to time, to extend the Exchange Offer in their discretion, in which event the term “Expiration Date” shall mean the latest time and date to which the Exchange Offer is extended. The Company shall notify Holders of the Old Notes of any extension by means of a press release or other public announcement prior to 9:00 A.M., New York City time, on the next business day after the previously scheduled Expiration Date. In addition, if the Company materially amends the terms of the Exchange Offer, the Company will as promptly as practicable distribute a prospectus supplement to the Holders of the Old Notes disclosing the change and extend the Exchange Offer for a period of five to ten business days, depending upon the significance of the amendment and the manner of disclosure to the registered Holders, if the Exchange Offer would otherwise expire during the five to ten business day period.</w:t>
      </w:r>
    </w:p>
    <w:p>
      <w:pPr>
        <w:spacing w:after="0" w:line="153" w:lineRule="exact"/>
        <w:rPr>
          <w:sz w:val="20"/>
          <w:szCs w:val="20"/>
          <w:color w:val="auto"/>
        </w:rPr>
      </w:pPr>
    </w:p>
    <w:p>
      <w:pPr>
        <w:ind w:left="320" w:right="359"/>
        <w:spacing w:after="0" w:line="248" w:lineRule="auto"/>
        <w:rPr>
          <w:sz w:val="20"/>
          <w:szCs w:val="20"/>
          <w:color w:val="auto"/>
        </w:rPr>
      </w:pPr>
      <w:r>
        <w:rPr>
          <w:rFonts w:ascii="Times New Roman" w:cs="Times New Roman" w:eastAsia="Times New Roman" w:hAnsi="Times New Roman"/>
          <w:sz w:val="14"/>
          <w:szCs w:val="14"/>
          <w:color w:val="auto"/>
        </w:rPr>
        <w:t>This letter of transmittal is to be completed by a Holder of Old Notes either if (a) a tender of Old Notes is to be made by delivering physical certificates for such Old Notes to the Exchange Agent or (b) a tender of Old Notes is to be made by book-entry transfer to the account of the Exchange Agent for the Exchange Offer at The Depository Trust Company (“DTC”) pursuant to the procedures set forth under “The Exchange Offer—Procedures for Tendering Old Notes—DTC Book-Entry Transfers” in the Prospectus. Certificates or book-entry confirmation of the transfer of Old Notes into the Exchange Agent’s account at DTC, as the case may be, as well as this Letter of Transmittal or a facsimile hereof, properly completed and duly executed, with any required signature guarantees, and any other documents required by this Letter of Transmittal, must be received by the Exchange Agent at its address set forth herein on or prior to the Expiration Date.</w:t>
      </w:r>
    </w:p>
    <w:p>
      <w:pPr>
        <w:spacing w:after="0" w:line="151" w:lineRule="exact"/>
        <w:rPr>
          <w:sz w:val="20"/>
          <w:szCs w:val="20"/>
          <w:color w:val="auto"/>
        </w:rPr>
      </w:pPr>
    </w:p>
    <w:p>
      <w:pPr>
        <w:ind w:left="320" w:right="459"/>
        <w:spacing w:after="0" w:line="250" w:lineRule="auto"/>
        <w:rPr>
          <w:sz w:val="20"/>
          <w:szCs w:val="20"/>
          <w:color w:val="auto"/>
        </w:rPr>
      </w:pPr>
      <w:r>
        <w:rPr>
          <w:rFonts w:ascii="Times New Roman" w:cs="Times New Roman" w:eastAsia="Times New Roman" w:hAnsi="Times New Roman"/>
          <w:sz w:val="14"/>
          <w:szCs w:val="14"/>
          <w:color w:val="auto"/>
        </w:rPr>
        <w:t>Tenders by book-entry transfer may also be made by delivering an agent’s message in lieu of this Letter of Transmittal. The term “book-entry confirmation” means a confirmation of a book-entry transfer of Old Notes into the Exchange Agent’s account at DTC. The term “agent’s message” means a message to the Exchange Agent, transmitted by DTC through DTC’s Automated Tender Offer Program system, which states that such facility has received an express acknowledgment that the Holder agrees to be bound by the Letter of Transmittal and that the Company may enforce the Letter of Transmittal against such Holder. The agent’s message forms a part of a book-entry transfer.</w:t>
      </w:r>
    </w:p>
    <w:p>
      <w:pPr>
        <w:spacing w:after="0" w:line="148" w:lineRule="exact"/>
        <w:rPr>
          <w:sz w:val="20"/>
          <w:szCs w:val="20"/>
          <w:color w:val="auto"/>
        </w:rPr>
      </w:pPr>
    </w:p>
    <w:p>
      <w:pPr>
        <w:ind w:left="320" w:right="499"/>
        <w:spacing w:after="0" w:line="256" w:lineRule="auto"/>
        <w:rPr>
          <w:sz w:val="20"/>
          <w:szCs w:val="20"/>
          <w:color w:val="auto"/>
        </w:rPr>
      </w:pPr>
      <w:r>
        <w:rPr>
          <w:rFonts w:ascii="Times New Roman" w:cs="Times New Roman" w:eastAsia="Times New Roman" w:hAnsi="Times New Roman"/>
          <w:sz w:val="14"/>
          <w:szCs w:val="14"/>
          <w:color w:val="auto"/>
        </w:rPr>
        <w:t>YOUR BANK OR BROKER CAN ASSIST YOU IN COMPLETING THIS FORM. THE INSTRUCTIONS INCLUDED WITH THIS LETTER OF TRANSMITTAL MUST BE FOLLOWED. QUESTIONS AND REQUESTS FOR ASSISTANCE OR FOR ADDITIONAL COPIES OF THE PROSPECTUS AND THIS LETTER OF TRANSMITTAL MAY BE DIRECTED TO THE EXCHANGE AGENT.</w:t>
      </w:r>
    </w:p>
    <w:p>
      <w:pPr>
        <w:spacing w:after="0" w:line="143" w:lineRule="exact"/>
        <w:rPr>
          <w:sz w:val="20"/>
          <w:szCs w:val="20"/>
          <w:color w:val="auto"/>
        </w:rPr>
      </w:pPr>
    </w:p>
    <w:p>
      <w:pPr>
        <w:ind w:left="320" w:right="479"/>
        <w:spacing w:after="0" w:line="267" w:lineRule="auto"/>
        <w:rPr>
          <w:sz w:val="20"/>
          <w:szCs w:val="20"/>
          <w:color w:val="auto"/>
        </w:rPr>
      </w:pPr>
      <w:r>
        <w:rPr>
          <w:rFonts w:ascii="Times New Roman" w:cs="Times New Roman" w:eastAsia="Times New Roman" w:hAnsi="Times New Roman"/>
          <w:sz w:val="14"/>
          <w:szCs w:val="14"/>
          <w:color w:val="auto"/>
        </w:rPr>
        <w:t>List below the notes to which this Letter of Transmittal relates. If the space indicated below is inadequate, the Certificate or Registration Numbers and Principal Amounts should be listed on a separately signed schedule affixed hereto.</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5.875% SENIOR NOTES DUE 2033 TENDERED HEREBY*</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Aggregate</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2240" w:type="dxa"/>
            <w:vAlign w:val="bottom"/>
            <w:vMerge w:val="restart"/>
          </w:tcPr>
          <w:p>
            <w:pPr>
              <w:jc w:val="center"/>
              <w:ind w:left="885"/>
              <w:spacing w:after="0"/>
              <w:rPr>
                <w:sz w:val="20"/>
                <w:szCs w:val="20"/>
                <w:color w:val="auto"/>
              </w:rPr>
            </w:pPr>
            <w:r>
              <w:rPr>
                <w:rFonts w:ascii="Times New Roman" w:cs="Times New Roman" w:eastAsia="Times New Roman" w:hAnsi="Times New Roman"/>
                <w:sz w:val="11"/>
                <w:szCs w:val="11"/>
                <w:color w:val="auto"/>
                <w:w w:val="98"/>
              </w:rPr>
              <w:t>Certificate</w:t>
            </w:r>
          </w:p>
        </w:tc>
        <w:tc>
          <w:tcPr>
            <w:tcW w:w="13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rPr>
              <w:t>Principal</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Name(s) and Address(es) of</w:t>
            </w:r>
          </w:p>
        </w:tc>
        <w:tc>
          <w:tcPr>
            <w:tcW w:w="2240" w:type="dxa"/>
            <w:vAlign w:val="bottom"/>
            <w:vMerge w:val="continue"/>
          </w:tcPr>
          <w:p>
            <w:pPr>
              <w:spacing w:after="0"/>
              <w:rPr>
                <w:sz w:val="9"/>
                <w:szCs w:val="9"/>
                <w:color w:val="auto"/>
              </w:rPr>
            </w:pPr>
          </w:p>
        </w:tc>
        <w:tc>
          <w:tcPr>
            <w:tcW w:w="13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Amount</w:t>
            </w:r>
          </w:p>
        </w:tc>
        <w:tc>
          <w:tcPr>
            <w:tcW w:w="900" w:type="dxa"/>
            <w:vAlign w:val="bottom"/>
            <w:vMerge w:val="restart"/>
          </w:tcPr>
          <w:p>
            <w:pPr>
              <w:jc w:val="center"/>
              <w:ind w:left="345"/>
              <w:spacing w:after="0"/>
              <w:rPr>
                <w:sz w:val="20"/>
                <w:szCs w:val="20"/>
                <w:color w:val="auto"/>
              </w:rPr>
            </w:pPr>
            <w:r>
              <w:rPr>
                <w:rFonts w:ascii="Times New Roman" w:cs="Times New Roman" w:eastAsia="Times New Roman" w:hAnsi="Times New Roman"/>
                <w:sz w:val="11"/>
                <w:szCs w:val="11"/>
                <w:color w:val="auto"/>
                <w:w w:val="95"/>
              </w:rPr>
              <w:t>Principal</w:t>
            </w: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2240" w:type="dxa"/>
            <w:vAlign w:val="bottom"/>
          </w:tcPr>
          <w:p>
            <w:pPr>
              <w:jc w:val="center"/>
              <w:ind w:left="885"/>
              <w:spacing w:after="0" w:line="113" w:lineRule="exact"/>
              <w:rPr>
                <w:sz w:val="20"/>
                <w:szCs w:val="20"/>
                <w:color w:val="auto"/>
              </w:rPr>
            </w:pPr>
            <w:r>
              <w:rPr>
                <w:rFonts w:ascii="Times New Roman" w:cs="Times New Roman" w:eastAsia="Times New Roman" w:hAnsi="Times New Roman"/>
                <w:sz w:val="11"/>
                <w:szCs w:val="11"/>
                <w:color w:val="auto"/>
              </w:rPr>
              <w:t>or</w:t>
            </w:r>
          </w:p>
        </w:tc>
        <w:tc>
          <w:tcPr>
            <w:tcW w:w="13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Represented</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Registered Owner(s)</w:t>
            </w:r>
          </w:p>
        </w:tc>
        <w:tc>
          <w:tcPr>
            <w:tcW w:w="2240" w:type="dxa"/>
            <w:vAlign w:val="bottom"/>
          </w:tcPr>
          <w:p>
            <w:pPr>
              <w:jc w:val="center"/>
              <w:ind w:left="885"/>
              <w:spacing w:after="0" w:line="113" w:lineRule="exact"/>
              <w:rPr>
                <w:sz w:val="20"/>
                <w:szCs w:val="20"/>
                <w:color w:val="auto"/>
              </w:rPr>
            </w:pPr>
            <w:r>
              <w:rPr>
                <w:rFonts w:ascii="Times New Roman" w:cs="Times New Roman" w:eastAsia="Times New Roman" w:hAnsi="Times New Roman"/>
                <w:sz w:val="11"/>
                <w:szCs w:val="11"/>
                <w:color w:val="auto"/>
              </w:rPr>
              <w:t>Registration</w:t>
            </w:r>
          </w:p>
        </w:tc>
        <w:tc>
          <w:tcPr>
            <w:tcW w:w="13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by Old</w:t>
            </w:r>
          </w:p>
        </w:tc>
        <w:tc>
          <w:tcPr>
            <w:tcW w:w="900" w:type="dxa"/>
            <w:vAlign w:val="bottom"/>
          </w:tcPr>
          <w:p>
            <w:pPr>
              <w:jc w:val="center"/>
              <w:ind w:left="365"/>
              <w:spacing w:after="0" w:line="113" w:lineRule="exact"/>
              <w:rPr>
                <w:sz w:val="20"/>
                <w:szCs w:val="20"/>
                <w:color w:val="auto"/>
              </w:rPr>
            </w:pPr>
            <w:r>
              <w:rPr>
                <w:rFonts w:ascii="Times New Roman" w:cs="Times New Roman" w:eastAsia="Times New Roman" w:hAnsi="Times New Roman"/>
                <w:sz w:val="11"/>
                <w:szCs w:val="11"/>
                <w:color w:val="auto"/>
                <w:w w:val="99"/>
              </w:rPr>
              <w:t>Amount</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20"/>
                <w:szCs w:val="20"/>
                <w:color w:val="auto"/>
              </w:rPr>
            </w:pPr>
            <w:r>
              <w:rPr>
                <w:rFonts w:ascii="Times New Roman" w:cs="Times New Roman" w:eastAsia="Times New Roman" w:hAnsi="Times New Roman"/>
                <w:sz w:val="11"/>
                <w:szCs w:val="11"/>
                <w:color w:val="auto"/>
              </w:rPr>
              <w:t>(Please fill in)</w:t>
            </w:r>
          </w:p>
        </w:tc>
        <w:tc>
          <w:tcPr>
            <w:tcW w:w="2240" w:type="dxa"/>
            <w:vAlign w:val="bottom"/>
          </w:tcPr>
          <w:p>
            <w:pPr>
              <w:jc w:val="center"/>
              <w:ind w:left="885"/>
              <w:spacing w:after="0"/>
              <w:rPr>
                <w:sz w:val="20"/>
                <w:szCs w:val="20"/>
                <w:color w:val="auto"/>
              </w:rPr>
            </w:pPr>
            <w:r>
              <w:rPr>
                <w:rFonts w:ascii="Times New Roman" w:cs="Times New Roman" w:eastAsia="Times New Roman" w:hAnsi="Times New Roman"/>
                <w:sz w:val="11"/>
                <w:szCs w:val="11"/>
                <w:color w:val="auto"/>
              </w:rPr>
              <w:t>Numbers</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Notes</w:t>
            </w:r>
          </w:p>
        </w:tc>
        <w:tc>
          <w:tcPr>
            <w:tcW w:w="900" w:type="dxa"/>
            <w:vAlign w:val="bottom"/>
          </w:tcPr>
          <w:p>
            <w:pPr>
              <w:jc w:val="center"/>
              <w:ind w:left="345"/>
              <w:spacing w:after="0"/>
              <w:rPr>
                <w:sz w:val="20"/>
                <w:szCs w:val="20"/>
                <w:color w:val="auto"/>
              </w:rPr>
            </w:pPr>
            <w:r>
              <w:rPr>
                <w:rFonts w:ascii="Times New Roman" w:cs="Times New Roman" w:eastAsia="Times New Roman" w:hAnsi="Times New Roman"/>
                <w:sz w:val="11"/>
                <w:szCs w:val="11"/>
                <w:u w:val="single" w:color="auto"/>
                <w:color w:val="auto"/>
                <w:w w:val="95"/>
              </w:rPr>
              <w:t>Tendered**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0</wp:posOffset>
            </wp:positionV>
            <wp:extent cx="4469765" cy="1041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7">
                      <a:extLst>
                        <a:ext uri="{28A0092B-C50C-407E-A947-70E740481C1C}"/>
                      </a:extLst>
                    </a:blip>
                    <a:srcRect/>
                    <a:stretch>
                      <a:fillRect/>
                    </a:stretch>
                  </pic:blipFill>
                  <pic:spPr bwMode="auto">
                    <a:xfrm>
                      <a:off x="0" y="0"/>
                      <a:ext cx="4469765" cy="1041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4"/>
          <w:szCs w:val="14"/>
          <w:color w:val="auto"/>
        </w:rPr>
        <w:t>Total:</w:t>
      </w:r>
    </w:p>
    <w:p>
      <w:pPr>
        <w:spacing w:after="0" w:line="174" w:lineRule="exact"/>
        <w:rPr>
          <w:sz w:val="20"/>
          <w:szCs w:val="20"/>
          <w:color w:val="auto"/>
        </w:rPr>
      </w:pPr>
    </w:p>
    <w:p>
      <w:pPr>
        <w:ind w:left="4460" w:right="3479" w:hanging="4149"/>
        <w:spacing w:after="0" w:line="436" w:lineRule="auto"/>
        <w:tabs>
          <w:tab w:leader="none" w:pos="630" w:val="left"/>
        </w:tabs>
        <w:numPr>
          <w:ilvl w:val="0"/>
          <w:numId w:val="9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Note(s) have been lost, destroyed or stolen, please check this box and see Instruction 7. 2</w:t>
      </w:r>
    </w:p>
    <w:p>
      <w:pPr>
        <w:sectPr>
          <w:pgSz w:w="11900" w:h="16838" w:orient="portrait"/>
          <w:cols w:equalWidth="0" w:num="1">
            <w:col w:w="9019"/>
          </w:cols>
          <w:pgMar w:left="1440" w:top="240" w:right="1440" w:bottom="1440" w:gutter="0" w:footer="0" w:header="0"/>
        </w:sectPr>
      </w:pPr>
    </w:p>
    <w:bookmarkStart w:id="141" w:name="page142"/>
    <w:bookmarkEnd w:id="141"/>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Please fill out remainder of this Letter of Transmittal and indicate here the number of lost, destroyed or stolen Notes:</w:t>
      </w:r>
    </w:p>
    <w:p>
      <w:pPr>
        <w:spacing w:after="0" w:line="96" w:lineRule="exact"/>
        <w:rPr>
          <w:sz w:val="20"/>
          <w:szCs w:val="20"/>
          <w:color w:val="auto"/>
        </w:rPr>
      </w:pPr>
    </w:p>
    <w:p>
      <w:pPr>
        <w:ind w:left="640" w:hanging="329"/>
        <w:spacing w:after="0"/>
        <w:tabs>
          <w:tab w:leader="none" w:pos="6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not be completed by book-entry Holders.</w:t>
      </w:r>
    </w:p>
    <w:p>
      <w:pPr>
        <w:spacing w:after="0" w:line="15" w:lineRule="exact"/>
        <w:rPr>
          <w:sz w:val="20"/>
          <w:szCs w:val="20"/>
          <w:color w:val="auto"/>
        </w:rPr>
      </w:pPr>
    </w:p>
    <w:p>
      <w:pPr>
        <w:ind w:left="640" w:right="519" w:hanging="329"/>
        <w:spacing w:after="0" w:line="250"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Holder will be deemed to have tendered the full aggregate principal amount represented by such Old Notes. All tenders of Notes must be in denominations of $2,000 and any integral multiple of $1,000 in excess thereof.</w:t>
      </w:r>
    </w:p>
    <w:p>
      <w:pPr>
        <w:spacing w:after="0" w:line="146" w:lineRule="exact"/>
        <w:rPr>
          <w:sz w:val="20"/>
          <w:szCs w:val="20"/>
          <w:color w:val="auto"/>
        </w:rPr>
      </w:pPr>
    </w:p>
    <w:p>
      <w:pPr>
        <w:ind w:left="320" w:right="439"/>
        <w:spacing w:after="0" w:line="267" w:lineRule="auto"/>
        <w:rPr>
          <w:sz w:val="20"/>
          <w:szCs w:val="20"/>
          <w:color w:val="auto"/>
        </w:rPr>
      </w:pPr>
      <w:r>
        <w:rPr>
          <w:rFonts w:ascii="Times New Roman" w:cs="Times New Roman" w:eastAsia="Times New Roman" w:hAnsi="Times New Roman"/>
          <w:sz w:val="14"/>
          <w:szCs w:val="14"/>
          <w:color w:val="auto"/>
        </w:rPr>
        <w:t>This Letter of Transmittal is to be used by Holders if certificates representing Old Notes are to be physically delivered to the Exchange Agent herewith by Holders. Delivery of documents to a book-entry transfer facility does not constitute delivery to the Exchange Agent.</w:t>
      </w:r>
    </w:p>
    <w:p>
      <w:pPr>
        <w:spacing w:after="0" w:line="135" w:lineRule="exact"/>
        <w:rPr>
          <w:sz w:val="20"/>
          <w:szCs w:val="20"/>
          <w:color w:val="auto"/>
        </w:rPr>
      </w:pPr>
    </w:p>
    <w:p>
      <w:pPr>
        <w:ind w:left="320" w:right="459"/>
        <w:spacing w:after="0" w:line="267" w:lineRule="auto"/>
        <w:rPr>
          <w:sz w:val="20"/>
          <w:szCs w:val="20"/>
          <w:color w:val="auto"/>
        </w:rPr>
      </w:pPr>
      <w:r>
        <w:rPr>
          <w:rFonts w:ascii="Times New Roman" w:cs="Times New Roman" w:eastAsia="Times New Roman" w:hAnsi="Times New Roman"/>
          <w:sz w:val="14"/>
          <w:szCs w:val="14"/>
          <w:color w:val="auto"/>
        </w:rPr>
        <w:t>The term “Holder” with respect to the Exchange Offer means any person in whose name Old Notes are registered on the books of the Company or any other person who has obtained a properly completed bond power from the registered Holder.</w:t>
      </w:r>
    </w:p>
    <w:p>
      <w:pPr>
        <w:spacing w:after="0" w:line="135" w:lineRule="exact"/>
        <w:rPr>
          <w:sz w:val="20"/>
          <w:szCs w:val="20"/>
          <w:color w:val="auto"/>
        </w:rPr>
      </w:pPr>
    </w:p>
    <w:p>
      <w:pPr>
        <w:ind w:left="320" w:right="419"/>
        <w:spacing w:after="0" w:line="256" w:lineRule="auto"/>
        <w:rPr>
          <w:sz w:val="20"/>
          <w:szCs w:val="20"/>
          <w:color w:val="auto"/>
        </w:rPr>
      </w:pPr>
      <w:r>
        <w:rPr>
          <w:rFonts w:ascii="Times New Roman" w:cs="Times New Roman" w:eastAsia="Times New Roman" w:hAnsi="Times New Roman"/>
          <w:sz w:val="14"/>
          <w:szCs w:val="14"/>
          <w:color w:val="auto"/>
        </w:rPr>
        <w:t>The undersigned has completed, executed and delivered this Letter of Transmittal to indicate the action the undersigned desires to take with respect to the Exchange Offer. Holders who wish to tender their Old Notes must complete this Letter of Transmittal in its entirety. Please read this entire Letter of Transmittal carefully before checking any box below.</w:t>
      </w:r>
    </w:p>
    <w:p>
      <w:pPr>
        <w:spacing w:after="0" w:line="71" w:lineRule="exact"/>
        <w:rPr>
          <w:sz w:val="20"/>
          <w:szCs w:val="20"/>
          <w:color w:val="auto"/>
        </w:rPr>
      </w:pPr>
    </w:p>
    <w:p>
      <w:pPr>
        <w:ind w:left="640" w:right="799" w:hanging="329"/>
        <w:spacing w:after="0" w:line="267" w:lineRule="auto"/>
        <w:tabs>
          <w:tab w:leader="none" w:pos="640" w:val="left"/>
        </w:tabs>
        <w:numPr>
          <w:ilvl w:val="0"/>
          <w:numId w:val="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HERE IF TENDERED OLD NOTES ARE BEING DELIVERED BY BOOK-ENTRY TRANSFER MADE TO AN ACCOUNT MAINTAINED BY THE EXCHANGE AGENT WITH DTC AND COMPLETE THE FOLLOWING:</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 of Tendering Institution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Account Number</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Transaction Code Number</w:t>
      </w:r>
    </w:p>
    <w:p>
      <w:pPr>
        <w:spacing w:after="0" w:line="86" w:lineRule="exact"/>
        <w:rPr>
          <w:sz w:val="20"/>
          <w:szCs w:val="20"/>
          <w:color w:val="auto"/>
        </w:rPr>
      </w:pPr>
    </w:p>
    <w:p>
      <w:pPr>
        <w:ind w:left="320" w:right="319" w:hanging="9"/>
        <w:spacing w:after="0" w:line="267" w:lineRule="auto"/>
        <w:tabs>
          <w:tab w:leader="none" w:pos="478" w:val="left"/>
        </w:tabs>
        <w:numPr>
          <w:ilvl w:val="0"/>
          <w:numId w:val="9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HERE IF YOU ARE A BROKER-DEALER AND WISH TO RECEIVE TEN ADDITIONAL COPIES OF THE PROSPECTUS AND TEN COPIES OF ANY AMENDMENTS OR SUPPLEMENTS THERETO.</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Address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6" w:lineRule="exact"/>
        <w:rPr>
          <w:sz w:val="20"/>
          <w:szCs w:val="20"/>
          <w:color w:val="auto"/>
        </w:rPr>
      </w:pPr>
    </w:p>
    <w:p>
      <w:pPr>
        <w:ind w:left="320" w:right="399"/>
        <w:spacing w:after="0" w:line="247" w:lineRule="auto"/>
        <w:rPr>
          <w:sz w:val="20"/>
          <w:szCs w:val="20"/>
          <w:color w:val="auto"/>
        </w:rPr>
      </w:pPr>
      <w:r>
        <w:rPr>
          <w:rFonts w:ascii="Times New Roman" w:cs="Times New Roman" w:eastAsia="Times New Roman" w:hAnsi="Times New Roman"/>
          <w:sz w:val="14"/>
          <w:szCs w:val="14"/>
          <w:color w:val="auto"/>
        </w:rPr>
        <w:t>Upon the terms and subject to the conditions of the Exchange Offer, the undersigned hereby tenders to the Company the principal amount of the Old Notes indicated above. Subject to, and effective upon, the acceptance for exchange of such Old Notes tendered hereby, the undersigned hereby exchanges, assigns and transfers to, or upon the order of, the Company all right, title and interest in and to such Old Notes as are being tendered hereby, in full satisfaction of all obligations owing to the undersigned arising out of or relating to the Old Notes, including all rights to accrued and unpaid interest thereon as of the Expiration Date. The undersigned hereby irrevocably constitutes and appoints the Exchange Agent the true and lawful agent and attorney-in-fact of the undersigned (with full knowledge that said Exchange Agent acts as the agent of the Company in connection with the Exchange Offer) to cause the Old Notes to be assigned, transferred and exchanged. The undersigned represents and warrants that it has full power and authority to tender, exchange, assign and transfer the Old Notes and to acquire New Notes issuable upon the exchange of such tendered Old Notes, and that when the same are accepted for exchange, the Company will acquire good and unencumbered title to the tendered Old Notes, free and clear of all liens, restrictions, charges and encumbrances and not subject to any adverse claim.</w:t>
      </w:r>
    </w:p>
    <w:p>
      <w:pPr>
        <w:spacing w:after="0" w:line="152" w:lineRule="exact"/>
        <w:rPr>
          <w:sz w:val="20"/>
          <w:szCs w:val="20"/>
          <w:color w:val="auto"/>
        </w:rPr>
      </w:pPr>
    </w:p>
    <w:p>
      <w:pPr>
        <w:ind w:left="320" w:right="359"/>
        <w:spacing w:after="0" w:line="256" w:lineRule="auto"/>
        <w:rPr>
          <w:sz w:val="20"/>
          <w:szCs w:val="20"/>
          <w:color w:val="auto"/>
        </w:rPr>
      </w:pPr>
      <w:r>
        <w:rPr>
          <w:rFonts w:ascii="Times New Roman" w:cs="Times New Roman" w:eastAsia="Times New Roman" w:hAnsi="Times New Roman"/>
          <w:sz w:val="14"/>
          <w:szCs w:val="14"/>
          <w:color w:val="auto"/>
        </w:rPr>
        <w:t>If the undersigned is not a Broker-Dealer, the undersigned represents that it acquired the New Notes in the ordinary course of its business, it is not engaged in, and does not intend to engage in, a distribution of New Notes and it has no arrangements or understandings with any Person to participate in a distribution of the New Notes. If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42" w:name="page143"/>
    <w:bookmarkEnd w:id="142"/>
    <w:p>
      <w:pPr>
        <w:ind w:left="320" w:right="31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undersigned is a Broker-Dealer that will receive New Notes for its own account in exchange for Old Notes, it represents that the Old Notes to be exchanged for New Notes were acquired by it as a result of market-making activities or other trading activities and acknowledges that it will deliver a prospectus in connection with any resale of such New Notes; however, by so acknowledging and by delivering a prospectus, the undersigned will not be deemed to admit that it is an “underwriter” within the meaning of the Securities Act. The undersigned and any such other person acknowledge that, if they are participating in the Exchange Offer for the purpose of distributing the New Notes, (i) they must comply with the registration and prospectus delivery requirements of the Securities Act in connection with the resale transaction and (ii) failure to comply with such requirements in such instance could result in the undersigned or any such other person incurring liability under the Securities Act for which such persons are not indemnified by the Company. If the undersigned or the person receiving the New Notes covered by this letter is an affiliate (as defined under Rule 405 of the Securities Act) of the Company, the undersigned represents to the Company that the undersigned understands and acknowledges that such New Notes may not be offered for resale, resold or otherwise transferred by the undersigned or such other person without registration under the Securities Act or an exemption therefrom.</w:t>
      </w:r>
    </w:p>
    <w:p>
      <w:pPr>
        <w:spacing w:after="0" w:line="151" w:lineRule="exact"/>
        <w:rPr>
          <w:sz w:val="20"/>
          <w:szCs w:val="20"/>
          <w:color w:val="auto"/>
        </w:rPr>
      </w:pPr>
    </w:p>
    <w:p>
      <w:pPr>
        <w:ind w:left="320" w:right="399"/>
        <w:spacing w:after="0" w:line="256" w:lineRule="auto"/>
        <w:rPr>
          <w:sz w:val="20"/>
          <w:szCs w:val="20"/>
          <w:color w:val="auto"/>
        </w:rPr>
      </w:pPr>
      <w:r>
        <w:rPr>
          <w:rFonts w:ascii="Times New Roman" w:cs="Times New Roman" w:eastAsia="Times New Roman" w:hAnsi="Times New Roman"/>
          <w:sz w:val="14"/>
          <w:szCs w:val="14"/>
          <w:color w:val="auto"/>
        </w:rPr>
        <w:t>The undersigned also warrants that it will, upon request, execute and deliver any additional documents deemed by the Exchange Agent or the Company to be necessary or desirable to complete the exchange, assignment and transfer of tendered Old Notes or transfer ownership of such Old Notes on the account books maintained by a book-entry transfer facility.</w:t>
      </w:r>
    </w:p>
    <w:p>
      <w:pPr>
        <w:spacing w:after="0" w:line="143" w:lineRule="exact"/>
        <w:rPr>
          <w:sz w:val="20"/>
          <w:szCs w:val="20"/>
          <w:color w:val="auto"/>
        </w:rPr>
      </w:pPr>
    </w:p>
    <w:p>
      <w:pPr>
        <w:ind w:left="320" w:right="419"/>
        <w:spacing w:after="0" w:line="252" w:lineRule="auto"/>
        <w:rPr>
          <w:sz w:val="20"/>
          <w:szCs w:val="20"/>
          <w:color w:val="auto"/>
        </w:rPr>
      </w:pPr>
      <w:r>
        <w:rPr>
          <w:rFonts w:ascii="Times New Roman" w:cs="Times New Roman" w:eastAsia="Times New Roman" w:hAnsi="Times New Roman"/>
          <w:sz w:val="14"/>
          <w:szCs w:val="14"/>
          <w:color w:val="auto"/>
        </w:rPr>
        <w:t>The Exchange Offer is subject to certain conditions set forth in the Prospectus under the caption “The Exchange Offer—Terms of the Exchange Offer.” The undersigned recognizes that as a result of these conditions (which may be waived, in whole or in part, by the Company), as more particularly set forth in the Prospectus, the Company may not be required to exchange any of the Old Notes tendered hereby and, in such event, the Old Notes not exchanged will be returned to the undersigned at the address shown below the signature of the undersigned.</w:t>
      </w:r>
    </w:p>
    <w:p>
      <w:pPr>
        <w:spacing w:after="0" w:line="146" w:lineRule="exact"/>
        <w:rPr>
          <w:sz w:val="20"/>
          <w:szCs w:val="20"/>
          <w:color w:val="auto"/>
        </w:rPr>
      </w:pPr>
    </w:p>
    <w:p>
      <w:pPr>
        <w:ind w:left="320" w:right="339"/>
        <w:spacing w:after="0" w:line="252" w:lineRule="auto"/>
        <w:rPr>
          <w:sz w:val="20"/>
          <w:szCs w:val="20"/>
          <w:color w:val="auto"/>
        </w:rPr>
      </w:pPr>
      <w:r>
        <w:rPr>
          <w:rFonts w:ascii="Times New Roman" w:cs="Times New Roman" w:eastAsia="Times New Roman" w:hAnsi="Times New Roman"/>
          <w:sz w:val="14"/>
          <w:szCs w:val="14"/>
          <w:color w:val="auto"/>
        </w:rPr>
        <w:t>All authority herein conferred or agreed to be conferred shall survive the death, incapacity or dissolution of the undersigned and every obligation of the undersigned hereunder shall be binding upon the heirs, personal representatives, successors, assigns, trustees in bankruptcy or other legal representatives of the undersigned. This tender may be withdrawn only in accordance with the procedures set forth in “The Exchange Offer—Withdrawal Rights” section of the Prospectus.</w:t>
      </w:r>
    </w:p>
    <w:p>
      <w:pPr>
        <w:spacing w:after="0" w:line="146" w:lineRule="exact"/>
        <w:rPr>
          <w:sz w:val="20"/>
          <w:szCs w:val="20"/>
          <w:color w:val="auto"/>
        </w:rPr>
      </w:pPr>
    </w:p>
    <w:p>
      <w:pPr>
        <w:ind w:left="320" w:right="319"/>
        <w:spacing w:after="0" w:line="248" w:lineRule="auto"/>
        <w:rPr>
          <w:sz w:val="20"/>
          <w:szCs w:val="20"/>
          <w:color w:val="auto"/>
        </w:rPr>
      </w:pPr>
      <w:r>
        <w:rPr>
          <w:rFonts w:ascii="Times New Roman" w:cs="Times New Roman" w:eastAsia="Times New Roman" w:hAnsi="Times New Roman"/>
          <w:sz w:val="14"/>
          <w:szCs w:val="14"/>
          <w:color w:val="auto"/>
        </w:rPr>
        <w:t>Unless otherwise indicated in the box entitled “Special Registration Instructions” or the box entitled “Special Delivery Instructions” in this Letter of Transmittal, certificates for all New Notes delivered in exchange for tendered Old Notes, and any Old Notes delivered herewith but not exchanged, will be registered in the name of the undersigned and shall be delivered to the undersigned at the address shown below the signature of the undersigned. If a New Note is to be issued to a person other than the person(s) signing this Letter of Transmittal, or if a New Note is to be mailed to someone other than the person(s) signing this Letter of Transmittal or to the person(s) signing this Letter of Transmittal at an address different than the address shown on this Letter of Transmittal, the appropriate boxes of this Letter of Transmittal should be completed. If Old Notes are surrendered by Holder(s) that have completed either the box entitled “Special Registration Instructions” or the box entitled “Special Delivery Instructions” in this Letter of Transmittal, signature(s) on this Letter of Transmittal must be guaranteed by an Eligible Institution (defined in Instruction 3).</w:t>
      </w:r>
    </w:p>
    <w:p>
      <w:pPr>
        <w:spacing w:after="0" w:line="149" w:lineRule="exact"/>
        <w:rPr>
          <w:sz w:val="20"/>
          <w:szCs w:val="20"/>
          <w:color w:val="auto"/>
        </w:rPr>
      </w:pPr>
    </w:p>
    <w:p>
      <w:pPr>
        <w:ind w:left="320" w:right="379"/>
        <w:spacing w:after="0" w:line="267" w:lineRule="auto"/>
        <w:rPr>
          <w:sz w:val="20"/>
          <w:szCs w:val="20"/>
          <w:color w:val="auto"/>
        </w:rPr>
      </w:pPr>
      <w:r>
        <w:rPr>
          <w:rFonts w:ascii="Times New Roman" w:cs="Times New Roman" w:eastAsia="Times New Roman" w:hAnsi="Times New Roman"/>
          <w:sz w:val="14"/>
          <w:szCs w:val="14"/>
          <w:color w:val="auto"/>
        </w:rPr>
        <w:t>For purposes of the Exchange Offer, the Company shall be deemed to have accepted validly tendered Old Notes when, as and if the Company has given oral or written notice thereof to the Exchange Agent.</w:t>
      </w:r>
    </w:p>
    <w:p>
      <w:pPr>
        <w:spacing w:after="0" w:line="135" w:lineRule="exact"/>
        <w:rPr>
          <w:sz w:val="20"/>
          <w:szCs w:val="20"/>
          <w:color w:val="auto"/>
        </w:rPr>
      </w:pPr>
    </w:p>
    <w:p>
      <w:pPr>
        <w:ind w:left="320" w:right="359"/>
        <w:spacing w:after="0" w:line="249" w:lineRule="auto"/>
        <w:rPr>
          <w:sz w:val="20"/>
          <w:szCs w:val="20"/>
          <w:color w:val="auto"/>
        </w:rPr>
      </w:pPr>
      <w:r>
        <w:rPr>
          <w:rFonts w:ascii="Times New Roman" w:cs="Times New Roman" w:eastAsia="Times New Roman" w:hAnsi="Times New Roman"/>
          <w:sz w:val="14"/>
          <w:szCs w:val="14"/>
          <w:color w:val="auto"/>
        </w:rPr>
        <w:t>The undersigned understands that tenders of Old Notes pursuant to the procedures described under the caption “The Exchange Offer—Procedures for Tendering Old Notes” in the Prospectus and in the instructions hereto will, upon the Company’s acceptance for exchange of such tendered Old Notes, constitute a binding agreement between the undersigned and the Company upon the terms and subject to the conditions of the Exchange Offer and that the tendering Holder will be deemed to have waived the right to receive any payment in respect of interest or otherwise on such Old Notes accrued up to the date of issuance of the New Notes. The undersigned recognizes that, under certain circumstances set forth in the Prospectus, the Company may not be required to accept for exchange any of the Old Notes tendered hereby.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SPECIAL REGISTRATION INSTRUCTIONS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be completed ONLY if the Old Notes are to be issued in the name of someone other than the undersigned.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10160</wp:posOffset>
            </wp:positionV>
            <wp:extent cx="473773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1">
                      <a:extLst>
                        <a:ext uri="{28A0092B-C50C-407E-A947-70E740481C1C}"/>
                      </a:extLst>
                    </a:blip>
                    <a:srcRect/>
                    <a:stretch>
                      <a:fillRect/>
                    </a:stretch>
                  </pic:blipFill>
                  <pic:spPr bwMode="auto">
                    <a:xfrm>
                      <a:off x="0" y="0"/>
                      <a:ext cx="4737735" cy="635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232410</wp:posOffset>
            </wp:positionV>
            <wp:extent cx="473773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2">
                      <a:extLst>
                        <a:ext uri="{28A0092B-C50C-407E-A947-70E740481C1C}"/>
                      </a:extLst>
                    </a:blip>
                    <a:srcRect/>
                    <a:stretch>
                      <a:fillRect/>
                    </a:stretch>
                  </pic:blipFill>
                  <pic:spPr bwMode="auto">
                    <a:xfrm>
                      <a:off x="0" y="0"/>
                      <a:ext cx="4737735" cy="635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121285</wp:posOffset>
            </wp:positionV>
            <wp:extent cx="473773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3">
                      <a:extLst>
                        <a:ext uri="{28A0092B-C50C-407E-A947-70E740481C1C}"/>
                      </a:extLst>
                    </a:blip>
                    <a:srcRect/>
                    <a:stretch>
                      <a:fillRect/>
                    </a:stretch>
                  </pic:blipFill>
                  <pic:spPr bwMode="auto">
                    <a:xfrm>
                      <a:off x="0" y="0"/>
                      <a:ext cx="4737735" cy="635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10160</wp:posOffset>
            </wp:positionV>
            <wp:extent cx="473773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4">
                      <a:extLst>
                        <a:ext uri="{28A0092B-C50C-407E-A947-70E740481C1C}"/>
                      </a:extLst>
                    </a:blip>
                    <a:srcRect/>
                    <a:stretch>
                      <a:fillRect/>
                    </a:stretch>
                  </pic:blipFill>
                  <pic:spPr bwMode="auto">
                    <a:xfrm>
                      <a:off x="0" y="0"/>
                      <a:ext cx="4737735" cy="63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Book-Entry Transfer Facility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10160</wp:posOffset>
            </wp:positionV>
            <wp:extent cx="532511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5">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Employer Identification or Social Security Number: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38735</wp:posOffset>
            </wp:positionV>
            <wp:extent cx="532511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6">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DELIVERY INSTRUCTIONS</w:t>
      </w:r>
    </w:p>
    <w:p>
      <w:pPr>
        <w:spacing w:after="0" w:line="172" w:lineRule="exact"/>
        <w:rPr>
          <w:sz w:val="20"/>
          <w:szCs w:val="20"/>
          <w:color w:val="auto"/>
        </w:rPr>
      </w:pPr>
    </w:p>
    <w:p>
      <w:pPr>
        <w:ind w:left="320" w:right="379"/>
        <w:spacing w:after="0" w:line="267" w:lineRule="auto"/>
        <w:rPr>
          <w:sz w:val="20"/>
          <w:szCs w:val="20"/>
          <w:color w:val="auto"/>
        </w:rPr>
      </w:pPr>
      <w:r>
        <w:rPr>
          <w:rFonts w:ascii="Times New Roman" w:cs="Times New Roman" w:eastAsia="Times New Roman" w:hAnsi="Times New Roman"/>
          <w:sz w:val="14"/>
          <w:szCs w:val="14"/>
          <w:color w:val="auto"/>
        </w:rPr>
        <w:t>To be completed ONLY if the Old Notes are to be sent to someone other than the undersigned, or to the undersigned at an address other than that shown under “Description of 5.875% Senior Notes due 2033 Tendered Hereby.”</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10160</wp:posOffset>
            </wp:positionV>
            <wp:extent cx="473773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7">
                      <a:extLst>
                        <a:ext uri="{28A0092B-C50C-407E-A947-70E740481C1C}"/>
                      </a:extLst>
                    </a:blip>
                    <a:srcRect/>
                    <a:stretch>
                      <a:fillRect/>
                    </a:stretch>
                  </pic:blipFill>
                  <pic:spPr bwMode="auto">
                    <a:xfrm>
                      <a:off x="0" y="0"/>
                      <a:ext cx="4737735" cy="635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232410</wp:posOffset>
            </wp:positionV>
            <wp:extent cx="473773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8">
                      <a:extLst>
                        <a:ext uri="{28A0092B-C50C-407E-A947-70E740481C1C}"/>
                      </a:extLst>
                    </a:blip>
                    <a:srcRect/>
                    <a:stretch>
                      <a:fillRect/>
                    </a:stretch>
                  </pic:blipFill>
                  <pic:spPr bwMode="auto">
                    <a:xfrm>
                      <a:off x="0" y="0"/>
                      <a:ext cx="4737735" cy="635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121285</wp:posOffset>
            </wp:positionV>
            <wp:extent cx="473773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9">
                      <a:extLst>
                        <a:ext uri="{28A0092B-C50C-407E-A947-70E740481C1C}"/>
                      </a:extLst>
                    </a:blip>
                    <a:srcRect/>
                    <a:stretch>
                      <a:fillRect/>
                    </a:stretch>
                  </pic:blipFill>
                  <pic:spPr bwMode="auto">
                    <a:xfrm>
                      <a:off x="0" y="0"/>
                      <a:ext cx="4737735" cy="635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10160</wp:posOffset>
            </wp:positionV>
            <wp:extent cx="473773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0">
                      <a:extLst>
                        <a:ext uri="{28A0092B-C50C-407E-A947-70E740481C1C}"/>
                      </a:extLst>
                    </a:blip>
                    <a:srcRect/>
                    <a:stretch>
                      <a:fillRect/>
                    </a:stretch>
                  </pic:blipFill>
                  <pic:spPr bwMode="auto">
                    <a:xfrm>
                      <a:off x="0" y="0"/>
                      <a:ext cx="4737735" cy="63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Book-Entry Transfer Facility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10160</wp:posOffset>
            </wp:positionV>
            <wp:extent cx="532511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1">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Employer Identification or Social Security Number: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38735</wp:posOffset>
            </wp:positionV>
            <wp:extent cx="532511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2">
                      <a:extLst>
                        <a:ext uri="{28A0092B-C50C-407E-A947-70E740481C1C}"/>
                      </a:extLst>
                    </a:blip>
                    <a:srcRect/>
                    <a:stretch>
                      <a:fillRect/>
                    </a:stretch>
                  </pic:blipFill>
                  <pic:spPr bwMode="auto">
                    <a:xfrm>
                      <a:off x="0" y="0"/>
                      <a:ext cx="5325110" cy="6350"/>
                    </a:xfrm>
                    <a:prstGeom prst="rect">
                      <a:avLst/>
                    </a:prstGeom>
                    <a:noFill/>
                  </pic:spPr>
                </pic:pic>
              </a:graphicData>
            </a:graphic>
          </wp:anchor>
        </w:drawing>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REGISTERED HOLDER(S) OF OLD NOTES SIGN HERE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addition, complete the attached Form W-9)</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10160</wp:posOffset>
            </wp:positionV>
            <wp:extent cx="521398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3">
                      <a:extLst>
                        <a:ext uri="{28A0092B-C50C-407E-A947-70E740481C1C}"/>
                      </a:extLst>
                    </a:blip>
                    <a:srcRect/>
                    <a:stretch>
                      <a:fillRect/>
                    </a:stretch>
                  </pic:blipFill>
                  <pic:spPr bwMode="auto">
                    <a:xfrm>
                      <a:off x="0" y="0"/>
                      <a:ext cx="5213985" cy="635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10160</wp:posOffset>
            </wp:positionV>
            <wp:extent cx="521398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4">
                      <a:extLst>
                        <a:ext uri="{28A0092B-C50C-407E-A947-70E740481C1C}"/>
                      </a:extLst>
                    </a:blip>
                    <a:srcRect/>
                    <a:stretch>
                      <a:fillRect/>
                    </a:stretch>
                  </pic:blipFill>
                  <pic:spPr bwMode="auto">
                    <a:xfrm>
                      <a:off x="0" y="0"/>
                      <a:ext cx="5213985" cy="6350"/>
                    </a:xfrm>
                    <a:prstGeom prst="rect">
                      <a:avLst/>
                    </a:prstGeom>
                    <a:noFill/>
                  </pic:spPr>
                </pic:pic>
              </a:graphicData>
            </a:graphic>
          </wp:anchor>
        </w:drawing>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Dated:    , [2025]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6" w:right="1440" w:bottom="1440" w:gutter="0" w:footer="0" w:header="0"/>
        </w:sectPr>
      </w:pPr>
    </w:p>
    <w:bookmarkStart w:id="144" w:name="page145"/>
    <w:bookmarkEnd w:id="144"/>
    <w:p>
      <w:pPr>
        <w:ind w:left="320" w:right="4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Must be signed by registered Holder(s) exactly as name(s) appear(s) on the Old Notes or on a security position listing as the owner of the Old Notes or by person(s) authorized to become registered Holder(s) by properly completed bond powers transmitted herewith. If signature is by attorney-in-fact, trustee, executor, administrator, guardian, officer of a corporation or other person acting in a fiduciary capacity, please provide the following information. (Please print or type:)</w:t>
      </w:r>
    </w:p>
    <w:p>
      <w:pPr>
        <w:spacing w:after="0" w:line="14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Name and Capacity (full title)</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Address (including zip code)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(Area Code and Telephone Number)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(Taxpayer Identification or Social Security No.)</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 [2025]</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 GUARANTEE</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(If Required—See Instruction 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of Representative of Signature Guarantor)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and Title)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of Plan)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(Area Code and Telephone Number)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 [2025]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INSTRUCTIONS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Forming Part of the Terms and Conditions of the Exchange Offer</w:t>
      </w:r>
    </w:p>
    <w:p>
      <w:pPr>
        <w:spacing w:after="0" w:line="168" w:lineRule="exact"/>
        <w:rPr>
          <w:sz w:val="20"/>
          <w:szCs w:val="20"/>
          <w:color w:val="auto"/>
        </w:rPr>
      </w:pPr>
    </w:p>
    <w:p>
      <w:pPr>
        <w:ind w:left="320" w:right="419" w:hanging="9"/>
        <w:spacing w:after="0" w:line="250" w:lineRule="auto"/>
        <w:tabs>
          <w:tab w:leader="none" w:pos="45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Delivery of this Letter of Transmittal and Certificates</w:t>
      </w:r>
      <w:r>
        <w:rPr>
          <w:rFonts w:ascii="Times New Roman" w:cs="Times New Roman" w:eastAsia="Times New Roman" w:hAnsi="Times New Roman"/>
          <w:sz w:val="14"/>
          <w:szCs w:val="14"/>
          <w:color w:val="auto"/>
        </w:rPr>
        <w:t>. All physically delivered Old Notes or confirmation of any book-entry transfer, as well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properly completed and duly executed copy of this Letter of Transmittal or facsimile thereof, and any other documents required by this Letter of Transmittal, must be received by the Exchange Agent at its address set forth herein on or prior to expiration of the Exchange Offer (the “Expiration Date”). The method of delivery of this Letter of Transmittal, the Old Notes and any other required documents is at the election and risk of the Holder, and except as otherwise provided below, the delivery will be deemed made only when actually received by the Exchange Agent. If such delivery is by mail, it is suggested that registered mail with return receipt requested, properly insured, be used.</w:t>
      </w:r>
    </w:p>
    <w:p>
      <w:pPr>
        <w:spacing w:after="0" w:line="149" w:lineRule="exact"/>
        <w:rPr>
          <w:sz w:val="20"/>
          <w:szCs w:val="20"/>
          <w:color w:val="auto"/>
        </w:rPr>
      </w:pPr>
    </w:p>
    <w:p>
      <w:pPr>
        <w:ind w:left="320" w:right="819"/>
        <w:spacing w:after="0" w:line="256" w:lineRule="auto"/>
        <w:rPr>
          <w:sz w:val="20"/>
          <w:szCs w:val="20"/>
          <w:color w:val="auto"/>
        </w:rPr>
      </w:pPr>
      <w:r>
        <w:rPr>
          <w:rFonts w:ascii="Times New Roman" w:cs="Times New Roman" w:eastAsia="Times New Roman" w:hAnsi="Times New Roman"/>
          <w:sz w:val="14"/>
          <w:szCs w:val="14"/>
          <w:color w:val="auto"/>
        </w:rPr>
        <w:t>No alternative, conditional, irregular or contingent tenders will be accepted. All tendering Holders, by execution of this Letter of Transmittal (or facsimile thereof) or otherwise complying with the tender procedures set forth in the Prospectus, shall waive any right to receive notice of the acceptance of the Old Notes for exchange.</w:t>
      </w:r>
    </w:p>
    <w:p>
      <w:pPr>
        <w:spacing w:after="0" w:line="143" w:lineRule="exact"/>
        <w:rPr>
          <w:sz w:val="20"/>
          <w:szCs w:val="20"/>
          <w:color w:val="auto"/>
        </w:rPr>
      </w:pPr>
    </w:p>
    <w:p>
      <w:pPr>
        <w:ind w:left="320" w:right="339"/>
        <w:spacing w:after="0" w:line="267" w:lineRule="auto"/>
        <w:rPr>
          <w:sz w:val="20"/>
          <w:szCs w:val="20"/>
          <w:color w:val="auto"/>
        </w:rPr>
      </w:pPr>
      <w:r>
        <w:rPr>
          <w:rFonts w:ascii="Times New Roman" w:cs="Times New Roman" w:eastAsia="Times New Roman" w:hAnsi="Times New Roman"/>
          <w:sz w:val="14"/>
          <w:szCs w:val="14"/>
          <w:color w:val="auto"/>
        </w:rPr>
        <w:t>Delivery to an address other than as set forth herein, or instructions via a facsimile number other than the ones set forth herein, will not constitute a valid delivery.</w:t>
      </w:r>
    </w:p>
    <w:p>
      <w:pPr>
        <w:spacing w:after="0" w:line="131" w:lineRule="exact"/>
        <w:rPr>
          <w:sz w:val="20"/>
          <w:szCs w:val="20"/>
          <w:color w:val="auto"/>
        </w:rPr>
      </w:pPr>
    </w:p>
    <w:p>
      <w:pPr>
        <w:ind w:left="320" w:right="479" w:hanging="9"/>
        <w:spacing w:after="0" w:line="252" w:lineRule="auto"/>
        <w:tabs>
          <w:tab w:leader="none" w:pos="457"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Partial Tenders; Withdrawals</w:t>
      </w:r>
      <w:r>
        <w:rPr>
          <w:rFonts w:ascii="Times New Roman" w:cs="Times New Roman" w:eastAsia="Times New Roman" w:hAnsi="Times New Roman"/>
          <w:sz w:val="14"/>
          <w:szCs w:val="14"/>
          <w:color w:val="auto"/>
        </w:rPr>
        <w:t>. If less than the entire principal amount of Old Notes evidenced by a submitted certificate is tendered, the tendering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 should fill in the principal amount tendered in the column entitled “Principal Amount Tendered” in the box entitled “Description of 5.875% Senior Notes due 2033 Tendered Hereby”. A newly issued Old Note for the principal amount of Old Notes submitted but not tendered will be sent to such Holder as soon as practicable after the Expiration Date. All Old Notes delivered to the Exchange Agent will be deemed to have been tendered in full unless otherwise indicated.</w:t>
      </w:r>
    </w:p>
    <w:p>
      <w:pPr>
        <w:spacing w:after="0" w:line="145" w:lineRule="exact"/>
        <w:rPr>
          <w:sz w:val="20"/>
          <w:szCs w:val="20"/>
          <w:color w:val="auto"/>
        </w:rPr>
      </w:pPr>
    </w:p>
    <w:p>
      <w:pPr>
        <w:ind w:left="320" w:right="339"/>
        <w:spacing w:after="0" w:line="246" w:lineRule="auto"/>
        <w:rPr>
          <w:sz w:val="20"/>
          <w:szCs w:val="20"/>
          <w:color w:val="auto"/>
        </w:rPr>
      </w:pPr>
      <w:r>
        <w:rPr>
          <w:rFonts w:ascii="Times New Roman" w:cs="Times New Roman" w:eastAsia="Times New Roman" w:hAnsi="Times New Roman"/>
          <w:sz w:val="14"/>
          <w:szCs w:val="14"/>
          <w:color w:val="auto"/>
        </w:rPr>
        <w:t>Old Notes tendered pursuant to the Exchange Offer may be withdrawn at any time prior to the Expiration Date, after which tenders of Old Notes are irrevocable. To be effective, a written, telegraphic or facsimile transmission notice of withdrawal must be timely received by the Exchange Agent or the Holder must otherwise comply with the withdrawal procedures of DTC as described in the Prospectus. Any such notice of withdrawal must (i) specify the name of the person having deposited the Old Notes to be withdrawn (the “Depositor”), (ii) identify the Old Notes to be withdrawn (including the registration number(s) and principal amount of such Old Notes, or, in the case of Old Notes transferred by book-entry transfer, the name and number of the account at DTC to be credited), (iii) be signed by the Holder in the same manner as the original signature on this Letter of Transmittal (including any required signature guarantees) or be accompanied by documents of transfer sufficient to have the Trustee with respect to the Old Notes register the transfer of such Old Notes into the name of the person withdrawing the tender and (iv) specify the name in which any such Old Notes are to be registered, if different from that of the Depositor. All questions as to the validity, form and eligibility (including time of receipt) of such notices will be determined by the Company, whose determination shall be final and binding on all parties. Any Old Notes so withdrawn will be deemed not to have been validly tendered for purposes of the Exchange Offer and no New Notes will be issued with respect thereto unless the Old Notes so withdrawn are validly retendered. Any Old Notes which have been tendered but which are not accepted for exchange will be returned to the Holder thereof without cost to such Holder as soon as practicable after withdrawal, rejection of tender or termination of the Exchange Offer.</w:t>
      </w:r>
    </w:p>
    <w:p>
      <w:pPr>
        <w:spacing w:after="0" w:line="153" w:lineRule="exact"/>
        <w:rPr>
          <w:sz w:val="20"/>
          <w:szCs w:val="20"/>
          <w:color w:val="auto"/>
        </w:rPr>
      </w:pPr>
    </w:p>
    <w:p>
      <w:pPr>
        <w:ind w:left="320" w:right="519" w:hanging="9"/>
        <w:spacing w:after="0" w:line="254" w:lineRule="auto"/>
        <w:tabs>
          <w:tab w:leader="none" w:pos="457"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Signature on this Letter of Transmittal; Written Instruments and Endorsements; Guarantee of Signatures. </w:t>
      </w:r>
      <w:r>
        <w:rPr>
          <w:rFonts w:ascii="Times New Roman" w:cs="Times New Roman" w:eastAsia="Times New Roman" w:hAnsi="Times New Roman"/>
          <w:sz w:val="14"/>
          <w:szCs w:val="14"/>
          <w:color w:val="auto"/>
        </w:rPr>
        <w:t>If this Letter of Transmittal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signed by the registered Holder(s) of the Old Notes tendered hereby, the signature must correspond with the name(s) as written on the face of the certificates without alteration or any change whatsoever. If this Letter of Transmittal is signed by a participant in DTC, the signature must correspond with the name as it appears on the security position listing as the owner of the Old Notes.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6" w:right="1440" w:bottom="1440" w:gutter="0" w:footer="0" w:header="0"/>
        </w:sectPr>
      </w:pPr>
    </w:p>
    <w:bookmarkStart w:id="146" w:name="page147"/>
    <w:bookmarkEnd w:id="146"/>
    <w:p>
      <w:pPr>
        <w:ind w:left="3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If any of the Old Notes tendered hereby are owned of record by two or more joint owners, all such owners must sign this Letter of Transmittal.</w:t>
      </w:r>
    </w:p>
    <w:p>
      <w:pPr>
        <w:spacing w:after="0" w:line="168" w:lineRule="exact"/>
        <w:rPr>
          <w:sz w:val="20"/>
          <w:szCs w:val="20"/>
          <w:color w:val="auto"/>
        </w:rPr>
      </w:pPr>
    </w:p>
    <w:p>
      <w:pPr>
        <w:ind w:left="320" w:right="539"/>
        <w:spacing w:after="0" w:line="267" w:lineRule="auto"/>
        <w:rPr>
          <w:sz w:val="20"/>
          <w:szCs w:val="20"/>
          <w:color w:val="auto"/>
        </w:rPr>
      </w:pPr>
      <w:r>
        <w:rPr>
          <w:rFonts w:ascii="Times New Roman" w:cs="Times New Roman" w:eastAsia="Times New Roman" w:hAnsi="Times New Roman"/>
          <w:sz w:val="14"/>
          <w:szCs w:val="14"/>
          <w:color w:val="auto"/>
        </w:rPr>
        <w:t>If a number of Old Notes registered in different names are tendered, it will be necessary to complete, sign and submit as many separate copies of this Letter of Transmittal as there are different registrations of Old Notes.</w:t>
      </w:r>
    </w:p>
    <w:p>
      <w:pPr>
        <w:spacing w:after="0" w:line="135"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Signatures on this Letter of Transmittal or a notice of withdrawal, as the case may be, must be guaranteed by an “eligible guarantor institution” within the meaning of Rule 17Ad-15 under the Exchange Act (an “Eligible Institution”), unless the Old Notes tendered hereby are tendered (i) by a registered Holder who has not completed the box entitled “Special Registration Instructions” or “Special Delivery Instructions” on the Letter of Transmittal or (ii) for the account of an Eligible Institution.</w:t>
      </w:r>
    </w:p>
    <w:p>
      <w:pPr>
        <w:spacing w:after="0" w:line="146" w:lineRule="exact"/>
        <w:rPr>
          <w:sz w:val="20"/>
          <w:szCs w:val="20"/>
          <w:color w:val="auto"/>
        </w:rPr>
      </w:pPr>
    </w:p>
    <w:p>
      <w:pPr>
        <w:ind w:left="320" w:right="339"/>
        <w:spacing w:after="0" w:line="271" w:lineRule="auto"/>
        <w:rPr>
          <w:sz w:val="20"/>
          <w:szCs w:val="20"/>
          <w:color w:val="auto"/>
        </w:rPr>
      </w:pPr>
      <w:r>
        <w:rPr>
          <w:rFonts w:ascii="Times New Roman" w:cs="Times New Roman" w:eastAsia="Times New Roman" w:hAnsi="Times New Roman"/>
          <w:sz w:val="13"/>
          <w:szCs w:val="13"/>
          <w:color w:val="auto"/>
        </w:rPr>
        <w:t>If this Letter of Transmittal is signed by the registered Holder or Holders of Old Notes (which term, for the purposes described herein, shall include a participant in DTC whose name appears on a security listing as the owner of the Old Notes) listed and tendered hereby, no endorsements of the tendered Old Notes or separate written instruments of transfer or exchange are required. In any other case, the registered Holder (or acting Holder) must either properly endorse the Old Notes or transmit properly completed bond powers with this Letter of Transmittal (in either case, executed exactly as the name(s) of the registered Holder(s) appear(s) on the Old Notes, and, with respect to a participant in DTC whose name appears on a security position listing as the owner of Old Notes, exactly as the name of the participant appears on such security position listing), with the signature on the Old Notes or bond power guaranteed by an Eligible Institution (except where the Old Notes are tendered for the account of an Eligible Institution).</w:t>
      </w:r>
    </w:p>
    <w:p>
      <w:pPr>
        <w:spacing w:after="0" w:line="134" w:lineRule="exact"/>
        <w:rPr>
          <w:sz w:val="20"/>
          <w:szCs w:val="20"/>
          <w:color w:val="auto"/>
        </w:rPr>
      </w:pPr>
    </w:p>
    <w:p>
      <w:pPr>
        <w:jc w:val="both"/>
        <w:ind w:left="320" w:right="579"/>
        <w:spacing w:after="0" w:line="285" w:lineRule="auto"/>
        <w:rPr>
          <w:sz w:val="20"/>
          <w:szCs w:val="20"/>
          <w:color w:val="auto"/>
        </w:rPr>
      </w:pPr>
      <w:r>
        <w:rPr>
          <w:rFonts w:ascii="Times New Roman" w:cs="Times New Roman" w:eastAsia="Times New Roman" w:hAnsi="Times New Roman"/>
          <w:sz w:val="13"/>
          <w:szCs w:val="13"/>
          <w:color w:val="auto"/>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Company, proper evidence satisfactory to the Company of their authority to so act must be submitted.</w:t>
      </w:r>
    </w:p>
    <w:p>
      <w:pPr>
        <w:spacing w:after="0" w:line="121" w:lineRule="exact"/>
        <w:rPr>
          <w:sz w:val="20"/>
          <w:szCs w:val="20"/>
          <w:color w:val="auto"/>
        </w:rPr>
      </w:pPr>
    </w:p>
    <w:p>
      <w:pPr>
        <w:ind w:left="320" w:right="319" w:hanging="9"/>
        <w:spacing w:after="0" w:line="252" w:lineRule="auto"/>
        <w:tabs>
          <w:tab w:leader="none" w:pos="45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Special Registration and Delivery Instructions</w:t>
      </w:r>
      <w:r>
        <w:rPr>
          <w:rFonts w:ascii="Times New Roman" w:cs="Times New Roman" w:eastAsia="Times New Roman" w:hAnsi="Times New Roman"/>
          <w:sz w:val="14"/>
          <w:szCs w:val="14"/>
          <w:color w:val="auto"/>
        </w:rPr>
        <w:t>. Tendering Holders should indicate, in the applicable box, the name and address (or account at DTC,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applicable) in which the New Notes or substitute Old Notes for principal amounts not tendered or not accepted for exchange are to be issued (or deposited), if different from the names and addresses or accounts of the person signing this Letter of Transmittal. In the case of issuance in a different name, the employer identification number or social security number of the person named must also be indicated and the tendering Holder should complete the applicable box.</w:t>
      </w:r>
    </w:p>
    <w:p>
      <w:pPr>
        <w:spacing w:after="0" w:line="145" w:lineRule="exact"/>
        <w:rPr>
          <w:sz w:val="20"/>
          <w:szCs w:val="20"/>
          <w:color w:val="auto"/>
        </w:rPr>
      </w:pPr>
    </w:p>
    <w:p>
      <w:pPr>
        <w:ind w:left="320" w:right="399"/>
        <w:spacing w:after="0" w:line="267" w:lineRule="auto"/>
        <w:rPr>
          <w:sz w:val="20"/>
          <w:szCs w:val="20"/>
          <w:color w:val="auto"/>
        </w:rPr>
      </w:pPr>
      <w:r>
        <w:rPr>
          <w:rFonts w:ascii="Times New Roman" w:cs="Times New Roman" w:eastAsia="Times New Roman" w:hAnsi="Times New Roman"/>
          <w:sz w:val="14"/>
          <w:szCs w:val="14"/>
          <w:color w:val="auto"/>
        </w:rPr>
        <w:t>If no instructions are given, the New Notes (and any Old Notes not tendered or not accepted) will be issued in the name of and sent to the acting Holder of the Old Notes or deposited at such Holder’s account at DTC, as applicable.</w:t>
      </w:r>
    </w:p>
    <w:p>
      <w:pPr>
        <w:spacing w:after="0" w:line="131" w:lineRule="exact"/>
        <w:rPr>
          <w:sz w:val="20"/>
          <w:szCs w:val="20"/>
          <w:color w:val="auto"/>
        </w:rPr>
      </w:pPr>
    </w:p>
    <w:p>
      <w:pPr>
        <w:jc w:val="both"/>
        <w:ind w:left="320" w:right="339" w:hanging="9"/>
        <w:spacing w:after="0" w:line="254" w:lineRule="auto"/>
        <w:tabs>
          <w:tab w:leader="none" w:pos="457"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Transfer Taxes</w:t>
      </w:r>
      <w:r>
        <w:rPr>
          <w:rFonts w:ascii="Times New Roman" w:cs="Times New Roman" w:eastAsia="Times New Roman" w:hAnsi="Times New Roman"/>
          <w:sz w:val="14"/>
          <w:szCs w:val="14"/>
          <w:color w:val="auto"/>
        </w:rPr>
        <w:t>. The Company shall pay all transfer taxes, if any, applicable to the transfer and exchange of Old Notes to them or their order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Exchange Offer. If a transfer tax is imposed for any reason other than the transfer and exchange of Old Notes to the Company or its order pursuant to the Exchange Offer, the amount of any such transfer taxes (whether imposed on the registered Holder or any other person) will be payable by the tendering Holder.</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Except as provided in this Instruction 5, it will not be necessary for transfer tax stamps to be affixed to the Old Notes listed in this Letter of Transmittal.</w:t>
      </w:r>
    </w:p>
    <w:p>
      <w:pPr>
        <w:spacing w:after="0" w:line="175" w:lineRule="exact"/>
        <w:rPr>
          <w:sz w:val="20"/>
          <w:szCs w:val="20"/>
          <w:color w:val="auto"/>
        </w:rPr>
      </w:pPr>
    </w:p>
    <w:p>
      <w:pPr>
        <w:ind w:left="320" w:right="799" w:hanging="9"/>
        <w:spacing w:after="0" w:line="273" w:lineRule="auto"/>
        <w:tabs>
          <w:tab w:leader="none" w:pos="45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Waiver of Conditions</w:t>
      </w:r>
      <w:r>
        <w:rPr>
          <w:rFonts w:ascii="Times New Roman" w:cs="Times New Roman" w:eastAsia="Times New Roman" w:hAnsi="Times New Roman"/>
          <w:sz w:val="14"/>
          <w:szCs w:val="14"/>
          <w:color w:val="auto"/>
        </w:rPr>
        <w:t>. The Company reserves the right, in its reasonable judgment, to waive, in whole or in part, any of the conditions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Offer set forth in the Prospectus.</w:t>
      </w:r>
    </w:p>
    <w:p>
      <w:pPr>
        <w:spacing w:after="0" w:line="127" w:lineRule="exact"/>
        <w:rPr>
          <w:rFonts w:ascii="Times New Roman" w:cs="Times New Roman" w:eastAsia="Times New Roman" w:hAnsi="Times New Roman"/>
          <w:sz w:val="14"/>
          <w:szCs w:val="14"/>
          <w:color w:val="auto"/>
        </w:rPr>
      </w:pPr>
    </w:p>
    <w:p>
      <w:pPr>
        <w:ind w:left="320" w:right="439" w:hanging="9"/>
        <w:spacing w:after="0" w:line="273" w:lineRule="auto"/>
        <w:tabs>
          <w:tab w:leader="none" w:pos="45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Mutilated, Lost, Stolen or Destroyed Old Notes</w:t>
      </w:r>
      <w:r>
        <w:rPr>
          <w:rFonts w:ascii="Times New Roman" w:cs="Times New Roman" w:eastAsia="Times New Roman" w:hAnsi="Times New Roman"/>
          <w:sz w:val="14"/>
          <w:szCs w:val="14"/>
          <w:color w:val="auto"/>
        </w:rPr>
        <w:t>. If a Holder’s Old Note(s) has (have) been mutilated, lost, stolen or destroyed, such fact should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indicated on the face of the Letter of Transmittal. In such event, you may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47" w:name="page148"/>
    <w:bookmarkEnd w:id="147"/>
    <w:p>
      <w:pPr>
        <w:jc w:val="both"/>
        <w:ind w:left="320" w:right="51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be required to complete a lost share affidavit and any additional documentation and instructions that may be required by the Exchange Agent and the Company and provide indemnity satisfactory to the Exchange Agent and the Company in order to effectively surrender such mutilated, lost, stolen or destroyed Old Notes.</w:t>
      </w:r>
    </w:p>
    <w:p>
      <w:pPr>
        <w:spacing w:after="0" w:line="139" w:lineRule="exact"/>
        <w:rPr>
          <w:sz w:val="20"/>
          <w:szCs w:val="20"/>
          <w:color w:val="auto"/>
        </w:rPr>
      </w:pPr>
    </w:p>
    <w:p>
      <w:pPr>
        <w:ind w:left="320" w:right="619" w:hanging="9"/>
        <w:spacing w:after="0" w:line="273" w:lineRule="auto"/>
        <w:tabs>
          <w:tab w:leader="none" w:pos="457"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Requests for Assistance or Additional Copies</w:t>
      </w:r>
      <w:r>
        <w:rPr>
          <w:rFonts w:ascii="Times New Roman" w:cs="Times New Roman" w:eastAsia="Times New Roman" w:hAnsi="Times New Roman"/>
          <w:sz w:val="14"/>
          <w:szCs w:val="14"/>
          <w:color w:val="auto"/>
        </w:rPr>
        <w:t>. Questions relating to the procedure for tendering, as well as requests for additional copies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Prospectus and this Letter of Transmittal, may be directed to the Exchange Agent at the address and telephone number(s) set forth above.</w:t>
      </w:r>
    </w:p>
    <w:p>
      <w:pPr>
        <w:spacing w:after="0" w:line="127" w:lineRule="exact"/>
        <w:rPr>
          <w:rFonts w:ascii="Times New Roman" w:cs="Times New Roman" w:eastAsia="Times New Roman" w:hAnsi="Times New Roman"/>
          <w:sz w:val="14"/>
          <w:szCs w:val="14"/>
          <w:color w:val="auto"/>
        </w:rPr>
      </w:pPr>
    </w:p>
    <w:p>
      <w:pPr>
        <w:ind w:left="320" w:right="339" w:hanging="9"/>
        <w:spacing w:after="0" w:line="247" w:lineRule="auto"/>
        <w:tabs>
          <w:tab w:leader="none" w:pos="457"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Validity and Form</w:t>
      </w:r>
      <w:r>
        <w:rPr>
          <w:rFonts w:ascii="Times New Roman" w:cs="Times New Roman" w:eastAsia="Times New Roman" w:hAnsi="Times New Roman"/>
          <w:sz w:val="14"/>
          <w:szCs w:val="14"/>
          <w:color w:val="auto"/>
        </w:rPr>
        <w:t>. All questions as to the validity, form, eligibility (including time of receipt), acceptance of tendered Old Notes and withdrawal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tendered Old Notes will be determined by the Company, which determination will be final and binding. The Company reserves the absolute right to reject any and all Old Notes not properly tendered or any Old Notes the Company’s acceptance of which would, in the opinion of counsel for the Company, be unlawful. The Company also reserves the right, in its reasonable judgment, to waive any defects, irregularities or conditions of tender as to particular Old Notes. The Company’s interpretation of the terms and conditions of the Exchange Offer (including the instructions in this Letter of Transmittal) will be final and binding on all parties. Unless waived, any defects or irregularities in connection with tenders of Old Notes must be cured within such time as the Company shall determine. Although the Company intends to notify Holders of defects or irregularities with respect to tenders of Old Notes, neither the Company, the Exchange Agent nor any other person shall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 as soon as practicable following the Expiration Date.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IMPORTANT TAX INFORMATION</w:t>
      </w:r>
    </w:p>
    <w:p>
      <w:pPr>
        <w:spacing w:after="0" w:line="172" w:lineRule="exact"/>
        <w:rPr>
          <w:sz w:val="20"/>
          <w:szCs w:val="20"/>
          <w:color w:val="auto"/>
        </w:rPr>
      </w:pPr>
    </w:p>
    <w:p>
      <w:pPr>
        <w:ind w:left="320" w:right="319"/>
        <w:spacing w:after="0" w:line="247" w:lineRule="auto"/>
        <w:rPr>
          <w:sz w:val="20"/>
          <w:szCs w:val="20"/>
          <w:color w:val="auto"/>
        </w:rPr>
      </w:pPr>
      <w:r>
        <w:rPr>
          <w:rFonts w:ascii="Times New Roman" w:cs="Times New Roman" w:eastAsia="Times New Roman" w:hAnsi="Times New Roman"/>
          <w:sz w:val="14"/>
          <w:szCs w:val="14"/>
          <w:color w:val="auto"/>
        </w:rPr>
        <w:t>Under current United States federal income tax law, a Holder tendering Old Notes is required to provide the Exchange Agent with such Holder’s correct taxpayer identification number (“TIN”) (generally, a social security number, individual taxpayer identification number, or employer identification number) on the attached Form W-9, and to certify whether the Holder is subject to federal backup withholding and that the Holder is a United States person (as defined under the Internal Revenue Code of 1986, as amended (the “Code”)). If the Exchange Agent is not provided with the correct TIN, the Holder may be subject to a $50 penalty imposed by the IRS. In addition, if (a) the Holder does not furnish the Exchange Agent with a TIN in the required manner, (b) the IRS notifies the Exchange Agent that the TIN provided is incorrect, or (c) the Holder is required but fails to certify that the Holder is not subject to backup withholding, federal backup withholding will apply. If federal backup withholding applies, the Exchange Agent or other payer is required to withhold a percentage (currently 24%) of any reportable payment made to a Holder of Old Notes pursuant to this tender offer as well as any future reportable payment that may be made to a Holder of New Notes. Backup withholding is not an additional federal income tax. Rather, the federal income tax liability of persons subject to backup withholding will be reduced by the amount of tax withheld. If withholding results in an overpayment of taxes, a refund may be obtained from the IRS.</w:t>
      </w:r>
    </w:p>
    <w:p>
      <w:pPr>
        <w:spacing w:after="0" w:line="151" w:lineRule="exact"/>
        <w:rPr>
          <w:sz w:val="20"/>
          <w:szCs w:val="20"/>
          <w:color w:val="auto"/>
        </w:rPr>
      </w:pPr>
    </w:p>
    <w:p>
      <w:pPr>
        <w:ind w:left="320" w:right="539"/>
        <w:spacing w:after="0" w:line="250" w:lineRule="auto"/>
        <w:rPr>
          <w:sz w:val="20"/>
          <w:szCs w:val="20"/>
          <w:color w:val="auto"/>
        </w:rPr>
      </w:pPr>
      <w:r>
        <w:rPr>
          <w:rFonts w:ascii="Times New Roman" w:cs="Times New Roman" w:eastAsia="Times New Roman" w:hAnsi="Times New Roman"/>
          <w:sz w:val="14"/>
          <w:szCs w:val="14"/>
          <w:color w:val="auto"/>
        </w:rPr>
        <w:t>If the Holder has not been issued a TIN and has applied for a TIN or intends to apply for a TIN in the near future, such Holder should write “Applied For” in the space provided for the TIN in Part I of the attached Form W-9, sign and date the Form W-9, and complete the Certificate of Awaiting Taxpayer Identification Number below. If “Applied For” is written in Part I and the Exchange Agent is not provided with a TIN within 60 days, the Exchange Agent will remit any previously withheld amounts to the IRS as backup withholding and will withhold a percentage (currently 24%) of all future reportable payments due to the Holder until the Holder furnishes its TIN to the Exchange Agent.</w:t>
      </w:r>
    </w:p>
    <w:p>
      <w:pPr>
        <w:spacing w:after="0" w:line="148" w:lineRule="exact"/>
        <w:rPr>
          <w:sz w:val="20"/>
          <w:szCs w:val="20"/>
          <w:color w:val="auto"/>
        </w:rPr>
      </w:pPr>
    </w:p>
    <w:p>
      <w:pPr>
        <w:ind w:left="320" w:right="419"/>
        <w:spacing w:after="0" w:line="250" w:lineRule="auto"/>
        <w:rPr>
          <w:sz w:val="20"/>
          <w:szCs w:val="20"/>
          <w:color w:val="auto"/>
        </w:rPr>
      </w:pPr>
      <w:r>
        <w:rPr>
          <w:rFonts w:ascii="Times New Roman" w:cs="Times New Roman" w:eastAsia="Times New Roman" w:hAnsi="Times New Roman"/>
          <w:sz w:val="14"/>
          <w:szCs w:val="14"/>
          <w:color w:val="auto"/>
        </w:rPr>
        <w:t>Certain Holders (including, among others, all corporations and certain non-United States persons) are not subject to these federal backup withholding requirements. Exempt Holders other than non-United States persons (as defined under the Code) should indicate their exempt status on Form W-9 by furnishing their TIN, writing “Exempt” on the face of the form, and signing and dating the form. A non-United States person must provide certification of foreign status as set forth below. See the enclosed Guidelines for Certification of Taxpayer Identification Number on Form W-9 below for additional instructions.</w:t>
      </w:r>
    </w:p>
    <w:p>
      <w:pPr>
        <w:spacing w:after="0" w:line="148" w:lineRule="exact"/>
        <w:rPr>
          <w:sz w:val="20"/>
          <w:szCs w:val="20"/>
          <w:color w:val="auto"/>
        </w:rPr>
      </w:pPr>
    </w:p>
    <w:p>
      <w:pPr>
        <w:ind w:left="320" w:right="399"/>
        <w:spacing w:after="0" w:line="247" w:lineRule="auto"/>
        <w:rPr>
          <w:sz w:val="20"/>
          <w:szCs w:val="20"/>
          <w:color w:val="auto"/>
        </w:rPr>
      </w:pPr>
      <w:r>
        <w:rPr>
          <w:rFonts w:ascii="Times New Roman" w:cs="Times New Roman" w:eastAsia="Times New Roman" w:hAnsi="Times New Roman"/>
          <w:sz w:val="14"/>
          <w:szCs w:val="14"/>
          <w:color w:val="auto"/>
        </w:rPr>
        <w:t>A non-United States person, unless the income or gain earned is effectively connected with a trade or business conducted in the United States by such non-United States person, may qualify as an exempt recipient by submitting to the Exchange Agent a properly completed IRS Form W-8BEN or W-8BEN-E (or other applicable form) signed under penalty of perjury, certifying that the person is a non-United States person and is the beneficial owner of any payment received. Only the beneficial owner of a reportable payment subject to federal backup withholding should use Form W-8BEN or W-8BEN-E (or other applicable form). In general, a person is not a beneficial owner of income if the person is receiving the income as nominee, agent, or custodian, or to the extent the person is a conduit whose participation in the transaction is disregarded. Certain other foreign persons, such as a withholding foreign partnership, withholding foreign trust, or an intermediary, should also not use Form W-8BEN or W-8BEN-E (or other applicable form), but should use an alternate form of a Form W-8. Consult your tax advisor for more information on these alternative forms. Failure to provide Form W-8BEN or W-8BEN-E (or other applicable form) may result in withholding at a 30% rate (foreign person withholding) or federal backup withholding (currently 24%). A Form W-8BEN or W-8BEN-E (or other applicable form) can be obtained from the Exchange Agent or from the IRS website at www.irs.gov.</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6" w:right="1440"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13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0">
                      <a:extLst>
                        <a:ext uri="{28A0092B-C50C-407E-A947-70E740481C1C}"/>
                      </a:extLst>
                    </a:blip>
                    <a:srcRect/>
                    <a:stretch>
                      <a:fillRect/>
                    </a:stretch>
                  </pic:blipFill>
                  <pic:spPr bwMode="auto">
                    <a:xfrm>
                      <a:off x="0" y="0"/>
                      <a:ext cx="7203440" cy="513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11</w:t>
      </w:r>
    </w:p>
    <w:p>
      <w:pPr>
        <w:sectPr>
          <w:pgSz w:w="11900" w:h="16838" w:orient="portrait"/>
          <w:cols w:equalWidth="0" w:num="1">
            <w:col w:w="9019"/>
          </w:cols>
          <w:pgMar w:left="1440" w:top="1440" w:right="1440"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13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1">
                      <a:extLst>
                        <a:ext uri="{28A0092B-C50C-407E-A947-70E740481C1C}"/>
                      </a:extLst>
                    </a:blip>
                    <a:srcRect/>
                    <a:stretch>
                      <a:fillRect/>
                    </a:stretch>
                  </pic:blipFill>
                  <pic:spPr bwMode="auto">
                    <a:xfrm>
                      <a:off x="0" y="0"/>
                      <a:ext cx="7203440" cy="513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13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2">
                      <a:extLst>
                        <a:ext uri="{28A0092B-C50C-407E-A947-70E740481C1C}"/>
                      </a:extLst>
                    </a:blip>
                    <a:srcRect/>
                    <a:stretch>
                      <a:fillRect/>
                    </a:stretch>
                  </pic:blipFill>
                  <pic:spPr bwMode="auto">
                    <a:xfrm>
                      <a:off x="0" y="0"/>
                      <a:ext cx="7203440" cy="513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13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3">
                      <a:extLst>
                        <a:ext uri="{28A0092B-C50C-407E-A947-70E740481C1C}"/>
                      </a:extLst>
                    </a:blip>
                    <a:srcRect/>
                    <a:stretch>
                      <a:fillRect/>
                    </a:stretch>
                  </pic:blipFill>
                  <pic:spPr bwMode="auto">
                    <a:xfrm>
                      <a:off x="0" y="0"/>
                      <a:ext cx="7203440" cy="513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13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4">
                      <a:extLst>
                        <a:ext uri="{28A0092B-C50C-407E-A947-70E740481C1C}"/>
                      </a:extLst>
                    </a:blip>
                    <a:srcRect/>
                    <a:stretch>
                      <a:fillRect/>
                    </a:stretch>
                  </pic:blipFill>
                  <pic:spPr bwMode="auto">
                    <a:xfrm>
                      <a:off x="0" y="0"/>
                      <a:ext cx="7203440" cy="513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513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5">
                      <a:extLst>
                        <a:ext uri="{28A0092B-C50C-407E-A947-70E740481C1C}"/>
                      </a:extLst>
                    </a:blip>
                    <a:srcRect/>
                    <a:stretch>
                      <a:fillRect/>
                    </a:stretch>
                  </pic:blipFill>
                  <pic:spPr bwMode="auto">
                    <a:xfrm>
                      <a:off x="0" y="0"/>
                      <a:ext cx="7203440" cy="513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1440" w:right="1440" w:bottom="1440" w:gutter="0" w:footer="0" w:header="0"/>
        </w:sectPr>
      </w:pPr>
    </w:p>
    <w:bookmarkStart w:id="155" w:name="page156"/>
    <w:bookmarkEnd w:id="155"/>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71755</wp:posOffset>
            </wp:positionV>
            <wp:extent cx="2120900" cy="267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6">
                      <a:extLst>
                        <a:ext uri="{28A0092B-C50C-407E-A947-70E740481C1C}"/>
                      </a:extLst>
                    </a:blip>
                    <a:srcRect/>
                    <a:stretch>
                      <a:fillRect/>
                    </a:stretch>
                  </pic:blipFill>
                  <pic:spPr bwMode="auto">
                    <a:xfrm>
                      <a:off x="0" y="0"/>
                      <a:ext cx="212090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CROWN AMERICAS LLC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LETTER TO HOLDERS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Holders of 5.875% Senior Notes due 2033:</w:t>
      </w:r>
    </w:p>
    <w:p>
      <w:pPr>
        <w:spacing w:after="0" w:line="86" w:lineRule="exact"/>
        <w:rPr>
          <w:sz w:val="20"/>
          <w:szCs w:val="20"/>
          <w:color w:val="auto"/>
        </w:rPr>
      </w:pPr>
    </w:p>
    <w:p>
      <w:pPr>
        <w:ind w:left="320" w:right="319"/>
        <w:spacing w:after="0" w:line="248" w:lineRule="auto"/>
        <w:rPr>
          <w:sz w:val="20"/>
          <w:szCs w:val="20"/>
          <w:color w:val="auto"/>
        </w:rPr>
      </w:pPr>
      <w:r>
        <w:rPr>
          <w:rFonts w:ascii="Times New Roman" w:cs="Times New Roman" w:eastAsia="Times New Roman" w:hAnsi="Times New Roman"/>
          <w:sz w:val="14"/>
          <w:szCs w:val="14"/>
          <w:color w:val="auto"/>
        </w:rPr>
        <w:t>Crown Americas LLC (the “Company”) is offering, upon and subject to the terms and conditions set forth in the Prospectus, dated , 2025 (the “Prospectus”), and the enclosed Letter of Transmittal (the “Letter of Transmittal”), to exchange (the “Exchange Offer”) (i) each $1,000 principal amount of their 5.875% Senior Notes due 2033 (the “New Notes”) that have been registered under the Securities Act of 1933, as amended (the “Securities Act”), pursuant to a registration statement (the “Registration Statement”) of which the Prospectus is a part, for each $1,000 principal amount of their outstanding 5.875% Senior Notes due 2033 (the “Old Notes”), of which $700,000,000 aggregate principal amount is outstanding. The Exchange Offer is being made in order to satisfy certain obligations of the Companies contained in that certain Registration Rights Agreement, dated as of May 27, 2025, Crown Holdings, Inc., the Company, BOFA Securities, Inc. as representative of the initial purchasers, and the Guarantors (as defined therein), relating to the $700 million 5.875% Senior Notes due 2033.</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Briefly, you may either:</w:t>
      </w:r>
    </w:p>
    <w:p>
      <w:pPr>
        <w:spacing w:after="0" w:line="96" w:lineRule="exact"/>
        <w:rPr>
          <w:sz w:val="20"/>
          <w:szCs w:val="20"/>
          <w:color w:val="auto"/>
        </w:rPr>
      </w:pPr>
    </w:p>
    <w:p>
      <w:pPr>
        <w:ind w:left="1060" w:hanging="420"/>
        <w:spacing w:after="0"/>
        <w:tabs>
          <w:tab w:leader="none" w:pos="106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Tender all or some of your Old Notes, along with a completed and executed Letter of Transmittal, and receive New Notes in exchange; or</w:t>
      </w:r>
    </w:p>
    <w:p>
      <w:pPr>
        <w:spacing w:after="0" w:line="107" w:lineRule="exact"/>
        <w:rPr>
          <w:rFonts w:ascii="Times New Roman" w:cs="Times New Roman" w:eastAsia="Times New Roman" w:hAnsi="Times New Roman"/>
          <w:sz w:val="13"/>
          <w:szCs w:val="13"/>
          <w:color w:val="auto"/>
        </w:rPr>
      </w:pPr>
    </w:p>
    <w:p>
      <w:pPr>
        <w:ind w:left="1060" w:hanging="420"/>
        <w:spacing w:after="0"/>
        <w:tabs>
          <w:tab w:leader="none" w:pos="10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 your Old Notes.</w:t>
      </w:r>
    </w:p>
    <w:p>
      <w:pPr>
        <w:spacing w:after="0" w:line="168" w:lineRule="exact"/>
        <w:rPr>
          <w:sz w:val="20"/>
          <w:szCs w:val="20"/>
          <w:color w:val="auto"/>
        </w:rPr>
      </w:pPr>
    </w:p>
    <w:p>
      <w:pPr>
        <w:ind w:left="320" w:right="999"/>
        <w:spacing w:after="0" w:line="267" w:lineRule="auto"/>
        <w:rPr>
          <w:sz w:val="20"/>
          <w:szCs w:val="20"/>
          <w:color w:val="auto"/>
        </w:rPr>
      </w:pPr>
      <w:r>
        <w:rPr>
          <w:rFonts w:ascii="Times New Roman" w:cs="Times New Roman" w:eastAsia="Times New Roman" w:hAnsi="Times New Roman"/>
          <w:sz w:val="14"/>
          <w:szCs w:val="14"/>
          <w:color w:val="auto"/>
        </w:rPr>
        <w:t>All tendered Existing Notes must be received on or prior to 2025 at 5:00 p.m., New York City Time (the “Expiration Date”), as shown in the accompanying Prospectus.</w:t>
      </w:r>
    </w:p>
    <w:p>
      <w:pPr>
        <w:spacing w:after="0" w:line="135" w:lineRule="exact"/>
        <w:rPr>
          <w:sz w:val="20"/>
          <w:szCs w:val="20"/>
          <w:color w:val="auto"/>
        </w:rPr>
      </w:pPr>
    </w:p>
    <w:p>
      <w:pPr>
        <w:ind w:left="320" w:right="559"/>
        <w:spacing w:after="0" w:line="306" w:lineRule="auto"/>
        <w:rPr>
          <w:sz w:val="20"/>
          <w:szCs w:val="20"/>
          <w:color w:val="auto"/>
        </w:rPr>
      </w:pPr>
      <w:r>
        <w:rPr>
          <w:rFonts w:ascii="Times New Roman" w:cs="Times New Roman" w:eastAsia="Times New Roman" w:hAnsi="Times New Roman"/>
          <w:sz w:val="13"/>
          <w:szCs w:val="13"/>
          <w:color w:val="auto"/>
        </w:rPr>
        <w:t>Please review the enclosed Letter of Transmittal and Prospectus carefully. If you have any questions on the terms of the Exchange Offer or questions regarding the appropriate procedures for tendering your Existing Notes and the Letter of Transmittal, please call (800) 934-6802 or write: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 Fillmore Avenue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 Paul, MN 55107-1402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Specialized Finance</w:t>
      </w:r>
    </w:p>
    <w:p>
      <w:pPr>
        <w:sectPr>
          <w:pgSz w:w="11900" w:h="16838" w:orient="portrait"/>
          <w:cols w:equalWidth="0" w:num="1">
            <w:col w:w="9019"/>
          </w:cols>
          <w:pgMar w:left="1440" w:top="123" w:right="1440" w:bottom="1440" w:gutter="0" w:footer="0" w:header="0"/>
        </w:sectPr>
      </w:pPr>
    </w:p>
    <w:bookmarkStart w:id="156" w:name="page157"/>
    <w:bookmarkEnd w:id="156"/>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99.c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71755</wp:posOffset>
            </wp:positionV>
            <wp:extent cx="2120900" cy="267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7">
                      <a:extLst>
                        <a:ext uri="{28A0092B-C50C-407E-A947-70E740481C1C}"/>
                      </a:extLst>
                    </a:blip>
                    <a:srcRect/>
                    <a:stretch>
                      <a:fillRect/>
                    </a:stretch>
                  </pic:blipFill>
                  <pic:spPr bwMode="auto">
                    <a:xfrm>
                      <a:off x="0" y="0"/>
                      <a:ext cx="212090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CROWN AMERICAS LLC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LETTER TO BROKERS, DEALERS AND OTHER NOMINEES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OFFER TO EXCHANGE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 outstanding 5.875% Senior Notes Due 2033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5.875% Senior Notes Due 2033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that have been registered under the Securities Act of 1933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144A CUSIP Number: 228180 AC9</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Regulation S CUSIP Number: U20330 AB9</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Brokers, Dealers, Commercial Banks, Trust Companies and Other Nominees:</w:t>
      </w:r>
    </w:p>
    <w:p>
      <w:pPr>
        <w:spacing w:after="0" w:line="86" w:lineRule="exact"/>
        <w:rPr>
          <w:sz w:val="20"/>
          <w:szCs w:val="20"/>
          <w:color w:val="auto"/>
        </w:rPr>
      </w:pPr>
    </w:p>
    <w:p>
      <w:pPr>
        <w:ind w:left="320" w:right="359"/>
        <w:spacing w:after="0" w:line="248" w:lineRule="auto"/>
        <w:rPr>
          <w:sz w:val="20"/>
          <w:szCs w:val="20"/>
          <w:color w:val="auto"/>
        </w:rPr>
      </w:pPr>
      <w:r>
        <w:rPr>
          <w:rFonts w:ascii="Times New Roman" w:cs="Times New Roman" w:eastAsia="Times New Roman" w:hAnsi="Times New Roman"/>
          <w:sz w:val="14"/>
          <w:szCs w:val="14"/>
          <w:color w:val="auto"/>
        </w:rPr>
        <w:t>Crown Americas LLC (the “Company”) is offering, upon and subject to the terms and conditions set forth in the Prospectus, dated 2025 (the “Prospectus”), and the enclosed Letter of Transmittal (the “Letter of Transmittal”), to exchange (the “Exchange Offer”) each $1,000 principal amount of their 5.875% Senior Notes due 2033 that have been registered under the Securities Act of 1933, as amended (the “Securities Act”), pursuant to a registration statement (the “Registration Statement”) of which the Prospectus is a part, for each $1,000 principal amount of their outstanding 5.875% Senior Notes due 2033 (the “Old Notes”), of which $500 million aggregate principal amount is outstanding. The Exchange Offer is being made in order to satisfy certain obligations of the Company contained in that certain Registration Rights Agreement, dated as of May 27, 2025, Crown Holdings, Inc., the Company, each of BOFA Securities, Inc. as representative of the initial purchasers, and the Guarantors (as defined therein), relating to the $700 million 5.875% Senior Notes due 2033.</w:t>
      </w:r>
    </w:p>
    <w:p>
      <w:pPr>
        <w:spacing w:after="0" w:line="149" w:lineRule="exact"/>
        <w:rPr>
          <w:sz w:val="20"/>
          <w:szCs w:val="20"/>
          <w:color w:val="auto"/>
        </w:rPr>
      </w:pPr>
    </w:p>
    <w:p>
      <w:pPr>
        <w:ind w:left="320" w:right="319"/>
        <w:spacing w:after="0" w:line="267" w:lineRule="auto"/>
        <w:rPr>
          <w:sz w:val="20"/>
          <w:szCs w:val="20"/>
          <w:color w:val="auto"/>
        </w:rPr>
      </w:pPr>
      <w:r>
        <w:rPr>
          <w:rFonts w:ascii="Times New Roman" w:cs="Times New Roman" w:eastAsia="Times New Roman" w:hAnsi="Times New Roman"/>
          <w:sz w:val="14"/>
          <w:szCs w:val="14"/>
          <w:color w:val="auto"/>
        </w:rPr>
        <w:t>We are asking you to contact your clients for whom you hold Old Notes registered in your name or in the name of your nominee. In addition, we ask you to contact your clients who, to your knowledge, hold Old Notes registered in their own name.</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Enclosed are copies of the following documents:</w:t>
      </w:r>
    </w:p>
    <w:p>
      <w:pPr>
        <w:spacing w:after="0" w:line="96" w:lineRule="exact"/>
        <w:rPr>
          <w:sz w:val="20"/>
          <w:szCs w:val="20"/>
          <w:color w:val="auto"/>
        </w:rPr>
      </w:pPr>
    </w:p>
    <w:p>
      <w:pPr>
        <w:ind w:left="1060" w:hanging="420"/>
        <w:spacing w:after="0"/>
        <w:tabs>
          <w:tab w:leader="none" w:pos="10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w:t>
      </w:r>
    </w:p>
    <w:p>
      <w:pPr>
        <w:spacing w:after="0" w:line="95" w:lineRule="exact"/>
        <w:rPr>
          <w:rFonts w:ascii="Times New Roman" w:cs="Times New Roman" w:eastAsia="Times New Roman" w:hAnsi="Times New Roman"/>
          <w:sz w:val="14"/>
          <w:szCs w:val="14"/>
          <w:color w:val="auto"/>
        </w:rPr>
      </w:pPr>
    </w:p>
    <w:p>
      <w:pPr>
        <w:ind w:left="1060" w:right="399" w:hanging="420"/>
        <w:spacing w:after="0" w:line="267" w:lineRule="auto"/>
        <w:tabs>
          <w:tab w:leader="none" w:pos="10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Letter of Transmittal for your use in connection with the exchange of Old Notes and for the information of your clients (facsimile copies of the Letter of Transmittal may be used to exchange Old Notes);</w:t>
      </w:r>
    </w:p>
    <w:p>
      <w:pPr>
        <w:spacing w:after="0" w:line="63" w:lineRule="exact"/>
        <w:rPr>
          <w:rFonts w:ascii="Times New Roman" w:cs="Times New Roman" w:eastAsia="Times New Roman" w:hAnsi="Times New Roman"/>
          <w:sz w:val="14"/>
          <w:szCs w:val="14"/>
          <w:color w:val="auto"/>
        </w:rPr>
      </w:pPr>
    </w:p>
    <w:p>
      <w:pPr>
        <w:ind w:left="1060" w:right="739" w:hanging="420"/>
        <w:spacing w:after="0" w:line="267" w:lineRule="auto"/>
        <w:tabs>
          <w:tab w:leader="none" w:pos="10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letter that may be sent to your clients for whose accounts you hold Old Notes registered in your name or the name of your nominee, with space provided for obtaining the clients’ instructions with regard to the Exchange Offer;</w:t>
      </w:r>
    </w:p>
    <w:p>
      <w:pPr>
        <w:spacing w:after="0" w:line="63" w:lineRule="exact"/>
        <w:rPr>
          <w:rFonts w:ascii="Times New Roman" w:cs="Times New Roman" w:eastAsia="Times New Roman" w:hAnsi="Times New Roman"/>
          <w:sz w:val="14"/>
          <w:szCs w:val="14"/>
          <w:color w:val="auto"/>
        </w:rPr>
      </w:pPr>
    </w:p>
    <w:p>
      <w:pPr>
        <w:ind w:left="1060" w:hanging="420"/>
        <w:spacing w:after="0"/>
        <w:tabs>
          <w:tab w:leader="none" w:pos="10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guidelines of the Internal Revenue Service for Certification of Taxpayer Identification Number on Substitute Form W-9; and</w:t>
      </w:r>
    </w:p>
    <w:p>
      <w:pPr>
        <w:spacing w:after="0" w:line="95" w:lineRule="exact"/>
        <w:rPr>
          <w:rFonts w:ascii="Times New Roman" w:cs="Times New Roman" w:eastAsia="Times New Roman" w:hAnsi="Times New Roman"/>
          <w:sz w:val="14"/>
          <w:szCs w:val="14"/>
          <w:color w:val="auto"/>
        </w:rPr>
      </w:pPr>
    </w:p>
    <w:p>
      <w:pPr>
        <w:ind w:left="1060" w:hanging="420"/>
        <w:spacing w:after="0"/>
        <w:tabs>
          <w:tab w:leader="none" w:pos="10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return envelope addressed to U.S. Bank National Association, the Exchange Agent.</w:t>
      </w:r>
    </w:p>
    <w:p>
      <w:pPr>
        <w:spacing w:after="0" w:line="168" w:lineRule="exact"/>
        <w:rPr>
          <w:sz w:val="20"/>
          <w:szCs w:val="20"/>
          <w:color w:val="auto"/>
        </w:rPr>
      </w:pPr>
    </w:p>
    <w:p>
      <w:pPr>
        <w:ind w:left="320" w:right="439"/>
        <w:spacing w:after="0" w:line="285" w:lineRule="auto"/>
        <w:rPr>
          <w:sz w:val="20"/>
          <w:szCs w:val="20"/>
          <w:color w:val="auto"/>
        </w:rPr>
      </w:pPr>
      <w:r>
        <w:rPr>
          <w:rFonts w:ascii="Times New Roman" w:cs="Times New Roman" w:eastAsia="Times New Roman" w:hAnsi="Times New Roman"/>
          <w:sz w:val="13"/>
          <w:szCs w:val="13"/>
          <w:color w:val="auto"/>
        </w:rPr>
        <w:t>YOUR PROMPT ACTION IS REQUESTED. THE EXCHANGE OFFER WILL EXPIRE AT 5:00 P.M., NEW YORK CITY TIME, ON 2025, UNLESS EXTENDED (THE “EXPIRATION DATE”). OLD NOTES TENDERED PURSUANT TO THE EXCHANGE OFFER MAY BE WITHDRAWN, SUBJECT TO THE PROCEDURES DESCRIBED IN THE PROSPECTUS, AT ANY TIME PRIOR TO THE EXPIRATION DATE.</w:t>
      </w:r>
    </w:p>
    <w:p>
      <w:pPr>
        <w:sectPr>
          <w:pgSz w:w="11900" w:h="16838" w:orient="portrait"/>
          <w:cols w:equalWidth="0" w:num="1">
            <w:col w:w="9019"/>
          </w:cols>
          <w:pgMar w:left="1440" w:top="123" w:right="1440" w:bottom="1440" w:gutter="0" w:footer="0" w:header="0"/>
        </w:sectPr>
      </w:pPr>
    </w:p>
    <w:bookmarkStart w:id="157" w:name="page158"/>
    <w:bookmarkEnd w:id="157"/>
    <w:p>
      <w:pPr>
        <w:ind w:left="320" w:right="45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To tender Old Notes, certificates for Old Notes or a book-entry confirmation (see “The Exchange Offer” in the Prospectus), a duly executed and properly completed Letter of Transmittal or a facsimile thereof or electronic instructions sent to the Depository Trust Company, and any other required documents, must be received by the Exchange Agent as provided in the Prospectus and the Letter of Transmittal.</w:t>
      </w:r>
    </w:p>
    <w:p>
      <w:pPr>
        <w:spacing w:after="0" w:line="143" w:lineRule="exact"/>
        <w:rPr>
          <w:sz w:val="20"/>
          <w:szCs w:val="20"/>
          <w:color w:val="auto"/>
        </w:rPr>
      </w:pPr>
    </w:p>
    <w:p>
      <w:pPr>
        <w:ind w:left="320" w:right="439"/>
        <w:spacing w:after="0" w:line="250" w:lineRule="auto"/>
        <w:rPr>
          <w:sz w:val="20"/>
          <w:szCs w:val="20"/>
          <w:color w:val="auto"/>
        </w:rPr>
      </w:pPr>
      <w:r>
        <w:rPr>
          <w:rFonts w:ascii="Times New Roman" w:cs="Times New Roman" w:eastAsia="Times New Roman" w:hAnsi="Times New Roman"/>
          <w:sz w:val="14"/>
          <w:szCs w:val="14"/>
          <w:color w:val="auto"/>
        </w:rPr>
        <w:t>The Company will not pay any fees or commissions to any broker, dealer or other person in connection with the solicitation of tenders pursuant to the Exchange Offer. The Company will, however, upon request, reimburse brokers, dealers, commercial banks and trust companies for reasonable and necessary costs and expenses incurred by them in forwarding the Prospectus and the related documents to the beneficial owners of Existing Notes held by them as nominee or in a fiduciary capacity. The Company will pay or cause to be paid all stock transfer taxes, if any, applicable to the exchange of Existing Notes pursuant to the Exchange Offer, except as otherwise provided in the Prospectus and the Letter of Transmittal.</w:t>
      </w:r>
    </w:p>
    <w:p>
      <w:pPr>
        <w:spacing w:after="0" w:line="148" w:lineRule="exact"/>
        <w:rPr>
          <w:sz w:val="20"/>
          <w:szCs w:val="20"/>
          <w:color w:val="auto"/>
        </w:rPr>
      </w:pPr>
    </w:p>
    <w:p>
      <w:pPr>
        <w:ind w:left="320" w:right="339"/>
        <w:spacing w:after="0" w:line="267" w:lineRule="auto"/>
        <w:rPr>
          <w:sz w:val="20"/>
          <w:szCs w:val="20"/>
          <w:color w:val="auto"/>
        </w:rPr>
      </w:pPr>
      <w:r>
        <w:rPr>
          <w:rFonts w:ascii="Times New Roman" w:cs="Times New Roman" w:eastAsia="Times New Roman" w:hAnsi="Times New Roman"/>
          <w:sz w:val="14"/>
          <w:szCs w:val="14"/>
          <w:color w:val="auto"/>
        </w:rPr>
        <w:t>Questions and requests for assistance with respect to the Exchange Offer or requests for additional copies of the enclosed material may be directed to the Exchange Agent at its address and phone number set forth on the front of the Letter of Transmittal.</w:t>
      </w:r>
    </w:p>
    <w:p>
      <w:pPr>
        <w:spacing w:after="0" w:line="1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CROWN AMERICAS LLC</w:t>
      </w:r>
    </w:p>
    <w:p>
      <w:pPr>
        <w:spacing w:after="0" w:line="168" w:lineRule="exact"/>
        <w:rPr>
          <w:sz w:val="20"/>
          <w:szCs w:val="20"/>
          <w:color w:val="auto"/>
        </w:rPr>
      </w:pPr>
    </w:p>
    <w:p>
      <w:pPr>
        <w:ind w:left="320" w:right="539"/>
        <w:spacing w:after="0" w:line="250" w:lineRule="auto"/>
        <w:rPr>
          <w:sz w:val="20"/>
          <w:szCs w:val="20"/>
          <w:color w:val="auto"/>
        </w:rPr>
      </w:pPr>
      <w:r>
        <w:rPr>
          <w:rFonts w:ascii="Times New Roman" w:cs="Times New Roman" w:eastAsia="Times New Roman" w:hAnsi="Times New Roman"/>
          <w:sz w:val="14"/>
          <w:szCs w:val="14"/>
          <w:color w:val="auto"/>
        </w:rPr>
        <w:t>NOTHING CONTAINED HEREIN OR IN THE ENCLOSED DOCUMENTS SHALL CONSTITUTE YOU OR ANY OTHER PERSON AS AN AGENT OF CROWN AMERICAS LLC OR THE EXCHANGE AGENT, OR ANY AFFILIATE THEREOF, OR AUTHORIZE YOU OR ANY OTHER PERSON TO MAKE ANY STATEMENTS OR USE ANY DOCUMENT ON BEHALF OF ANY OF THEM WITH RESPECT TO THE EXCHANGE OFFER, EXCEPT FOR THE ENCLOSED DOCUMENTS AND THE STATEMENTS EXPRESSLY MADE IN THE PROSPECTUS AND THE LETTER OF TRANSMITTAL.</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58" w:name="page159"/>
    <w:bookmarkEnd w:id="158"/>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Exhibit 99.d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71755</wp:posOffset>
            </wp:positionV>
            <wp:extent cx="2120900" cy="267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9">
                      <a:extLst>
                        <a:ext uri="{28A0092B-C50C-407E-A947-70E740481C1C}"/>
                      </a:extLst>
                    </a:blip>
                    <a:srcRect/>
                    <a:stretch>
                      <a:fillRect/>
                    </a:stretch>
                  </pic:blipFill>
                  <pic:spPr bwMode="auto">
                    <a:xfrm>
                      <a:off x="0" y="0"/>
                      <a:ext cx="2120900"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CROWN AMERICAS LLC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LETTER TO CLIENTS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OFFER TO EXCHANGE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 outstanding 5.875% Senior Notes Due 2033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5.875% Senior Notes Due 2033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that have been registered under the Securities Act of 1933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144A CUSIP Number: 228180 AC9; Regulation S CUSIP Number: U20330 AB9</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 Our Clients:</w:t>
      </w:r>
    </w:p>
    <w:p>
      <w:pPr>
        <w:spacing w:after="0" w:line="86" w:lineRule="exact"/>
        <w:rPr>
          <w:sz w:val="20"/>
          <w:szCs w:val="20"/>
          <w:color w:val="auto"/>
        </w:rPr>
      </w:pPr>
    </w:p>
    <w:p>
      <w:pPr>
        <w:ind w:left="320" w:right="379"/>
        <w:spacing w:after="0" w:line="248" w:lineRule="auto"/>
        <w:rPr>
          <w:sz w:val="20"/>
          <w:szCs w:val="20"/>
          <w:color w:val="auto"/>
        </w:rPr>
      </w:pPr>
      <w:r>
        <w:rPr>
          <w:rFonts w:ascii="Times New Roman" w:cs="Times New Roman" w:eastAsia="Times New Roman" w:hAnsi="Times New Roman"/>
          <w:sz w:val="14"/>
          <w:szCs w:val="14"/>
          <w:color w:val="auto"/>
        </w:rPr>
        <w:t>Enclosed for your consideration is a Prospectus, dated 2025 (the “Prospectus”), and the related Letter of Transmittal (the “Letter of Transmittal”), relating to the offer (the “Exchange Offer”) of Crown Americas LLC (the “Company”) to exchange each $1,000 principal amount of their 5.875% Senior Notes due 2033 (the “New Notes”) that have been registered under the Securities Act of 1933, as amended (the “Securities Act”), pursuant to a registration statement (the “Registration Statement”) of which the Prospectus is a part, for each $1,000 principal amount of their outstanding 5.875% Senior Notes due 2033 (the “Old Notes”), of which $700 million aggregate principal amount is outstanding. The Exchange Offer is being made in order to satisfy certain obligations of the Company contained in that certain Registration Rights Agreement, dated as of May 27, 2025, by and among Crown Holdings, Inc., the Company, BOFA Securities, Inc. as representative of the initial purchasers, and the Guarantors (as defined therein), relating to the $700 million 5.875% Senior Notes due 2033.</w:t>
      </w:r>
    </w:p>
    <w:p>
      <w:pPr>
        <w:spacing w:after="0" w:line="149"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The material is being forwarded to you as the beneficial owner of Old Notes carried by us for your account or benefit but not registered in your name. A tender of any Old Notes may be made only by us as the registered holder and pursuant to your instructions. Therefore, the Company urges beneficial owners of Old Notes registered in the name of a broker, dealer, commercial bank, trust company or other nominee to contact such registered holder promptly if they wish to tender Old Notes in the Exchange Offer.</w:t>
      </w:r>
    </w:p>
    <w:p>
      <w:pPr>
        <w:spacing w:after="0" w:line="146" w:lineRule="exact"/>
        <w:rPr>
          <w:sz w:val="20"/>
          <w:szCs w:val="20"/>
          <w:color w:val="auto"/>
        </w:rPr>
      </w:pPr>
    </w:p>
    <w:p>
      <w:pPr>
        <w:jc w:val="both"/>
        <w:ind w:left="320" w:right="479"/>
        <w:spacing w:after="0" w:line="256" w:lineRule="auto"/>
        <w:rPr>
          <w:sz w:val="20"/>
          <w:szCs w:val="20"/>
          <w:color w:val="auto"/>
        </w:rPr>
      </w:pPr>
      <w:r>
        <w:rPr>
          <w:rFonts w:ascii="Times New Roman" w:cs="Times New Roman" w:eastAsia="Times New Roman" w:hAnsi="Times New Roman"/>
          <w:sz w:val="14"/>
          <w:szCs w:val="14"/>
          <w:color w:val="auto"/>
        </w:rPr>
        <w:t>Accordingly, we request instructions as to whether you wish us to tender any or all of the Old Notes held by us for your account, pursuant to the terms and conditions set forth in the Prospectus and Letter of Transmittal. We urge you to read carefully the Prospectus and the Letter of Transmittal before instructing us to tender your Old Notes.</w:t>
      </w:r>
    </w:p>
    <w:p>
      <w:pPr>
        <w:spacing w:after="0" w:line="143" w:lineRule="exact"/>
        <w:rPr>
          <w:sz w:val="20"/>
          <w:szCs w:val="20"/>
          <w:color w:val="auto"/>
        </w:rPr>
      </w:pPr>
    </w:p>
    <w:p>
      <w:pPr>
        <w:ind w:left="320" w:right="339"/>
        <w:spacing w:after="0" w:line="252" w:lineRule="auto"/>
        <w:rPr>
          <w:sz w:val="20"/>
          <w:szCs w:val="20"/>
          <w:color w:val="auto"/>
        </w:rPr>
      </w:pPr>
      <w:r>
        <w:rPr>
          <w:rFonts w:ascii="Times New Roman" w:cs="Times New Roman" w:eastAsia="Times New Roman" w:hAnsi="Times New Roman"/>
          <w:sz w:val="14"/>
          <w:szCs w:val="14"/>
          <w:color w:val="auto"/>
        </w:rPr>
        <w:t>Your instructions to us should be forwarded to us as promptly as possible in order to permit us to tender Old Notes on your behalf in accordance with the provisions of the Exchange Offer. The Exchange Offer will expire at 5:00 p.m., New York City time, on 2025, unless extended (the “Expiration Date”). Old Notes tendered pursuant to the Exchange Offer may be withdrawn, subject to the procedures described in the Prospectus, at any time prior to the Expiration Date.</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Your attention is directed to the following:</w:t>
      </w:r>
    </w:p>
    <w:p>
      <w:pPr>
        <w:spacing w:after="0" w:line="86" w:lineRule="exact"/>
        <w:rPr>
          <w:sz w:val="20"/>
          <w:szCs w:val="20"/>
          <w:color w:val="auto"/>
        </w:rPr>
      </w:pPr>
    </w:p>
    <w:p>
      <w:pPr>
        <w:jc w:val="both"/>
        <w:ind w:left="320" w:right="379" w:hanging="9"/>
        <w:spacing w:after="0" w:line="256" w:lineRule="auto"/>
        <w:tabs>
          <w:tab w:leader="none" w:pos="45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is for the exchange of $1,000 principal amount at maturity of the New Notes for each $1,000 principal amount at maturity of the Old Notes. The terms of the New Notes are substantially identical (including principal amount, interest rate, maturity, security and ranking) to the terms of the Old Notes, except that the New Notes are freely transferable by holders thereof (except as provided in the Prospectus).</w:t>
      </w:r>
    </w:p>
    <w:p>
      <w:pPr>
        <w:sectPr>
          <w:pgSz w:w="11900" w:h="16838" w:orient="portrait"/>
          <w:cols w:equalWidth="0" w:num="1">
            <w:col w:w="9019"/>
          </w:cols>
          <w:pgMar w:left="1440" w:top="123" w:right="1440" w:bottom="1440" w:gutter="0" w:footer="0" w:header="0"/>
        </w:sectPr>
      </w:pPr>
    </w:p>
    <w:bookmarkStart w:id="159" w:name="page160"/>
    <w:bookmarkEnd w:id="159"/>
    <w:p>
      <w:pPr>
        <w:ind w:left="320" w:right="779" w:hanging="9"/>
        <w:spacing w:after="0" w:line="267" w:lineRule="auto"/>
        <w:tabs>
          <w:tab w:leader="none" w:pos="45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EXCHANGE OFFER IS SUBJECT TO CERTAIN CONDITIONS. SEE “THE EXCHANGE OFFER—TERMS OF THE EXCHANGE OFFER” IN THE PROSPECTUS.</w:t>
      </w:r>
    </w:p>
    <w:p>
      <w:pPr>
        <w:spacing w:after="0" w:line="135" w:lineRule="exact"/>
        <w:rPr>
          <w:rFonts w:ascii="Times New Roman" w:cs="Times New Roman" w:eastAsia="Times New Roman" w:hAnsi="Times New Roman"/>
          <w:sz w:val="14"/>
          <w:szCs w:val="14"/>
          <w:color w:val="auto"/>
        </w:rPr>
      </w:pPr>
    </w:p>
    <w:p>
      <w:pPr>
        <w:ind w:left="440" w:hanging="129"/>
        <w:spacing w:after="0"/>
        <w:tabs>
          <w:tab w:leader="none" w:pos="4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and withdrawal rights will expire at 5:00 p.m., New York City time, on 2025, unless extended.</w:t>
      </w:r>
    </w:p>
    <w:p>
      <w:pPr>
        <w:spacing w:after="0" w:line="167" w:lineRule="exact"/>
        <w:rPr>
          <w:rFonts w:ascii="Times New Roman" w:cs="Times New Roman" w:eastAsia="Times New Roman" w:hAnsi="Times New Roman"/>
          <w:sz w:val="14"/>
          <w:szCs w:val="14"/>
          <w:color w:val="auto"/>
        </w:rPr>
      </w:pPr>
    </w:p>
    <w:p>
      <w:pPr>
        <w:ind w:left="320" w:right="339" w:hanging="9"/>
        <w:spacing w:after="0" w:line="267" w:lineRule="auto"/>
        <w:tabs>
          <w:tab w:leader="none" w:pos="45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 taxes incident to the transfer of Old Notes from the holder to the Company will be paid by the Company, except as otherwise provided in the Prospectus and the Letter of Transmittal.</w:t>
      </w:r>
    </w:p>
    <w:p>
      <w:pPr>
        <w:spacing w:after="0" w:line="135" w:lineRule="exact"/>
        <w:rPr>
          <w:sz w:val="20"/>
          <w:szCs w:val="20"/>
          <w:color w:val="auto"/>
        </w:rPr>
      </w:pPr>
    </w:p>
    <w:p>
      <w:pPr>
        <w:ind w:left="320" w:right="619"/>
        <w:spacing w:after="0" w:line="267" w:lineRule="auto"/>
        <w:rPr>
          <w:sz w:val="20"/>
          <w:szCs w:val="20"/>
          <w:color w:val="auto"/>
        </w:rPr>
      </w:pPr>
      <w:r>
        <w:rPr>
          <w:rFonts w:ascii="Times New Roman" w:cs="Times New Roman" w:eastAsia="Times New Roman" w:hAnsi="Times New Roman"/>
          <w:sz w:val="14"/>
          <w:szCs w:val="14"/>
          <w:color w:val="auto"/>
        </w:rPr>
        <w:t>The Exchange Offer is not being made to, nor will exchange be accepted from or on behalf of, holders of Old Notes in any jurisdiction in which the making of the Exchange Offer or the acceptance thereof would not be in compliance with the laws of such jurisdiction.</w:t>
      </w:r>
    </w:p>
    <w:p>
      <w:pPr>
        <w:spacing w:after="0" w:line="135" w:lineRule="exact"/>
        <w:rPr>
          <w:sz w:val="20"/>
          <w:szCs w:val="20"/>
          <w:color w:val="auto"/>
        </w:rPr>
      </w:pPr>
    </w:p>
    <w:p>
      <w:pPr>
        <w:ind w:left="320" w:right="379"/>
        <w:spacing w:after="0" w:line="256" w:lineRule="auto"/>
        <w:rPr>
          <w:sz w:val="20"/>
          <w:szCs w:val="20"/>
          <w:color w:val="auto"/>
        </w:rPr>
      </w:pPr>
      <w:r>
        <w:rPr>
          <w:rFonts w:ascii="Times New Roman" w:cs="Times New Roman" w:eastAsia="Times New Roman" w:hAnsi="Times New Roman"/>
          <w:sz w:val="14"/>
          <w:szCs w:val="14"/>
          <w:color w:val="auto"/>
        </w:rPr>
        <w:t>If you wish to have us tender any or all of your Old Notes held by us for your account or benefit, please so instruct us by completing, executing and returning to us the instruction form that appears below. The accompanying Letter of Transmittal is furnished to you for informational purposes only and may not be used by you to tender Old Notes held by us and registered in our name for your account or benefit.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INSTRUCTIONS</w:t>
      </w:r>
    </w:p>
    <w:p>
      <w:pPr>
        <w:spacing w:after="0" w:line="172" w:lineRule="exact"/>
        <w:rPr>
          <w:sz w:val="20"/>
          <w:szCs w:val="20"/>
          <w:color w:val="auto"/>
        </w:rPr>
      </w:pPr>
    </w:p>
    <w:p>
      <w:pPr>
        <w:ind w:left="320" w:right="559"/>
        <w:spacing w:after="0" w:line="267" w:lineRule="auto"/>
        <w:rPr>
          <w:sz w:val="20"/>
          <w:szCs w:val="20"/>
          <w:color w:val="auto"/>
        </w:rPr>
      </w:pPr>
      <w:r>
        <w:rPr>
          <w:rFonts w:ascii="Times New Roman" w:cs="Times New Roman" w:eastAsia="Times New Roman" w:hAnsi="Times New Roman"/>
          <w:sz w:val="14"/>
          <w:szCs w:val="14"/>
          <w:color w:val="auto"/>
        </w:rPr>
        <w:t>The undersigned acknowledge(s) receipt of your letter and the enclosed material referred to therein in connection with the Exchange Offer of Crown Americas LLC with respect to their Old Notes, including the Prospectus and the Letter of Transmittal.</w:t>
      </w:r>
    </w:p>
    <w:p>
      <w:pPr>
        <w:spacing w:after="0" w:line="135" w:lineRule="exact"/>
        <w:rPr>
          <w:sz w:val="20"/>
          <w:szCs w:val="20"/>
          <w:color w:val="auto"/>
        </w:rPr>
      </w:pPr>
    </w:p>
    <w:p>
      <w:pPr>
        <w:ind w:left="320" w:right="459"/>
        <w:spacing w:after="0" w:line="256" w:lineRule="auto"/>
        <w:rPr>
          <w:sz w:val="20"/>
          <w:szCs w:val="20"/>
          <w:color w:val="auto"/>
        </w:rPr>
      </w:pPr>
      <w:r>
        <w:rPr>
          <w:rFonts w:ascii="Times New Roman" w:cs="Times New Roman" w:eastAsia="Times New Roman" w:hAnsi="Times New Roman"/>
          <w:sz w:val="14"/>
          <w:szCs w:val="14"/>
          <w:color w:val="auto"/>
        </w:rPr>
        <w:t>This form will instruct you to exchange the aggregate principal amount of Old Notes indicated below (or, if no aggregate principal amount is indicated below, all Old Notes) held by you for the account or benefit of the undersigned, pursuant to the terms and conditions set forth in the Prospectus and Letter of Transmittal.</w:t>
      </w:r>
    </w:p>
    <w:p>
      <w:pPr>
        <w:spacing w:after="0" w:line="143" w:lineRule="exact"/>
        <w:rPr>
          <w:sz w:val="20"/>
          <w:szCs w:val="20"/>
          <w:color w:val="auto"/>
        </w:rPr>
      </w:pPr>
    </w:p>
    <w:p>
      <w:pPr>
        <w:ind w:left="320" w:right="319"/>
        <w:spacing w:after="0" w:line="268" w:lineRule="auto"/>
        <w:rPr>
          <w:sz w:val="20"/>
          <w:szCs w:val="20"/>
          <w:color w:val="auto"/>
        </w:rPr>
      </w:pPr>
      <w:r>
        <w:rPr>
          <w:rFonts w:ascii="Times New Roman" w:cs="Times New Roman" w:eastAsia="Times New Roman" w:hAnsi="Times New Roman"/>
          <w:sz w:val="13"/>
          <w:szCs w:val="13"/>
          <w:color w:val="auto"/>
        </w:rPr>
        <w:t>If the undersigned instructs you to tender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(i) any New Notes acquired pursuant to the Exchange Offer will be obtained in the ordinary course of business of the person receiving such New Notes, whether or not such person is the registered holder, (ii) neither the holder of Old Notes nor any other person has an arrangement or understanding with any person to participate in the distribution of such New Notes, (iii) if the holder is not a broker-dealer, or is a broker-dealer but will not receive New Notes for its own account in exchange for Old Notes, neither the holder nor any such other person is engaged in or intends to participate in the distribution of such New Notes and (iv) neither the holder nor any such other person is an “affiliate” of the Company within the meaning of Rule 405 of the Securities Act or, if such holder is an affiliate, that such holder will comply with the registration and prospectus delivery requirements of the Securities Act to the extent applicable. By so acknowledging that it will deliver and by delivering a prospectus meeting the requirements of the Securities Act in connection with any resale of such New Notes, the undersigned is not deemed to admit that it is an “underwriter” within the meaning of the Securities Act.</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Please tender the Old Notes held by you for my (our) account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127635</wp:posOffset>
            </wp:positionV>
            <wp:extent cx="5331460" cy="1238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1">
                      <a:extLst>
                        <a:ext uri="{28A0092B-C50C-407E-A947-70E740481C1C}"/>
                      </a:extLst>
                    </a:blip>
                    <a:srcRect/>
                    <a:stretch>
                      <a:fillRect/>
                    </a:stretch>
                  </pic:blipFill>
                  <pic:spPr bwMode="auto">
                    <a:xfrm>
                      <a:off x="0" y="0"/>
                      <a:ext cx="5331460" cy="123825"/>
                    </a:xfrm>
                    <a:prstGeom prst="rect">
                      <a:avLst/>
                    </a:prstGeom>
                    <a:noFill/>
                  </pic:spPr>
                </pic:pic>
              </a:graphicData>
            </a:graphic>
          </wp:anchor>
        </w:drawing>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Aggregate Principal Amount of Old Notes to be Exchanged*</w:t>
      </w:r>
    </w:p>
    <w:p>
      <w:pPr>
        <w:spacing w:after="0" w:line="199" w:lineRule="exact"/>
        <w:rPr>
          <w:sz w:val="20"/>
          <w:szCs w:val="20"/>
          <w:color w:val="auto"/>
        </w:rPr>
      </w:pPr>
    </w:p>
    <w:p>
      <w:pPr>
        <w:ind w:left="480" w:right="539" w:hanging="169"/>
        <w:spacing w:after="0" w:line="267" w:lineRule="auto"/>
        <w:tabs>
          <w:tab w:leader="none" w:pos="4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(we) understand that if I (we) sign these instruction forms without indicating an aggregate principal amount of Old Notes in the spaces above, all Old Notes held by you for my (our) account will be exchanged.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PLEASE SIGN HERE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10160</wp:posOffset>
            </wp:positionV>
            <wp:extent cx="473773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3">
                      <a:extLst>
                        <a:ext uri="{28A0092B-C50C-407E-A947-70E740481C1C}"/>
                      </a:extLst>
                    </a:blip>
                    <a:srcRect/>
                    <a:stretch>
                      <a:fillRect/>
                    </a:stretch>
                  </pic:blipFill>
                  <pic:spPr bwMode="auto">
                    <a:xfrm>
                      <a:off x="0" y="0"/>
                      <a:ext cx="4737735" cy="6350"/>
                    </a:xfrm>
                    <a:prstGeom prst="rect">
                      <a:avLst/>
                    </a:prstGeom>
                    <a:noFill/>
                  </pic:spPr>
                </pic:pic>
              </a:graphicData>
            </a:graphic>
          </wp:anchor>
        </w:drawing>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Date: ,</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Name(s) (please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3175</wp:posOffset>
            </wp:positionV>
            <wp:extent cx="457454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4">
                      <a:extLst>
                        <a:ext uri="{28A0092B-C50C-407E-A947-70E740481C1C}"/>
                      </a:extLst>
                    </a:blip>
                    <a:srcRect/>
                    <a:stretch>
                      <a:fillRect/>
                    </a:stretch>
                  </pic:blipFill>
                  <pic:spPr bwMode="auto">
                    <a:xfrm>
                      <a:off x="0" y="0"/>
                      <a:ext cx="4574540" cy="6350"/>
                    </a:xfrm>
                    <a:prstGeom prst="rect">
                      <a:avLst/>
                    </a:prstGeom>
                    <a:noFill/>
                  </pic:spPr>
                </pic:pic>
              </a:graphicData>
            </a:graphic>
          </wp:anchor>
        </w:drawing>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Capacity (full title), if signing in a fiduciary or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representative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3175</wp:posOffset>
            </wp:positionV>
            <wp:extent cx="356298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5">
                      <a:extLst>
                        <a:ext uri="{28A0092B-C50C-407E-A947-70E740481C1C}"/>
                      </a:extLst>
                    </a:blip>
                    <a:srcRect/>
                    <a:stretch>
                      <a:fillRect/>
                    </a:stretch>
                  </pic:blipFill>
                  <pic:spPr bwMode="auto">
                    <a:xfrm>
                      <a:off x="0" y="0"/>
                      <a:ext cx="3562985" cy="6350"/>
                    </a:xfrm>
                    <a:prstGeom prst="rect">
                      <a:avLst/>
                    </a:prstGeom>
                    <a:noFill/>
                  </pic:spPr>
                </pic:pic>
              </a:graphicData>
            </a:graphic>
          </wp:anchor>
        </w:drawing>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Address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(including zip</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3175</wp:posOffset>
            </wp:positionV>
            <wp:extent cx="468566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6">
                      <a:extLst>
                        <a:ext uri="{28A0092B-C50C-407E-A947-70E740481C1C}"/>
                      </a:extLst>
                    </a:blip>
                    <a:srcRect/>
                    <a:stretch>
                      <a:fillRect/>
                    </a:stretch>
                  </pic:blipFill>
                  <pic:spPr bwMode="auto">
                    <a:xfrm>
                      <a:off x="0" y="0"/>
                      <a:ext cx="4685665" cy="6350"/>
                    </a:xfrm>
                    <a:prstGeom prst="rect">
                      <a:avLst/>
                    </a:prstGeom>
                    <a:noFill/>
                  </pic:spPr>
                </pic:pic>
              </a:graphicData>
            </a:graphic>
          </wp:anchor>
        </w:drawing>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Area Code and</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3175</wp:posOffset>
            </wp:positionV>
            <wp:extent cx="436562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7">
                      <a:extLst>
                        <a:ext uri="{28A0092B-C50C-407E-A947-70E740481C1C}"/>
                      </a:extLst>
                    </a:blip>
                    <a:srcRect/>
                    <a:stretch>
                      <a:fillRect/>
                    </a:stretch>
                  </pic:blipFill>
                  <pic:spPr bwMode="auto">
                    <a:xfrm>
                      <a:off x="0" y="0"/>
                      <a:ext cx="4365625" cy="6350"/>
                    </a:xfrm>
                    <a:prstGeom prst="rect">
                      <a:avLst/>
                    </a:prstGeom>
                    <a:noFill/>
                  </pic:spPr>
                </pic:pic>
              </a:graphicData>
            </a:graphic>
          </wp:anchor>
        </w:drawing>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Taxpayer Identification or Social</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3175</wp:posOffset>
            </wp:positionV>
            <wp:extent cx="409829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8">
                      <a:extLst>
                        <a:ext uri="{28A0092B-C50C-407E-A947-70E740481C1C}"/>
                      </a:extLst>
                    </a:blip>
                    <a:srcRect/>
                    <a:stretch>
                      <a:fillRect/>
                    </a:stretch>
                  </pic:blipFill>
                  <pic:spPr bwMode="auto">
                    <a:xfrm>
                      <a:off x="0" y="0"/>
                      <a:ext cx="4098290" cy="6350"/>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6" w:right="1440" w:bottom="1440" w:gutter="0" w:footer="0" w:header="0"/>
        </w:sectPr>
      </w:pPr>
    </w:p>
    <w:bookmarkStart w:id="161" w:name="page162"/>
    <w:bookmarkEnd w:id="161"/>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S-4</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CROWN HOLDINGS,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440" w:type="dxa"/>
            <w:vAlign w:val="bottom"/>
            <w:tcBorders>
              <w:bottom w:val="single" w:sz="8" w:color="auto"/>
            </w:tcBorders>
            <w:gridSpan w:val="13"/>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gridSpan w:val="2"/>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4"/>
                <w:szCs w:val="14"/>
                <w:color w:val="auto"/>
              </w:rPr>
            </w:pPr>
          </w:p>
        </w:tc>
        <w:tc>
          <w:tcPr>
            <w:tcW w:w="940" w:type="dxa"/>
            <w:vAlign w:val="bottom"/>
            <w:vMerge w:val="restart"/>
            <w:shd w:val="clear" w:color="auto" w:fill="9ADAF6"/>
          </w:tcPr>
          <w:p>
            <w:pPr>
              <w:jc w:val="right"/>
              <w:ind w:right="7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9"/>
                <w:szCs w:val="9"/>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5"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900" w:type="dxa"/>
            <w:vAlign w:val="bottom"/>
            <w:shd w:val="clear" w:color="auto" w:fill="9ADAF6"/>
          </w:tcPr>
          <w:p>
            <w:pPr>
              <w:ind w:left="40"/>
              <w:spacing w:after="0" w:line="165"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right"/>
              <w:spacing w:after="0" w:line="165"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jc w:val="center"/>
              <w:ind w:right="27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5.875%</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700,000,000</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$ 96,670.00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6"/>
                <w:szCs w:val="16"/>
                <w:color w:val="auto"/>
              </w:rPr>
            </w:pPr>
          </w:p>
        </w:tc>
        <w:tc>
          <w:tcPr>
            <w:tcW w:w="1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700,000,000.00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Guarantees</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of 5.875%</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Senior</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jc w:val="center"/>
              <w:ind w:right="27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$ 96,670.00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$ 96,670.00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89" w:lineRule="exact"/>
        <w:rPr>
          <w:sz w:val="20"/>
          <w:szCs w:val="20"/>
          <w:color w:val="auto"/>
        </w:rPr>
      </w:pPr>
    </w:p>
    <w:p>
      <w:pPr>
        <w:ind w:left="200" w:hanging="167"/>
        <w:spacing w:after="0"/>
        <w:tabs>
          <w:tab w:leader="none" w:pos="200" w:val="left"/>
        </w:tabs>
        <w:numPr>
          <w:ilvl w:val="0"/>
          <w:numId w:val="111"/>
        </w:numPr>
        <w:rPr>
          <w:rFonts w:ascii="Arial" w:cs="Arial" w:eastAsia="Arial" w:hAnsi="Arial"/>
          <w:sz w:val="21"/>
          <w:szCs w:val="21"/>
          <w:color w:val="auto"/>
          <w:vertAlign w:val="superscript"/>
        </w:rPr>
      </w:pPr>
      <w:r>
        <w:rPr>
          <w:rFonts w:ascii="Arial" w:cs="Arial" w:eastAsia="Arial" w:hAnsi="Arial"/>
          <w:sz w:val="16"/>
          <w:szCs w:val="16"/>
          <w:color w:val="auto"/>
        </w:rPr>
        <w:t>Rule 457(f) Fee Calculation Details</w:t>
      </w:r>
    </w:p>
    <w:p>
      <w:pPr>
        <w:spacing w:after="0" w:line="153" w:lineRule="exact"/>
        <w:rPr>
          <w:sz w:val="20"/>
          <w:szCs w:val="20"/>
          <w:color w:val="auto"/>
        </w:rPr>
      </w:pPr>
    </w:p>
    <w:p>
      <w:pPr>
        <w:ind w:left="200" w:right="300" w:firstLine="8"/>
        <w:spacing w:after="0" w:line="284" w:lineRule="auto"/>
        <w:tabs>
          <w:tab w:leader="none" w:pos="4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457(f) of the Securities Act. (2) The registration fee has been calculated pursuant to Rule 457(f) under the Securities Act.</w:t>
      </w:r>
    </w:p>
    <w:p>
      <w:pPr>
        <w:spacing w:after="0" w:line="68"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Amount of Securities to</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Value per Share of</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Total Value of Securities</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Cash Consideration</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Cash Consideration</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r>
      <w:tr>
        <w:trPr>
          <w:trHeight w:val="185"/>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be Received or</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Securities to be Received</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to be Received or</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Received by the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(Paid) by the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r>
      <w:tr>
        <w:trPr>
          <w:trHeight w:val="225"/>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Cancelled</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or Cancelled</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Cancelled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registrant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registrant</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r>
      <w:tr>
        <w:trPr>
          <w:trHeight w:val="218"/>
        </w:trPr>
        <w:tc>
          <w:tcPr>
            <w:tcW w:w="1920" w:type="dxa"/>
            <w:vAlign w:val="bottom"/>
          </w:tcPr>
          <w:p>
            <w:pPr>
              <w:jc w:val="center"/>
              <w:spacing w:after="0"/>
              <w:rPr>
                <w:sz w:val="20"/>
                <w:szCs w:val="20"/>
                <w:color w:val="auto"/>
              </w:rPr>
            </w:pPr>
            <w:r>
              <w:rPr>
                <w:rFonts w:ascii="Arial" w:cs="Arial" w:eastAsia="Arial" w:hAnsi="Arial"/>
                <w:sz w:val="16"/>
                <w:szCs w:val="16"/>
                <w:color w:val="auto"/>
              </w:rPr>
              <w:t>700,000,000</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$ 1.00</w:t>
            </w:r>
          </w:p>
        </w:tc>
        <w:tc>
          <w:tcPr>
            <w:tcW w:w="2080" w:type="dxa"/>
            <w:vAlign w:val="bottom"/>
          </w:tcPr>
          <w:p>
            <w:pPr>
              <w:jc w:val="center"/>
              <w:spacing w:after="0"/>
              <w:rPr>
                <w:sz w:val="20"/>
                <w:szCs w:val="20"/>
                <w:color w:val="auto"/>
              </w:rPr>
            </w:pPr>
            <w:r>
              <w:rPr>
                <w:rFonts w:ascii="Arial" w:cs="Arial" w:eastAsia="Arial" w:hAnsi="Arial"/>
                <w:sz w:val="16"/>
                <w:szCs w:val="16"/>
                <w:color w:val="auto"/>
              </w:rPr>
              <w:t>$ 700,000,000.00</w:t>
            </w: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$ 700,000,000.00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5137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9">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191" w:lineRule="exact"/>
        <w:rPr>
          <w:sz w:val="20"/>
          <w:szCs w:val="20"/>
          <w:color w:val="auto"/>
        </w:rPr>
      </w:pPr>
    </w:p>
    <w:p>
      <w:pPr>
        <w:ind w:left="200" w:hanging="167"/>
        <w:spacing w:after="0"/>
        <w:tabs>
          <w:tab w:leader="none" w:pos="200" w:val="left"/>
        </w:tabs>
        <w:numPr>
          <w:ilvl w:val="0"/>
          <w:numId w:val="113"/>
        </w:numPr>
        <w:rPr>
          <w:rFonts w:ascii="Arial" w:cs="Arial" w:eastAsia="Arial" w:hAnsi="Arial"/>
          <w:sz w:val="21"/>
          <w:szCs w:val="21"/>
          <w:color w:val="auto"/>
          <w:vertAlign w:val="superscript"/>
        </w:rPr>
      </w:pPr>
      <w:r>
        <w:rPr>
          <w:rFonts w:ascii="Arial" w:cs="Arial" w:eastAsia="Arial" w:hAnsi="Arial"/>
          <w:sz w:val="16"/>
          <w:szCs w:val="16"/>
          <w:color w:val="auto"/>
        </w:rPr>
        <w:t>Rule 457(f) Fee Calculation Details</w:t>
      </w:r>
    </w:p>
    <w:p>
      <w:pPr>
        <w:spacing w:after="0" w:line="153" w:lineRule="exact"/>
        <w:rPr>
          <w:rFonts w:ascii="Arial" w:cs="Arial" w:eastAsia="Arial" w:hAnsi="Arial"/>
          <w:sz w:val="21"/>
          <w:szCs w:val="21"/>
          <w:color w:val="auto"/>
          <w:vertAlign w:val="superscript"/>
        </w:rPr>
      </w:pPr>
    </w:p>
    <w:p>
      <w:pPr>
        <w:ind w:left="200" w:right="160"/>
        <w:spacing w:after="0" w:line="262" w:lineRule="auto"/>
        <w:rPr>
          <w:rFonts w:ascii="Arial" w:cs="Arial" w:eastAsia="Arial" w:hAnsi="Arial"/>
          <w:sz w:val="21"/>
          <w:szCs w:val="21"/>
          <w:color w:val="auto"/>
          <w:vertAlign w:val="superscript"/>
        </w:rPr>
      </w:pPr>
      <w:r>
        <w:rPr>
          <w:rFonts w:ascii="Arial" w:cs="Arial" w:eastAsia="Arial" w:hAnsi="Arial"/>
          <w:sz w:val="16"/>
          <w:szCs w:val="16"/>
          <w:color w:val="auto"/>
        </w:rPr>
        <w:t>(1) Estimated solely for the purpose of calculating the registration fee in accordance with Rule 457(f) of the Securities Act. (2) The registration fee has been calculated pursuant to Rule 457(f) under the Securities Act. (3) No additional consideration is being received for the guarantees, and, therefore no additional fee is required.</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140" w:type="dxa"/>
            <w:vAlign w:val="bottom"/>
            <w:gridSpan w:val="5"/>
          </w:tcPr>
          <w:p>
            <w:pPr>
              <w:jc w:val="center"/>
              <w:spacing w:after="0"/>
              <w:rPr>
                <w:sz w:val="20"/>
                <w:szCs w:val="20"/>
                <w:color w:val="auto"/>
              </w:rPr>
            </w:pPr>
            <w:r>
              <w:rPr>
                <w:rFonts w:ascii="Arial" w:cs="Arial" w:eastAsia="Arial" w:hAnsi="Arial"/>
                <w:sz w:val="16"/>
                <w:szCs w:val="16"/>
                <w:b w:val="1"/>
                <w:bCs w:val="1"/>
                <w:color w:val="auto"/>
              </w:rPr>
              <w:t>Amount of Securities to</w:t>
            </w:r>
          </w:p>
        </w:tc>
        <w:tc>
          <w:tcPr>
            <w:tcW w:w="1900" w:type="dxa"/>
            <w:vAlign w:val="bottom"/>
            <w:gridSpan w:val="3"/>
          </w:tcPr>
          <w:p>
            <w:pPr>
              <w:jc w:val="center"/>
              <w:ind w:left="98"/>
              <w:spacing w:after="0"/>
              <w:rPr>
                <w:sz w:val="20"/>
                <w:szCs w:val="20"/>
                <w:color w:val="auto"/>
              </w:rPr>
            </w:pPr>
            <w:r>
              <w:rPr>
                <w:rFonts w:ascii="Arial" w:cs="Arial" w:eastAsia="Arial" w:hAnsi="Arial"/>
                <w:sz w:val="16"/>
                <w:szCs w:val="16"/>
                <w:b w:val="1"/>
                <w:bCs w:val="1"/>
                <w:color w:val="auto"/>
              </w:rPr>
              <w:t>Value per Share of</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gridSpan w:val="11"/>
          </w:tcPr>
          <w:p>
            <w:pPr>
              <w:ind w:left="120"/>
              <w:spacing w:after="0"/>
              <w:rPr>
                <w:sz w:val="20"/>
                <w:szCs w:val="20"/>
                <w:color w:val="auto"/>
              </w:rPr>
            </w:pPr>
            <w:r>
              <w:rPr>
                <w:rFonts w:ascii="Arial" w:cs="Arial" w:eastAsia="Arial" w:hAnsi="Arial"/>
                <w:sz w:val="16"/>
                <w:szCs w:val="16"/>
                <w:b w:val="1"/>
                <w:bCs w:val="1"/>
                <w:color w:val="auto"/>
              </w:rPr>
              <w:t>Total Value of Securities  Cash Consideration</w:t>
            </w:r>
          </w:p>
        </w:tc>
        <w:tc>
          <w:tcPr>
            <w:tcW w:w="1640" w:type="dxa"/>
            <w:vAlign w:val="bottom"/>
            <w:gridSpan w:val="5"/>
          </w:tcPr>
          <w:p>
            <w:pPr>
              <w:jc w:val="center"/>
              <w:spacing w:after="0"/>
              <w:rPr>
                <w:sz w:val="20"/>
                <w:szCs w:val="20"/>
                <w:color w:val="auto"/>
              </w:rPr>
            </w:pPr>
            <w:r>
              <w:rPr>
                <w:rFonts w:ascii="Arial" w:cs="Arial" w:eastAsia="Arial" w:hAnsi="Arial"/>
                <w:sz w:val="16"/>
                <w:szCs w:val="16"/>
                <w:b w:val="1"/>
                <w:bCs w:val="1"/>
                <w:color w:val="auto"/>
              </w:rPr>
              <w:t>Cash Consideration</w:t>
            </w:r>
          </w:p>
        </w:tc>
        <w:tc>
          <w:tcPr>
            <w:tcW w:w="1500" w:type="dxa"/>
            <w:vAlign w:val="bottom"/>
            <w:gridSpan w:val="5"/>
          </w:tcPr>
          <w:p>
            <w:pPr>
              <w:jc w:val="center"/>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800" w:type="dxa"/>
            <w:vAlign w:val="bottom"/>
            <w:gridSpan w:val="3"/>
          </w:tcPr>
          <w:p>
            <w:pPr>
              <w:jc w:val="center"/>
              <w:ind w:left="338"/>
              <w:spacing w:after="0"/>
              <w:rPr>
                <w:sz w:val="20"/>
                <w:szCs w:val="20"/>
                <w:color w:val="auto"/>
              </w:rPr>
            </w:pPr>
            <w:r>
              <w:rPr>
                <w:rFonts w:ascii="Arial" w:cs="Arial" w:eastAsia="Arial" w:hAnsi="Arial"/>
                <w:sz w:val="16"/>
                <w:szCs w:val="16"/>
                <w:b w:val="1"/>
                <w:bCs w:val="1"/>
                <w:color w:val="auto"/>
              </w:rPr>
              <w:t>be Received or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5"/>
          </w:tcPr>
          <w:p>
            <w:pPr>
              <w:jc w:val="center"/>
              <w:spacing w:after="0"/>
              <w:rPr>
                <w:sz w:val="20"/>
                <w:szCs w:val="20"/>
                <w:color w:val="auto"/>
              </w:rPr>
            </w:pPr>
            <w:r>
              <w:rPr>
                <w:rFonts w:ascii="Arial" w:cs="Arial" w:eastAsia="Arial" w:hAnsi="Arial"/>
                <w:sz w:val="16"/>
                <w:szCs w:val="16"/>
                <w:b w:val="1"/>
                <w:bCs w:val="1"/>
                <w:color w:val="auto"/>
              </w:rPr>
              <w:t>Securities to be Received</w:t>
            </w:r>
          </w:p>
        </w:tc>
        <w:tc>
          <w:tcPr>
            <w:tcW w:w="1840" w:type="dxa"/>
            <w:vAlign w:val="bottom"/>
            <w:gridSpan w:val="5"/>
          </w:tcPr>
          <w:p>
            <w:pPr>
              <w:jc w:val="center"/>
              <w:ind w:left="218"/>
              <w:spacing w:after="0"/>
              <w:rPr>
                <w:sz w:val="20"/>
                <w:szCs w:val="20"/>
                <w:color w:val="auto"/>
              </w:rPr>
            </w:pPr>
            <w:r>
              <w:rPr>
                <w:rFonts w:ascii="Arial" w:cs="Arial" w:eastAsia="Arial" w:hAnsi="Arial"/>
                <w:sz w:val="16"/>
                <w:szCs w:val="16"/>
                <w:b w:val="1"/>
                <w:bCs w:val="1"/>
                <w:color w:val="auto"/>
              </w:rPr>
              <w:t>to be Received or</w:t>
            </w:r>
          </w:p>
        </w:tc>
        <w:tc>
          <w:tcPr>
            <w:tcW w:w="20" w:type="dxa"/>
            <w:vAlign w:val="bottom"/>
          </w:tcPr>
          <w:p>
            <w:pPr>
              <w:spacing w:after="0"/>
              <w:rPr>
                <w:sz w:val="16"/>
                <w:szCs w:val="16"/>
                <w:color w:val="auto"/>
              </w:rPr>
            </w:pPr>
          </w:p>
        </w:tc>
        <w:tc>
          <w:tcPr>
            <w:tcW w:w="2020" w:type="dxa"/>
            <w:vAlign w:val="bottom"/>
            <w:gridSpan w:val="5"/>
          </w:tcPr>
          <w:p>
            <w:pPr>
              <w:jc w:val="center"/>
              <w:ind w:left="178"/>
              <w:spacing w:after="0"/>
              <w:rPr>
                <w:sz w:val="20"/>
                <w:szCs w:val="20"/>
                <w:color w:val="auto"/>
              </w:rPr>
            </w:pPr>
            <w:r>
              <w:rPr>
                <w:rFonts w:ascii="Arial" w:cs="Arial" w:eastAsia="Arial" w:hAnsi="Arial"/>
                <w:sz w:val="16"/>
                <w:szCs w:val="16"/>
                <w:b w:val="1"/>
                <w:bCs w:val="1"/>
                <w:color w:val="auto"/>
              </w:rPr>
              <w:t>Received by the</w:t>
            </w:r>
          </w:p>
        </w:tc>
        <w:tc>
          <w:tcPr>
            <w:tcW w:w="1440" w:type="dxa"/>
            <w:vAlign w:val="bottom"/>
            <w:gridSpan w:val="3"/>
          </w:tcPr>
          <w:p>
            <w:pPr>
              <w:jc w:val="center"/>
              <w:ind w:left="218"/>
              <w:spacing w:after="0"/>
              <w:rPr>
                <w:sz w:val="20"/>
                <w:szCs w:val="20"/>
                <w:color w:val="auto"/>
              </w:rPr>
            </w:pPr>
            <w:r>
              <w:rPr>
                <w:rFonts w:ascii="Arial" w:cs="Arial" w:eastAsia="Arial" w:hAnsi="Arial"/>
                <w:sz w:val="16"/>
                <w:szCs w:val="16"/>
                <w:b w:val="1"/>
                <w:bCs w:val="1"/>
                <w:color w:val="auto"/>
              </w:rPr>
              <w:t>(Paid) by the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jc w:val="center"/>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800" w:type="dxa"/>
            <w:vAlign w:val="bottom"/>
            <w:gridSpan w:val="3"/>
          </w:tcPr>
          <w:p>
            <w:pPr>
              <w:jc w:val="center"/>
              <w:ind w:left="338"/>
              <w:spacing w:after="0"/>
              <w:rPr>
                <w:sz w:val="20"/>
                <w:szCs w:val="20"/>
                <w:color w:val="auto"/>
              </w:rPr>
            </w:pPr>
            <w:r>
              <w:rPr>
                <w:rFonts w:ascii="Arial" w:cs="Arial" w:eastAsia="Arial" w:hAnsi="Arial"/>
                <w:sz w:val="16"/>
                <w:szCs w:val="16"/>
                <w:b w:val="1"/>
                <w:bCs w:val="1"/>
                <w:color w:val="auto"/>
              </w:rPr>
              <w:t>Cancelled</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3"/>
          </w:tcPr>
          <w:p>
            <w:pPr>
              <w:jc w:val="center"/>
              <w:ind w:left="98"/>
              <w:spacing w:after="0"/>
              <w:rPr>
                <w:sz w:val="20"/>
                <w:szCs w:val="20"/>
                <w:color w:val="auto"/>
              </w:rPr>
            </w:pPr>
            <w:r>
              <w:rPr>
                <w:rFonts w:ascii="Arial" w:cs="Arial" w:eastAsia="Arial" w:hAnsi="Arial"/>
                <w:sz w:val="16"/>
                <w:szCs w:val="16"/>
                <w:b w:val="1"/>
                <w:bCs w:val="1"/>
                <w:color w:val="auto"/>
              </w:rPr>
              <w:t>or Cancelled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218"/>
              <w:spacing w:after="0"/>
              <w:rPr>
                <w:sz w:val="20"/>
                <w:szCs w:val="20"/>
                <w:color w:val="auto"/>
              </w:rPr>
            </w:pPr>
            <w:r>
              <w:rPr>
                <w:rFonts w:ascii="Arial" w:cs="Arial" w:eastAsia="Arial" w:hAnsi="Arial"/>
                <w:sz w:val="16"/>
                <w:szCs w:val="16"/>
                <w:b w:val="1"/>
                <w:bCs w:val="1"/>
                <w:color w:val="auto"/>
              </w:rPr>
              <w:t>Cancelled</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registrant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rPr>
              <w:t>registrant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5"/>
          </w:tcPr>
          <w:p>
            <w:pPr>
              <w:jc w:val="center"/>
              <w:spacing w:after="0"/>
              <w:rPr>
                <w:sz w:val="20"/>
                <w:szCs w:val="20"/>
                <w:color w:val="auto"/>
              </w:rPr>
            </w:pPr>
            <w:r>
              <w:rPr>
                <w:rFonts w:ascii="Arial" w:cs="Arial" w:eastAsia="Arial" w:hAnsi="Arial"/>
                <w:sz w:val="16"/>
                <w:szCs w:val="16"/>
                <w:b w:val="1"/>
                <w:bCs w:val="1"/>
                <w:color w:val="auto"/>
              </w:rPr>
              <w:t>Offering Price</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center"/>
              <w:ind w:right="478"/>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left="718"/>
              <w:spacing w:after="0"/>
              <w:rPr>
                <w:sz w:val="20"/>
                <w:szCs w:val="20"/>
                <w:color w:val="auto"/>
              </w:rPr>
            </w:pPr>
            <w:r>
              <w:rPr>
                <w:rFonts w:ascii="Arial" w:cs="Arial" w:eastAsia="Arial" w:hAnsi="Arial"/>
                <w:sz w:val="16"/>
                <w:szCs w:val="16"/>
                <w:color w:val="auto"/>
                <w:w w:val="98"/>
              </w:rPr>
              <w:t>$ 0.00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3"/>
          </w:tcPr>
          <w:p>
            <w:pPr>
              <w:jc w:val="center"/>
              <w:ind w:left="118"/>
              <w:spacing w:after="0"/>
              <w:rPr>
                <w:sz w:val="20"/>
                <w:szCs w:val="20"/>
                <w:color w:val="auto"/>
              </w:rPr>
            </w:pPr>
            <w:r>
              <w:rPr>
                <w:rFonts w:ascii="Arial" w:cs="Arial" w:eastAsia="Arial" w:hAnsi="Arial"/>
                <w:sz w:val="16"/>
                <w:szCs w:val="16"/>
                <w:color w:val="auto"/>
              </w:rPr>
              <w:t>$ 0.00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color w:val="auto"/>
                <w:w w:val="98"/>
              </w:rPr>
              <w:t>$ 0.00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800" w:type="dxa"/>
            <w:vAlign w:val="bottom"/>
            <w:tcBorders>
              <w:bottom w:val="single" w:sz="8" w:color="9A9A9A"/>
            </w:tcBorders>
            <w:gridSpan w:val="2"/>
          </w:tcPr>
          <w:p>
            <w:pPr>
              <w:spacing w:after="0"/>
              <w:rPr>
                <w:sz w:val="9"/>
                <w:szCs w:val="9"/>
                <w:color w:val="auto"/>
              </w:rPr>
            </w:pPr>
          </w:p>
        </w:tc>
        <w:tc>
          <w:tcPr>
            <w:tcW w:w="158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gridSpan w:val="2"/>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346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lef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50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780" w:type="dxa"/>
            <w:vAlign w:val="bottom"/>
            <w:shd w:val="clear" w:color="auto" w:fill="9ADAF6"/>
          </w:tcPr>
          <w:p>
            <w:pPr>
              <w:jc w:val="center"/>
              <w:ind w:right="98"/>
              <w:spacing w:after="0" w:line="182" w:lineRule="exact"/>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right"/>
              <w:ind w:right="11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jc w:val="center"/>
              <w:ind w:right="98"/>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left w:val="single" w:sz="8" w:color="9ADAF6"/>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2"/>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8"/>
                <w:szCs w:val="8"/>
                <w:color w:val="auto"/>
              </w:rPr>
            </w:pPr>
          </w:p>
        </w:tc>
        <w:tc>
          <w:tcPr>
            <w:tcW w:w="600" w:type="dxa"/>
            <w:vAlign w:val="bottom"/>
            <w:tcBorders>
              <w:left w:val="single" w:sz="8" w:color="9ADAF6"/>
            </w:tcBorders>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right"/>
              <w:ind w:right="18"/>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right w:val="single" w:sz="8" w:color="9ADAF6"/>
            </w:tcBorders>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60" w:type="dxa"/>
            <w:vAlign w:val="bottom"/>
            <w:tcBorders>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9ADAF6"/>
          </w:tcPr>
          <w:p>
            <w:pPr>
              <w:spacing w:after="0"/>
              <w:rPr>
                <w:sz w:val="14"/>
                <w:szCs w:val="14"/>
                <w:color w:val="auto"/>
              </w:rPr>
            </w:pPr>
          </w:p>
        </w:tc>
        <w:tc>
          <w:tcPr>
            <w:tcW w:w="1260" w:type="dxa"/>
            <w:vAlign w:val="bottom"/>
            <w:shd w:val="clear" w:color="auto" w:fill="9ADAF6"/>
          </w:tcPr>
          <w:p>
            <w:pPr>
              <w:jc w:val="center"/>
              <w:ind w:right="238"/>
              <w:spacing w:after="0" w:line="165"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60" w:type="dxa"/>
            <w:vAlign w:val="bottom"/>
            <w:gridSpan w:val="2"/>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left w:val="single" w:sz="8" w:color="9ADAF6"/>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00" w:type="dxa"/>
            <w:vAlign w:val="bottom"/>
            <w:tcBorders>
              <w:right w:val="single" w:sz="8" w:color="9ADAF6"/>
            </w:tcBorders>
            <w:gridSpan w:val="2"/>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60" w:type="dxa"/>
            <w:vAlign w:val="bottom"/>
            <w:gridSpan w:val="2"/>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6"/>
                <w:szCs w:val="16"/>
                <w:color w:val="auto"/>
              </w:rPr>
            </w:pPr>
          </w:p>
        </w:tc>
        <w:tc>
          <w:tcPr>
            <w:tcW w:w="90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gridSpan w:val="2"/>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9ADAF6"/>
          </w:tcPr>
          <w:p>
            <w:pPr>
              <w:spacing w:after="0" w:line="20" w:lineRule="exact"/>
              <w:rPr>
                <w:sz w:val="1"/>
                <w:szCs w:val="1"/>
                <w:color w:val="auto"/>
              </w:rPr>
            </w:pPr>
          </w:p>
        </w:tc>
        <w:tc>
          <w:tcPr>
            <w:tcW w:w="12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9ADAF6"/>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9ADAF6"/>
            </w:tcBorders>
            <w:gridSpan w:val="2"/>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780" w:type="dxa"/>
            <w:vAlign w:val="bottom"/>
            <w:shd w:val="clear" w:color="auto" w:fill="9ADAF6"/>
          </w:tcPr>
          <w:p>
            <w:pPr>
              <w:jc w:val="center"/>
              <w:ind w:right="98"/>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12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lef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9ADAF6"/>
          </w:tcPr>
          <w:p>
            <w:pPr>
              <w:spacing w:after="0"/>
              <w:rPr>
                <w:sz w:val="18"/>
                <w:szCs w:val="18"/>
                <w:color w:val="auto"/>
              </w:rPr>
            </w:pPr>
          </w:p>
        </w:tc>
        <w:tc>
          <w:tcPr>
            <w:tcW w:w="50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center"/>
              <w:ind w:left="9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80" w:type="dxa"/>
            <w:vAlign w:val="bottom"/>
            <w:vMerge w:val="restart"/>
            <w:shd w:val="clear" w:color="auto" w:fill="E7E7E2"/>
          </w:tcPr>
          <w:p>
            <w:pPr>
              <w:jc w:val="center"/>
              <w:ind w:right="98"/>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tcBorders>
              <w:left w:val="single" w:sz="8" w:color="E7E7E2"/>
            </w:tcBorders>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4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5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780" w:type="dxa"/>
            <w:vAlign w:val="bottom"/>
            <w:vMerge w:val="restart"/>
            <w:shd w:val="clear" w:color="auto" w:fill="E7E7E2"/>
          </w:tcPr>
          <w:p>
            <w:pPr>
              <w:ind w:left="5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left w:val="single" w:sz="8" w:color="E7E7E2"/>
            </w:tcBorders>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continue"/>
            <w:shd w:val="clear" w:color="auto" w:fill="E7E7E2"/>
          </w:tcPr>
          <w:p>
            <w:pPr>
              <w:spacing w:after="0"/>
              <w:rPr>
                <w:sz w:val="10"/>
                <w:szCs w:val="10"/>
                <w:color w:val="auto"/>
              </w:rPr>
            </w:pPr>
          </w:p>
        </w:tc>
        <w:tc>
          <w:tcPr>
            <w:tcW w:w="500" w:type="dxa"/>
            <w:vAlign w:val="bottom"/>
            <w:tcBorders>
              <w:righ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shd w:val="clear" w:color="auto" w:fill="E7E7E2"/>
          </w:tcPr>
          <w:p>
            <w:pPr>
              <w:spacing w:after="0"/>
              <w:rPr>
                <w:sz w:val="7"/>
                <w:szCs w:val="7"/>
                <w:color w:val="auto"/>
              </w:rPr>
            </w:pPr>
          </w:p>
        </w:tc>
        <w:tc>
          <w:tcPr>
            <w:tcW w:w="50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80" w:type="dxa"/>
            <w:vAlign w:val="bottom"/>
            <w:vMerge w:val="restart"/>
            <w:shd w:val="clear" w:color="auto" w:fill="E7E7E2"/>
          </w:tcPr>
          <w:p>
            <w:pPr>
              <w:jc w:val="center"/>
              <w:ind w:right="98"/>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tcBorders>
              <w:left w:val="single" w:sz="8" w:color="E7E7E2"/>
            </w:tcBorders>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4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5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780" w:type="dxa"/>
            <w:vAlign w:val="bottom"/>
            <w:vMerge w:val="restart"/>
            <w:shd w:val="clear" w:color="auto" w:fill="E7E7E2"/>
          </w:tcPr>
          <w:p>
            <w:pPr>
              <w:ind w:left="5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left w:val="single" w:sz="8" w:color="E7E7E2"/>
            </w:tcBorders>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continue"/>
            <w:shd w:val="clear" w:color="auto" w:fill="E7E7E2"/>
          </w:tcPr>
          <w:p>
            <w:pPr>
              <w:spacing w:after="0"/>
              <w:rPr>
                <w:sz w:val="10"/>
                <w:szCs w:val="10"/>
                <w:color w:val="auto"/>
              </w:rPr>
            </w:pPr>
          </w:p>
        </w:tc>
        <w:tc>
          <w:tcPr>
            <w:tcW w:w="500" w:type="dxa"/>
            <w:vAlign w:val="bottom"/>
            <w:tcBorders>
              <w:righ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shd w:val="clear" w:color="auto" w:fill="E7E7E2"/>
          </w:tcPr>
          <w:p>
            <w:pPr>
              <w:spacing w:after="0"/>
              <w:rPr>
                <w:sz w:val="7"/>
                <w:szCs w:val="7"/>
                <w:color w:val="auto"/>
              </w:rPr>
            </w:pPr>
          </w:p>
        </w:tc>
        <w:tc>
          <w:tcPr>
            <w:tcW w:w="50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center"/>
              <w:ind w:left="198"/>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5"/>
                <w:szCs w:val="15"/>
                <w:color w:val="auto"/>
              </w:rPr>
            </w:pPr>
          </w:p>
        </w:tc>
        <w:tc>
          <w:tcPr>
            <w:tcW w:w="78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580" w:type="dxa"/>
            <w:vAlign w:val="bottom"/>
            <w:vMerge w:val="restart"/>
            <w:shd w:val="clear" w:color="auto" w:fill="E7E7E2"/>
          </w:tcPr>
          <w:p>
            <w:pPr>
              <w:jc w:val="center"/>
              <w:ind w:right="98"/>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00" w:type="dxa"/>
            <w:vAlign w:val="bottom"/>
            <w:tcBorders>
              <w:left w:val="single" w:sz="8" w:color="E7E7E2"/>
            </w:tcBorders>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4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5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780" w:type="dxa"/>
            <w:vAlign w:val="bottom"/>
            <w:vMerge w:val="restart"/>
            <w:shd w:val="clear" w:color="auto" w:fill="E7E7E2"/>
          </w:tcPr>
          <w:p>
            <w:pPr>
              <w:ind w:left="5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4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left w:val="single" w:sz="8" w:color="E7E7E2"/>
            </w:tcBorders>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continue"/>
            <w:shd w:val="clear" w:color="auto" w:fill="E7E7E2"/>
          </w:tcPr>
          <w:p>
            <w:pPr>
              <w:spacing w:after="0"/>
              <w:rPr>
                <w:sz w:val="10"/>
                <w:szCs w:val="10"/>
                <w:color w:val="auto"/>
              </w:rPr>
            </w:pPr>
          </w:p>
        </w:tc>
        <w:tc>
          <w:tcPr>
            <w:tcW w:w="500" w:type="dxa"/>
            <w:vAlign w:val="bottom"/>
            <w:tcBorders>
              <w:righ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shd w:val="clear" w:color="auto" w:fill="E7E7E2"/>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lef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shd w:val="clear" w:color="auto" w:fill="E7E7E2"/>
          </w:tcPr>
          <w:p>
            <w:pPr>
              <w:spacing w:after="0"/>
              <w:rPr>
                <w:sz w:val="7"/>
                <w:szCs w:val="7"/>
                <w:color w:val="auto"/>
              </w:rPr>
            </w:pPr>
          </w:p>
        </w:tc>
        <w:tc>
          <w:tcPr>
            <w:tcW w:w="50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E7E7E2"/>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98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40" w:type="dxa"/>
            <w:vAlign w:val="bottom"/>
          </w:tcPr>
          <w:p>
            <w:pPr>
              <w:spacing w:after="0"/>
              <w:rPr>
                <w:sz w:val="18"/>
                <w:szCs w:val="18"/>
                <w:color w:val="auto"/>
              </w:rPr>
            </w:pPr>
          </w:p>
        </w:tc>
        <w:tc>
          <w:tcPr>
            <w:tcW w:w="780" w:type="dxa"/>
            <w:vAlign w:val="bottom"/>
            <w:shd w:val="clear" w:color="auto" w:fill="E7E7E2"/>
          </w:tcPr>
          <w:p>
            <w:pPr>
              <w:ind w:left="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580" w:type="dxa"/>
            <w:vAlign w:val="bottom"/>
            <w:shd w:val="clear" w:color="auto" w:fill="E7E7E2"/>
          </w:tcPr>
          <w:p>
            <w:pPr>
              <w:jc w:val="center"/>
              <w:ind w:right="98"/>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6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vMerge w:val="continue"/>
          </w:tcPr>
          <w:p>
            <w:pPr>
              <w:spacing w:after="0"/>
              <w:rPr>
                <w:sz w:val="18"/>
                <w:szCs w:val="18"/>
                <w:color w:val="auto"/>
              </w:rPr>
            </w:pPr>
          </w:p>
        </w:tc>
        <w:tc>
          <w:tcPr>
            <w:tcW w:w="600" w:type="dxa"/>
            <w:vAlign w:val="bottom"/>
            <w:tcBorders>
              <w:left w:val="single" w:sz="8" w:color="E7E7E2"/>
            </w:tcBorders>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6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8"/>
                <w:szCs w:val="18"/>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40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50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6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640" w:type="dxa"/>
            <w:vAlign w:val="bottom"/>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1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lef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50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E7E7E2"/>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7127875</wp:posOffset>
            </wp:positionH>
            <wp:positionV relativeFrom="paragraph">
              <wp:posOffset>-2644775</wp:posOffset>
            </wp:positionV>
            <wp:extent cx="3175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-2644775</wp:posOffset>
            </wp:positionV>
            <wp:extent cx="3175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900" w:orient="portrait"/>
          <w:cols w:equalWidth="0" w:num="1">
            <w:col w:w="11360"/>
          </w:cols>
          <w:pgMar w:left="300" w:top="141" w:right="239" w:bottom="0" w:gutter="0" w:footer="0" w:header="0"/>
        </w:sectPr>
      </w:pPr>
    </w:p>
    <w:bookmarkStart w:id="162" w:name="page163"/>
    <w:bookmarkEnd w:id="162"/>
    <w:p>
      <w:pPr>
        <w:ind w:left="40"/>
        <w:spacing w:after="0"/>
        <w:rPr>
          <w:sz w:val="20"/>
          <w:szCs w:val="20"/>
          <w:color w:val="auto"/>
        </w:rPr>
      </w:pPr>
      <w:r>
        <w:rPr>
          <w:rFonts w:ascii="Arial" w:cs="Arial" w:eastAsia="Arial" w:hAnsi="Arial"/>
          <w:sz w:val="16"/>
          <w:szCs w:val="16"/>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1055" cy="146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2">
                      <a:extLst>
                        <a:ext uri="{28A0092B-C50C-407E-A947-70E740481C1C}"/>
                      </a:extLst>
                    </a:blip>
                    <a:srcRect/>
                    <a:stretch>
                      <a:fillRect/>
                    </a:stretch>
                  </pic:blipFill>
                  <pic:spPr bwMode="auto">
                    <a:xfrm>
                      <a:off x="0" y="0"/>
                      <a:ext cx="7171055" cy="146685"/>
                    </a:xfrm>
                    <a:prstGeom prst="rect">
                      <a:avLst/>
                    </a:prstGeom>
                    <a:noFill/>
                  </pic:spPr>
                </pic:pic>
              </a:graphicData>
            </a:graphic>
          </wp:anchor>
        </w:drawing>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2040" w:type="dxa"/>
            <w:vAlign w:val="bottom"/>
            <w:shd w:val="clear" w:color="auto" w:fill="E7E7E2"/>
          </w:tcPr>
          <w:p>
            <w:pPr>
              <w:ind w:left="17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66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12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start w:val="1"/>
    </w:lvl>
  </w:abstractNum>
  <w:abstractNum w:abstractNumId="31">
    <w:nsid w:val="168E121F"/>
    <w:multiLevelType w:val="hybridMultilevel"/>
    <w:lvl w:ilvl="0">
      <w:lvlJc w:val="left"/>
      <w:lvlText w:val="(%1)"/>
      <w:numFmt w:val="decimal"/>
      <w:start w:val="7"/>
    </w:lvl>
  </w:abstractNum>
  <w:abstractNum w:abstractNumId="32">
    <w:nsid w:val="1EBA5D23"/>
    <w:multiLevelType w:val="hybridMultilevel"/>
    <w:lvl w:ilvl="0">
      <w:lvlJc w:val="left"/>
      <w:lvlText w:val="(%1)"/>
      <w:numFmt w:val="decimal"/>
      <w:start w:val="17"/>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lowerLetter"/>
      <w:start w:val="1"/>
    </w:lvl>
  </w:abstractNum>
  <w:abstractNum w:abstractNumId="36">
    <w:nsid w:val="7BD3EE7B"/>
    <w:multiLevelType w:val="hybridMultilevel"/>
    <w:lvl w:ilvl="0">
      <w:lvlJc w:val="left"/>
      <w:lvlText w:val="(%1)"/>
      <w:numFmt w:val="lowerLetter"/>
      <w:start w:val="2"/>
    </w:lvl>
  </w:abstractNum>
  <w:abstractNum w:abstractNumId="37">
    <w:nsid w:val="51D9C564"/>
    <w:multiLevelType w:val="hybridMultilevel"/>
    <w:lvl w:ilvl="0">
      <w:lvlJc w:val="left"/>
      <w:lvlText w:val="(%1)"/>
      <w:numFmt w:val="decimal"/>
      <w:start w:val="2"/>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1)"/>
      <w:numFmt w:val="decimal"/>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5"/>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3"/>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decimal"/>
      <w:start w:val="8"/>
    </w:lvl>
  </w:abstractNum>
  <w:abstractNum w:abstractNumId="48">
    <w:nsid w:val="60B6DF70"/>
    <w:multiLevelType w:val="hybridMultilevel"/>
    <w:lvl w:ilvl="0">
      <w:lvlJc w:val="left"/>
      <w:lvlText w:val="(%1)"/>
      <w:numFmt w:val="decimal"/>
      <w:start w:val="1"/>
    </w:lvl>
  </w:abstractNum>
  <w:abstractNum w:abstractNumId="49">
    <w:nsid w:val="6A5EE64"/>
    <w:multiLevelType w:val="hybridMultilevel"/>
    <w:lvl w:ilvl="0">
      <w:lvlJc w:val="left"/>
      <w:lvlText w:val="(%1)"/>
      <w:numFmt w:val="decimal"/>
      <w:start w:val="7"/>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1)"/>
      <w:numFmt w:val="decimal"/>
      <w:start w:val="1"/>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1"/>
    </w:lvl>
  </w:abstractNum>
  <w:abstractNum w:abstractNumId="56">
    <w:nsid w:val="6EB5BD4"/>
    <w:multiLevelType w:val="hybridMultilevel"/>
    <w:lvl w:ilvl="0">
      <w:lvlJc w:val="left"/>
      <w:lvlText w:val="(%1)"/>
      <w:numFmt w:val="lowerLetter"/>
      <w:start w:val="2"/>
    </w:lvl>
  </w:abstractNum>
  <w:abstractNum w:abstractNumId="57">
    <w:nsid w:val="6F6DD9AC"/>
    <w:multiLevelType w:val="hybridMultilevel"/>
    <w:lvl w:ilvl="0">
      <w:lvlJc w:val="left"/>
      <w:lvlText w:val="(%1)"/>
      <w:numFmt w:val="decimal"/>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1"/>
    </w:lvl>
    <w:lvl w:ilvl="1">
      <w:lvlJc w:val="left"/>
      <w:lvlText w:val="(%2)"/>
      <w:numFmt w:val="lowerLetter"/>
      <w:start w:val="1"/>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5"/>
      <w:numFmt w:val="bullet"/>
      <w:start w:val="1"/>
    </w:lvl>
  </w:abstractNum>
  <w:abstractNum w:abstractNumId="76">
    <w:nsid w:val="7F01579B"/>
    <w:multiLevelType w:val="hybridMultilevel"/>
    <w:lvl w:ilvl="0">
      <w:lvlJc w:val="left"/>
      <w:lvlText w:val="%1"/>
      <w:numFmt w:val="decimal"/>
      <w:start w:val="24"/>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decimal"/>
      <w:start w:val="1"/>
    </w:lvl>
  </w:abstractNum>
  <w:abstractNum w:abstractNumId="79">
    <w:nsid w:val="5FB8370B"/>
    <w:multiLevelType w:val="hybridMultilevel"/>
    <w:lvl w:ilvl="0">
      <w:lvlJc w:val="left"/>
      <w:lvlText w:val="(%1)"/>
      <w:numFmt w:val="lowerRoman"/>
      <w:start w:val="1"/>
    </w:lvl>
  </w:abstractNum>
  <w:abstractNum w:abstractNumId="80">
    <w:nsid w:val="50801EE1"/>
    <w:multiLevelType w:val="hybridMultilevel"/>
    <w:lvl w:ilvl="0">
      <w:lvlJc w:val="left"/>
      <w:lvlText w:val="(%1)"/>
      <w:numFmt w:val="decimal"/>
      <w:start w:val="2"/>
    </w:lvl>
  </w:abstractNum>
  <w:abstractNum w:abstractNumId="81">
    <w:nsid w:val="488AC1A"/>
    <w:multiLevelType w:val="hybridMultilevel"/>
    <w:lvl w:ilvl="0">
      <w:lvlJc w:val="left"/>
      <w:lvlText w:val="(%1)"/>
      <w:numFmt w:val="lowerRoman"/>
      <w:start w:val="1"/>
    </w:lvl>
  </w:abstractNum>
  <w:abstractNum w:abstractNumId="82">
    <w:nsid w:val="5FB8011C"/>
    <w:multiLevelType w:val="hybridMultilevel"/>
    <w:lvl w:ilvl="0">
      <w:lvlJc w:val="left"/>
      <w:lvlText w:val="(%1)"/>
      <w:numFmt w:val="lowerLetter"/>
      <w:start w:val="2"/>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3"/>
    </w:lvl>
  </w:abstractNum>
  <w:abstractNum w:abstractNumId="85">
    <w:nsid w:val="6FC75AF8"/>
    <w:multiLevelType w:val="hybridMultilevel"/>
    <w:lvl w:ilvl="0">
      <w:lvlJc w:val="left"/>
      <w:lvlText w:val="%1."/>
      <w:numFmt w:val="decimal"/>
      <w:start w:val="1"/>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1)"/>
      <w:numFmt w:val="lowerLetter"/>
      <w:start w:val="1"/>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1)"/>
      <w:numFmt w:val="lowerRoman"/>
      <w:start w:val="3"/>
    </w:lvl>
  </w:abstractNum>
  <w:abstractNum w:abstractNumId="90">
    <w:nsid w:val="7DE67713"/>
    <w:multiLevelType w:val="hybridMultilevel"/>
    <w:lvl w:ilvl="0">
      <w:lvlJc w:val="left"/>
      <w:lvlText w:val="(%1)"/>
      <w:numFmt w:val="decimal"/>
      <w:start w:val="1"/>
    </w:lvl>
    <w:lvl w:ilvl="1">
      <w:lvlJc w:val="left"/>
      <w:lvlText w:val="-"/>
      <w:numFmt w:val="bullet"/>
      <w:start w:val="1"/>
    </w:lvl>
  </w:abstractNum>
  <w:abstractNum w:abstractNumId="91">
    <w:nsid w:val="555C55B5"/>
    <w:multiLevelType w:val="hybridMultilevel"/>
    <w:lvl w:ilvl="0">
      <w:lvlJc w:val="left"/>
      <w:lvlText w:val="(%1)"/>
      <w:numFmt w:val="decimal"/>
      <w:start w:val="8"/>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decimal"/>
      <w:start w:val="2"/>
    </w:lvl>
  </w:abstractNum>
  <w:abstractNum w:abstractNumId="100">
    <w:nsid w:val="1D545C4D"/>
    <w:multiLevelType w:val="hybridMultilevel"/>
    <w:lvl w:ilvl="0">
      <w:lvlJc w:val="left"/>
      <w:lvlText w:val="%1."/>
      <w:numFmt w:val="decimal"/>
      <w:start w:val="3"/>
    </w:lvl>
  </w:abstractNum>
  <w:abstractNum w:abstractNumId="101">
    <w:nsid w:val="59ADEA3D"/>
    <w:multiLevelType w:val="hybridMultilevel"/>
    <w:lvl w:ilvl="0">
      <w:lvlJc w:val="left"/>
      <w:lvlText w:val="%1."/>
      <w:numFmt w:val="decimal"/>
      <w:start w:val="4"/>
    </w:lvl>
  </w:abstractNum>
  <w:abstractNum w:abstractNumId="102">
    <w:nsid w:val="288F1A34"/>
    <w:multiLevelType w:val="hybridMultilevel"/>
    <w:lvl w:ilvl="0">
      <w:lvlJc w:val="left"/>
      <w:lvlText w:val="%1."/>
      <w:numFmt w:val="decimal"/>
      <w:start w:val="5"/>
    </w:lvl>
  </w:abstractNum>
  <w:abstractNum w:abstractNumId="103">
    <w:nsid w:val="2A155DBC"/>
    <w:multiLevelType w:val="hybridMultilevel"/>
    <w:lvl w:ilvl="0">
      <w:lvlJc w:val="left"/>
      <w:lvlText w:val="%1."/>
      <w:numFmt w:val="decimal"/>
      <w:start w:val="6"/>
    </w:lvl>
  </w:abstractNum>
  <w:abstractNum w:abstractNumId="104">
    <w:nsid w:val="1D9F6E5F"/>
    <w:multiLevelType w:val="hybridMultilevel"/>
    <w:lvl w:ilvl="0">
      <w:lvlJc w:val="left"/>
      <w:lvlText w:val="%1."/>
      <w:numFmt w:val="decimal"/>
      <w:start w:val="8"/>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1."/>
      <w:numFmt w:val="decimal"/>
      <w:start w:val="1"/>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decimal"/>
      <w:start w:val="2"/>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1"/>
      <w:numFmt w:val="bullet"/>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jpe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8" Type="http://schemas.openxmlformats.org/officeDocument/2006/relationships/image" Target="media/image92.png"/><Relationship Id="rId133" Type="http://schemas.openxmlformats.org/officeDocument/2006/relationships/image" Target="media/image93.png"/><Relationship Id="rId149" Type="http://schemas.openxmlformats.org/officeDocument/2006/relationships/image" Target="media/image94.png"/><Relationship Id="rId164" Type="http://schemas.openxmlformats.org/officeDocument/2006/relationships/image" Target="media/image95.png"/><Relationship Id="rId176" Type="http://schemas.openxmlformats.org/officeDocument/2006/relationships/image" Target="media/image96.png"/><Relationship Id="rId184" Type="http://schemas.openxmlformats.org/officeDocument/2006/relationships/image" Target="media/image97.png"/><Relationship Id="rId190" Type="http://schemas.openxmlformats.org/officeDocument/2006/relationships/image" Target="media/image98.png"/><Relationship Id="rId191" Type="http://schemas.openxmlformats.org/officeDocument/2006/relationships/image" Target="media/image99.png"/><Relationship Id="rId192" Type="http://schemas.openxmlformats.org/officeDocument/2006/relationships/image" Target="media/image100.png"/><Relationship Id="rId193" Type="http://schemas.openxmlformats.org/officeDocument/2006/relationships/image" Target="media/image101.png"/><Relationship Id="rId194" Type="http://schemas.openxmlformats.org/officeDocument/2006/relationships/image" Target="media/image102.png"/><Relationship Id="rId195" Type="http://schemas.openxmlformats.org/officeDocument/2006/relationships/image" Target="media/image103.png"/><Relationship Id="rId196" Type="http://schemas.openxmlformats.org/officeDocument/2006/relationships/image" Target="media/image104.png"/><Relationship Id="rId197" Type="http://schemas.openxmlformats.org/officeDocument/2006/relationships/image" Target="media/image105.png"/><Relationship Id="rId198" Type="http://schemas.openxmlformats.org/officeDocument/2006/relationships/image" Target="media/image106.png"/><Relationship Id="rId199" Type="http://schemas.openxmlformats.org/officeDocument/2006/relationships/image" Target="media/image107.png"/><Relationship Id="rId200" Type="http://schemas.openxmlformats.org/officeDocument/2006/relationships/image" Target="media/image108.png"/><Relationship Id="rId201" Type="http://schemas.openxmlformats.org/officeDocument/2006/relationships/image" Target="media/image109.png"/><Relationship Id="rId202" Type="http://schemas.openxmlformats.org/officeDocument/2006/relationships/image" Target="media/image110.png"/><Relationship Id="rId203" Type="http://schemas.openxmlformats.org/officeDocument/2006/relationships/image" Target="media/image111.png"/><Relationship Id="rId204" Type="http://schemas.openxmlformats.org/officeDocument/2006/relationships/image" Target="media/image112.png"/><Relationship Id="rId205" Type="http://schemas.openxmlformats.org/officeDocument/2006/relationships/image" Target="media/image113.png"/><Relationship Id="rId206" Type="http://schemas.openxmlformats.org/officeDocument/2006/relationships/image" Target="media/image114.png"/><Relationship Id="rId207" Type="http://schemas.openxmlformats.org/officeDocument/2006/relationships/image" Target="media/image115.png"/><Relationship Id="rId208" Type="http://schemas.openxmlformats.org/officeDocument/2006/relationships/image" Target="media/image116.png"/><Relationship Id="rId209" Type="http://schemas.openxmlformats.org/officeDocument/2006/relationships/image" Target="media/image117.png"/><Relationship Id="rId210" Type="http://schemas.openxmlformats.org/officeDocument/2006/relationships/image" Target="media/image118.png"/><Relationship Id="rId211" Type="http://schemas.openxmlformats.org/officeDocument/2006/relationships/image" Target="media/image119.png"/><Relationship Id="rId212" Type="http://schemas.openxmlformats.org/officeDocument/2006/relationships/image" Target="media/image120.png"/><Relationship Id="rId213" Type="http://schemas.openxmlformats.org/officeDocument/2006/relationships/image" Target="media/image121.png"/><Relationship Id="rId214" Type="http://schemas.openxmlformats.org/officeDocument/2006/relationships/image" Target="media/image122.png"/><Relationship Id="rId215" Type="http://schemas.openxmlformats.org/officeDocument/2006/relationships/image" Target="media/image123.png"/><Relationship Id="rId216" Type="http://schemas.openxmlformats.org/officeDocument/2006/relationships/image" Target="media/image124.png"/><Relationship Id="rId217" Type="http://schemas.openxmlformats.org/officeDocument/2006/relationships/image" Target="media/image125.png"/><Relationship Id="rId218" Type="http://schemas.openxmlformats.org/officeDocument/2006/relationships/image" Target="media/image126.png"/><Relationship Id="rId219" Type="http://schemas.openxmlformats.org/officeDocument/2006/relationships/image" Target="media/image127.png"/><Relationship Id="rId220" Type="http://schemas.openxmlformats.org/officeDocument/2006/relationships/image" Target="media/image128.png"/><Relationship Id="rId221" Type="http://schemas.openxmlformats.org/officeDocument/2006/relationships/image" Target="media/image129.png"/><Relationship Id="rId222" Type="http://schemas.openxmlformats.org/officeDocument/2006/relationships/image" Target="media/image130.png"/><Relationship Id="rId223" Type="http://schemas.openxmlformats.org/officeDocument/2006/relationships/image" Target="media/image131.png"/><Relationship Id="rId224" Type="http://schemas.openxmlformats.org/officeDocument/2006/relationships/image" Target="media/image132.png"/><Relationship Id="rId225" Type="http://schemas.openxmlformats.org/officeDocument/2006/relationships/image" Target="media/image133.png"/><Relationship Id="rId226" Type="http://schemas.openxmlformats.org/officeDocument/2006/relationships/image" Target="media/image134.png"/><Relationship Id="rId227" Type="http://schemas.openxmlformats.org/officeDocument/2006/relationships/image" Target="media/image135.png"/><Relationship Id="rId228" Type="http://schemas.openxmlformats.org/officeDocument/2006/relationships/image" Target="media/image136.png"/><Relationship Id="rId229" Type="http://schemas.openxmlformats.org/officeDocument/2006/relationships/image" Target="media/image137.png"/><Relationship Id="rId230" Type="http://schemas.openxmlformats.org/officeDocument/2006/relationships/image" Target="media/image138.png"/><Relationship Id="rId231" Type="http://schemas.openxmlformats.org/officeDocument/2006/relationships/image" Target="media/image139.png"/><Relationship Id="rId232" Type="http://schemas.openxmlformats.org/officeDocument/2006/relationships/image" Target="media/image140.png"/><Relationship Id="rId233" Type="http://schemas.openxmlformats.org/officeDocument/2006/relationships/image" Target="media/image141.png"/><Relationship Id="rId234" Type="http://schemas.openxmlformats.org/officeDocument/2006/relationships/image" Target="media/image142.png"/><Relationship Id="rId235" Type="http://schemas.openxmlformats.org/officeDocument/2006/relationships/image" Target="media/image143.png"/><Relationship Id="rId236" Type="http://schemas.openxmlformats.org/officeDocument/2006/relationships/image" Target="media/image144.png"/><Relationship Id="rId237" Type="http://schemas.openxmlformats.org/officeDocument/2006/relationships/image" Target="media/image145.png"/><Relationship Id="rId238" Type="http://schemas.openxmlformats.org/officeDocument/2006/relationships/image" Target="media/image146.png"/><Relationship Id="rId239" Type="http://schemas.openxmlformats.org/officeDocument/2006/relationships/image" Target="media/image147.png"/><Relationship Id="rId240" Type="http://schemas.openxmlformats.org/officeDocument/2006/relationships/image" Target="media/image148.png"/><Relationship Id="rId241" Type="http://schemas.openxmlformats.org/officeDocument/2006/relationships/image" Target="media/image149.png"/><Relationship Id="rId242" Type="http://schemas.openxmlformats.org/officeDocument/2006/relationships/image" Target="media/image150.png"/><Relationship Id="rId243" Type="http://schemas.openxmlformats.org/officeDocument/2006/relationships/image" Target="media/image151.png"/><Relationship Id="rId244" Type="http://schemas.openxmlformats.org/officeDocument/2006/relationships/image" Target="media/image152.png"/><Relationship Id="rId245" Type="http://schemas.openxmlformats.org/officeDocument/2006/relationships/image" Target="media/image153.png"/><Relationship Id="rId246" Type="http://schemas.openxmlformats.org/officeDocument/2006/relationships/image" Target="media/image154.png"/><Relationship Id="rId247" Type="http://schemas.openxmlformats.org/officeDocument/2006/relationships/image" Target="media/image155.png"/><Relationship Id="rId248" Type="http://schemas.openxmlformats.org/officeDocument/2006/relationships/image" Target="media/image156.png"/><Relationship Id="rId249" Type="http://schemas.openxmlformats.org/officeDocument/2006/relationships/image" Target="media/image157.png"/><Relationship Id="rId250" Type="http://schemas.openxmlformats.org/officeDocument/2006/relationships/image" Target="media/image158.png"/><Relationship Id="rId251" Type="http://schemas.openxmlformats.org/officeDocument/2006/relationships/image" Target="media/image159.png"/><Relationship Id="rId252" Type="http://schemas.openxmlformats.org/officeDocument/2006/relationships/image" Target="media/image160.png"/><Relationship Id="rId253" Type="http://schemas.openxmlformats.org/officeDocument/2006/relationships/image" Target="media/image161.png"/><Relationship Id="rId254" Type="http://schemas.openxmlformats.org/officeDocument/2006/relationships/image" Target="media/image162.png"/><Relationship Id="rId255" Type="http://schemas.openxmlformats.org/officeDocument/2006/relationships/image" Target="media/image163.png"/><Relationship Id="rId256" Type="http://schemas.openxmlformats.org/officeDocument/2006/relationships/image" Target="media/image164.png"/><Relationship Id="rId257" Type="http://schemas.openxmlformats.org/officeDocument/2006/relationships/image" Target="media/image165.jpeg"/><Relationship Id="rId258" Type="http://schemas.openxmlformats.org/officeDocument/2006/relationships/image" Target="media/image166.png"/><Relationship Id="rId259" Type="http://schemas.openxmlformats.org/officeDocument/2006/relationships/image" Target="media/image167.png"/><Relationship Id="rId260" Type="http://schemas.openxmlformats.org/officeDocument/2006/relationships/image" Target="media/image168.png"/><Relationship Id="rId261" Type="http://schemas.openxmlformats.org/officeDocument/2006/relationships/image" Target="media/image169.png"/><Relationship Id="rId262" Type="http://schemas.openxmlformats.org/officeDocument/2006/relationships/image" Target="media/image170.png"/><Relationship Id="rId263" Type="http://schemas.openxmlformats.org/officeDocument/2006/relationships/image" Target="media/image171.png"/><Relationship Id="rId264" Type="http://schemas.openxmlformats.org/officeDocument/2006/relationships/image" Target="media/image172.png"/><Relationship Id="rId265" Type="http://schemas.openxmlformats.org/officeDocument/2006/relationships/image" Target="media/image173.png"/><Relationship Id="rId266" Type="http://schemas.openxmlformats.org/officeDocument/2006/relationships/image" Target="media/image174.png"/><Relationship Id="rId267" Type="http://schemas.openxmlformats.org/officeDocument/2006/relationships/image" Target="media/image175.png"/><Relationship Id="rId268" Type="http://schemas.openxmlformats.org/officeDocument/2006/relationships/image" Target="media/image176.png"/><Relationship Id="rId269" Type="http://schemas.openxmlformats.org/officeDocument/2006/relationships/image" Target="media/image177.png"/><Relationship Id="rId270" Type="http://schemas.openxmlformats.org/officeDocument/2006/relationships/image" Target="media/image178.png"/><Relationship Id="rId271" Type="http://schemas.openxmlformats.org/officeDocument/2006/relationships/image" Target="media/image179.png"/><Relationship Id="rId272" Type="http://schemas.openxmlformats.org/officeDocument/2006/relationships/image" Target="media/image180.png"/><Relationship Id="rId273" Type="http://schemas.openxmlformats.org/officeDocument/2006/relationships/image" Target="media/image181.png"/><Relationship Id="rId274" Type="http://schemas.openxmlformats.org/officeDocument/2006/relationships/image" Target="media/image182.png"/><Relationship Id="rId275" Type="http://schemas.openxmlformats.org/officeDocument/2006/relationships/image" Target="media/image183.png"/><Relationship Id="rId276" Type="http://schemas.openxmlformats.org/officeDocument/2006/relationships/image" Target="media/image184.png"/><Relationship Id="rId277" Type="http://schemas.openxmlformats.org/officeDocument/2006/relationships/image" Target="media/image185.png"/><Relationship Id="rId278" Type="http://schemas.openxmlformats.org/officeDocument/2006/relationships/image" Target="media/image186.png"/><Relationship Id="rId279" Type="http://schemas.openxmlformats.org/officeDocument/2006/relationships/image" Target="media/image187.png"/><Relationship Id="rId280" Type="http://schemas.openxmlformats.org/officeDocument/2006/relationships/image" Target="media/image188.png"/><Relationship Id="rId281" Type="http://schemas.openxmlformats.org/officeDocument/2006/relationships/image" Target="media/image189.jpeg"/><Relationship Id="rId282" Type="http://schemas.openxmlformats.org/officeDocument/2006/relationships/image" Target="media/image190.png"/><Relationship Id="rId283" Type="http://schemas.openxmlformats.org/officeDocument/2006/relationships/image" Target="media/image191.png"/><Relationship Id="rId284" Type="http://schemas.openxmlformats.org/officeDocument/2006/relationships/image" Target="media/image192.png"/><Relationship Id="rId285" Type="http://schemas.openxmlformats.org/officeDocument/2006/relationships/image" Target="media/image193.png"/><Relationship Id="rId286" Type="http://schemas.openxmlformats.org/officeDocument/2006/relationships/image" Target="media/image194.png"/><Relationship Id="rId287" Type="http://schemas.openxmlformats.org/officeDocument/2006/relationships/image" Target="media/image195.png"/><Relationship Id="rId288" Type="http://schemas.openxmlformats.org/officeDocument/2006/relationships/image" Target="media/image196.png"/><Relationship Id="rId289" Type="http://schemas.openxmlformats.org/officeDocument/2006/relationships/image" Target="media/image197.png"/><Relationship Id="rId290" Type="http://schemas.openxmlformats.org/officeDocument/2006/relationships/image" Target="media/image198.png"/><Relationship Id="rId291" Type="http://schemas.openxmlformats.org/officeDocument/2006/relationships/image" Target="media/image199.png"/><Relationship Id="rId292" Type="http://schemas.openxmlformats.org/officeDocument/2006/relationships/image" Target="media/image200.png"/><Relationship Id="rId293" Type="http://schemas.openxmlformats.org/officeDocument/2006/relationships/image" Target="media/image201.png"/><Relationship Id="rId294" Type="http://schemas.openxmlformats.org/officeDocument/2006/relationships/image" Target="media/image202.png"/><Relationship Id="rId295" Type="http://schemas.openxmlformats.org/officeDocument/2006/relationships/image" Target="media/image203.jpeg"/><Relationship Id="rId296" Type="http://schemas.openxmlformats.org/officeDocument/2006/relationships/image" Target="media/image204.png"/><Relationship Id="rId297" Type="http://schemas.openxmlformats.org/officeDocument/2006/relationships/image" Target="media/image205.png"/><Relationship Id="rId298" Type="http://schemas.openxmlformats.org/officeDocument/2006/relationships/image" Target="media/image206.png"/><Relationship Id="rId299" Type="http://schemas.openxmlformats.org/officeDocument/2006/relationships/image" Target="media/image207.png"/><Relationship Id="rId300" Type="http://schemas.openxmlformats.org/officeDocument/2006/relationships/image" Target="media/image208.png"/><Relationship Id="rId301" Type="http://schemas.openxmlformats.org/officeDocument/2006/relationships/image" Target="media/image209.png"/><Relationship Id="rId302" Type="http://schemas.openxmlformats.org/officeDocument/2006/relationships/image" Target="media/image210.png"/><Relationship Id="rId303" Type="http://schemas.openxmlformats.org/officeDocument/2006/relationships/image" Target="media/image211.png"/><Relationship Id="rId304" Type="http://schemas.openxmlformats.org/officeDocument/2006/relationships/image" Target="media/image212.png"/><Relationship Id="rId305" Type="http://schemas.openxmlformats.org/officeDocument/2006/relationships/image" Target="media/image213.png"/><Relationship Id="rId306" Type="http://schemas.openxmlformats.org/officeDocument/2006/relationships/image" Target="media/image214.png"/><Relationship Id="rId307" Type="http://schemas.openxmlformats.org/officeDocument/2006/relationships/image" Target="media/image215.png"/><Relationship Id="rId308" Type="http://schemas.openxmlformats.org/officeDocument/2006/relationships/image" Target="media/image216.png"/><Relationship Id="rId309" Type="http://schemas.openxmlformats.org/officeDocument/2006/relationships/image" Target="media/image217.png"/><Relationship Id="rId310" Type="http://schemas.openxmlformats.org/officeDocument/2006/relationships/image" Target="media/image218.png"/><Relationship Id="rId311" Type="http://schemas.openxmlformats.org/officeDocument/2006/relationships/image" Target="media/image219.png"/><Relationship Id="rId312" Type="http://schemas.openxmlformats.org/officeDocument/2006/relationships/image" Target="media/image220.png"/><Relationship Id="rId313" Type="http://schemas.openxmlformats.org/officeDocument/2006/relationships/image" Target="media/image221.png"/><Relationship Id="rId314" Type="http://schemas.openxmlformats.org/officeDocument/2006/relationships/image" Target="media/image222.png"/><Relationship Id="rId315" Type="http://schemas.openxmlformats.org/officeDocument/2006/relationships/image" Target="media/image223.png"/><Relationship Id="rId316" Type="http://schemas.openxmlformats.org/officeDocument/2006/relationships/image" Target="media/image224.png"/><Relationship Id="rId317" Type="http://schemas.openxmlformats.org/officeDocument/2006/relationships/image" Target="media/image225.png"/><Relationship Id="rId318" Type="http://schemas.openxmlformats.org/officeDocument/2006/relationships/image" Target="media/image226.png"/><Relationship Id="rId319" Type="http://schemas.openxmlformats.org/officeDocument/2006/relationships/image" Target="media/image227.png"/><Relationship Id="rId320" Type="http://schemas.openxmlformats.org/officeDocument/2006/relationships/image" Target="media/image228.png"/><Relationship Id="rId321" Type="http://schemas.openxmlformats.org/officeDocument/2006/relationships/image" Target="media/image229.png"/><Relationship Id="rId322" Type="http://schemas.openxmlformats.org/officeDocument/2006/relationships/image" Target="media/image230.png"/><Relationship Id="rId323" Type="http://schemas.openxmlformats.org/officeDocument/2006/relationships/image" Target="media/image231.png"/><Relationship Id="rId324" Type="http://schemas.openxmlformats.org/officeDocument/2006/relationships/image" Target="media/image232.png"/><Relationship Id="rId325" Type="http://schemas.openxmlformats.org/officeDocument/2006/relationships/image" Target="media/image233.png"/><Relationship Id="rId326" Type="http://schemas.openxmlformats.org/officeDocument/2006/relationships/image" Target="media/image234.jpeg"/><Relationship Id="rId327" Type="http://schemas.openxmlformats.org/officeDocument/2006/relationships/image" Target="media/image235.jpeg"/><Relationship Id="rId328" Type="http://schemas.openxmlformats.org/officeDocument/2006/relationships/image" Target="media/image236.png"/><Relationship Id="rId329" Type="http://schemas.openxmlformats.org/officeDocument/2006/relationships/image" Target="media/image237.jpeg"/><Relationship Id="rId330" Type="http://schemas.openxmlformats.org/officeDocument/2006/relationships/image" Target="media/image238.png"/><Relationship Id="rId331" Type="http://schemas.openxmlformats.org/officeDocument/2006/relationships/image" Target="media/image239.png"/><Relationship Id="rId332" Type="http://schemas.openxmlformats.org/officeDocument/2006/relationships/image" Target="media/image240.png"/><Relationship Id="rId333" Type="http://schemas.openxmlformats.org/officeDocument/2006/relationships/image" Target="media/image241.png"/><Relationship Id="rId334" Type="http://schemas.openxmlformats.org/officeDocument/2006/relationships/image" Target="media/image242.png"/><Relationship Id="rId335" Type="http://schemas.openxmlformats.org/officeDocument/2006/relationships/image" Target="media/image243.png"/><Relationship Id="rId336" Type="http://schemas.openxmlformats.org/officeDocument/2006/relationships/image" Target="media/image244.png"/><Relationship Id="rId337" Type="http://schemas.openxmlformats.org/officeDocument/2006/relationships/image" Target="media/image245.png"/><Relationship Id="rId338" Type="http://schemas.openxmlformats.org/officeDocument/2006/relationships/image" Target="media/image246.png"/><Relationship Id="rId339" Type="http://schemas.openxmlformats.org/officeDocument/2006/relationships/image" Target="media/image247.png"/><Relationship Id="rId340" Type="http://schemas.openxmlformats.org/officeDocument/2006/relationships/image" Target="media/image248.png"/><Relationship Id="rId341" Type="http://schemas.openxmlformats.org/officeDocument/2006/relationships/image" Target="media/image249.png"/><Relationship Id="rId342" Type="http://schemas.openxmlformats.org/officeDocument/2006/relationships/image" Target="media/image250.png"/><Relationship Id="rId88" Type="http://schemas.openxmlformats.org/officeDocument/2006/relationships/hyperlink" Target="http://www.sec.gov/ix?doc=/Archives/edgar/data/1219601/000121960125000009/cck-20241231.htm" TargetMode="External"/><Relationship Id="rId89" Type="http://schemas.openxmlformats.org/officeDocument/2006/relationships/hyperlink" Target="http://www.sec.gov/ix?doc=/Archives/edgar/data/1219601/000203985225000064/crowndef14a.htm" TargetMode="External"/><Relationship Id="rId90" Type="http://schemas.openxmlformats.org/officeDocument/2006/relationships/hyperlink" Target="http://www.sec.gov/ix?doc=/Archives/edgar/data/1219601/000121960125000015/cck-20250331.htm" TargetMode="External"/><Relationship Id="rId91" Type="http://schemas.openxmlformats.org/officeDocument/2006/relationships/hyperlink" Target="http://www.sec.gov/ix?doc=/Archives/edgar/data/1219601/000121960125000036/cck-20250630.htm" TargetMode="External"/><Relationship Id="rId92" Type="http://schemas.openxmlformats.org/officeDocument/2006/relationships/hyperlink" Target="http://www.sec.gov/ix?doc=/Archives/edgar/data/1219601/000162828025047477/cck-20250930.htm" TargetMode="External"/><Relationship Id="rId93" Type="http://schemas.openxmlformats.org/officeDocument/2006/relationships/hyperlink" Target="http://www.sec.gov/ix?doc=/Archives/edgar/data/1219601/000119312525118838/d924504d8k.htm" TargetMode="External"/><Relationship Id="rId94" Type="http://schemas.openxmlformats.org/officeDocument/2006/relationships/hyperlink" Target="http://www.sec.gov/ix?doc=/Archives/edgar/data/1219601/000119312525121763/d99052d8k.htm" TargetMode="External"/><Relationship Id="rId95" Type="http://schemas.openxmlformats.org/officeDocument/2006/relationships/hyperlink" Target="http://www.sec.gov/ix?doc=/Archives/edgar/data/1219601/000119312525129517/d934409d8k.htm" TargetMode="External"/><Relationship Id="rId96" Type="http://schemas.openxmlformats.org/officeDocument/2006/relationships/hyperlink" Target="http://www.sec.gov/ix?doc=/Archives/edgar/data/1219601/000121960125000019/cck-20250609.htm" TargetMode="External"/><Relationship Id="rId97" Type="http://schemas.openxmlformats.org/officeDocument/2006/relationships/hyperlink" Target="http://www.sec.gov/ix?doc=/Archives/edgar/data/1219601/000121960125000029/cck-20250612.htm" TargetMode="External"/><Relationship Id="rId98" Type="http://schemas.openxmlformats.org/officeDocument/2006/relationships/hyperlink" Target="http://www.sec.gov/ix?doc=/Archives/edgar/data/1219601/000119312525213556/d57346d8k.htm" TargetMode="External"/><Relationship Id="rId99" Type="http://schemas.openxmlformats.org/officeDocument/2006/relationships/hyperlink" Target="http://www.sec.gov/ix?doc=/Archives/edgar/data/1219601/000119312525234573/d52487d8k.htm" TargetMode="External"/><Relationship Id="rId100" Type="http://schemas.openxmlformats.org/officeDocument/2006/relationships/hyperlink" Target="http://www.sec.gov/ix?doc=/Archives/edgar/data/1219601/000162828025051361/cck-20251112.htm" TargetMode="External"/><Relationship Id="rId101" Type="http://schemas.openxmlformats.org/officeDocument/2006/relationships/hyperlink" Target="http://www.sec.gov/ix?doc=/Archives/edgar/data/1219601/000119312525287119/d104399d8k.htm" TargetMode="External"/><Relationship Id="rId113" Type="http://schemas.openxmlformats.org/officeDocument/2006/relationships/hyperlink" Target="http://www.sec.gov/Archives/edgar/data/1219601/000121960105000069/ex3a2004.htm" TargetMode="External"/><Relationship Id="rId114" Type="http://schemas.openxmlformats.org/officeDocument/2006/relationships/hyperlink" Target="http://www.sec.gov/Archives/edgar/data/1219601/000119312522303785/d417285dex31.htm" TargetMode="External"/><Relationship Id="rId115" Type="http://schemas.openxmlformats.org/officeDocument/2006/relationships/hyperlink" Target="http://www.sec.gov/Archives/edgar/data/25890/000119312513373308/d582401dex3c.htm" TargetMode="External"/><Relationship Id="rId116" Type="http://schemas.openxmlformats.org/officeDocument/2006/relationships/hyperlink" Target="http://www.sec.gov/Archives/edgar/data/25890/000119312513373308/d582401dex3d.htm" TargetMode="External"/><Relationship Id="rId117" Type="http://schemas.openxmlformats.org/officeDocument/2006/relationships/hyperlink" Target="http://www.sec.gov/Archives/edgar/data/25890/000119312513373308/d582401dex3g.htm" TargetMode="External"/><Relationship Id="rId119" Type="http://schemas.openxmlformats.org/officeDocument/2006/relationships/hyperlink" Target="http://www.sec.gov/Archives/edgar/data/25890/000119312513373308/d582401dex3h.htm" TargetMode="External"/><Relationship Id="rId120" Type="http://schemas.openxmlformats.org/officeDocument/2006/relationships/hyperlink" Target="http://www.sec.gov/Archives/edgar/data/25890/000119312513373308/d582401dex3i.htm" TargetMode="External"/><Relationship Id="rId121" Type="http://schemas.openxmlformats.org/officeDocument/2006/relationships/hyperlink" Target="http://www.sec.gov/Archives/edgar/data/25890/000119312513373308/d582401dex3j.htm" TargetMode="External"/><Relationship Id="rId122" Type="http://schemas.openxmlformats.org/officeDocument/2006/relationships/hyperlink" Target="http://www.sec.gov/Archives/edgar/data/25890/000119312513373308/d582401dex3k.htm" TargetMode="External"/><Relationship Id="rId123" Type="http://schemas.openxmlformats.org/officeDocument/2006/relationships/hyperlink" Target="http://www.sec.gov/Archives/edgar/data/25890/000119312513373308/d582401dex3l.htm" TargetMode="External"/><Relationship Id="rId124" Type="http://schemas.openxmlformats.org/officeDocument/2006/relationships/hyperlink" Target="http://www.sec.gov/Archives/edgar/data/25890/000119312513373308/d582401dex3m.htm" TargetMode="External"/><Relationship Id="rId125" Type="http://schemas.openxmlformats.org/officeDocument/2006/relationships/hyperlink" Target="http://www.sec.gov/Archives/edgar/data/25890/000119312513373308/d582401dex3n.htm" TargetMode="External"/><Relationship Id="rId126" Type="http://schemas.openxmlformats.org/officeDocument/2006/relationships/hyperlink" Target="http://www.sec.gov/Archives/edgar/data/25890/000119312513373308/d582401dex3o.htm" TargetMode="External"/><Relationship Id="rId127" Type="http://schemas.openxmlformats.org/officeDocument/2006/relationships/hyperlink" Target="http://www.sec.gov/Archives/edgar/data/25890/000119312513373308/d582401dex3p.htm" TargetMode="External"/><Relationship Id="rId128" Type="http://schemas.openxmlformats.org/officeDocument/2006/relationships/hyperlink" Target="http://www.sec.gov/Archives/edgar/data/25890/000119312513373308/d582401dex3s.htm" TargetMode="External"/><Relationship Id="rId129" Type="http://schemas.openxmlformats.org/officeDocument/2006/relationships/hyperlink" Target="http://www.sec.gov/Archives/edgar/data/25890/000119312513373308/d582401dex3t.htm" TargetMode="External"/><Relationship Id="rId130" Type="http://schemas.openxmlformats.org/officeDocument/2006/relationships/hyperlink" Target="http://www.sec.gov/Archives/edgar/data/25890/000119312513373308/d582401dex3u.htm" TargetMode="External"/><Relationship Id="rId131" Type="http://schemas.openxmlformats.org/officeDocument/2006/relationships/hyperlink" Target="http://www.sec.gov/Archives/edgar/data/25890/000119312513373308/d582401dex3v.htm" TargetMode="External"/><Relationship Id="rId132" Type="http://schemas.openxmlformats.org/officeDocument/2006/relationships/hyperlink" Target="http://www.sec.gov/Archives/edgar/data/25890/000119312513373308/d582401dex3y.htm" TargetMode="External"/><Relationship Id="rId134" Type="http://schemas.openxmlformats.org/officeDocument/2006/relationships/hyperlink" Target="http://www.sec.gov/Archives/edgar/data/25890/000119312513373308/d582401dex3z.htm" TargetMode="External"/><Relationship Id="rId135" Type="http://schemas.openxmlformats.org/officeDocument/2006/relationships/hyperlink" Target="http://www.sec.gov/Archives/edgar/data/25890/000119312513373308/d582401dex3aa.htm" TargetMode="External"/><Relationship Id="rId136" Type="http://schemas.openxmlformats.org/officeDocument/2006/relationships/hyperlink" Target="http://www.sec.gov/Archives/edgar/data/25890/000119312513373308/d582401dex3bb.htm" TargetMode="External"/><Relationship Id="rId137" Type="http://schemas.openxmlformats.org/officeDocument/2006/relationships/hyperlink" Target="http://www.sec.gov/Archives/edgar/data/25890/000119312513373308/d582401dex3cc.htm" TargetMode="External"/><Relationship Id="rId138" Type="http://schemas.openxmlformats.org/officeDocument/2006/relationships/hyperlink" Target="http://www.sec.gov/Archives/edgar/data/25890/000119312513373308/d582401dex3dd.htm" TargetMode="External"/><Relationship Id="rId139" Type="http://schemas.openxmlformats.org/officeDocument/2006/relationships/hyperlink" Target="http://www.sec.gov/Archives/edgar/data/25890/000119312518343804/d651519dex3gg.htm" TargetMode="External"/><Relationship Id="rId140" Type="http://schemas.openxmlformats.org/officeDocument/2006/relationships/hyperlink" Target="http://www.sec.gov/Archives/edgar/data/25890/000119312518343804/d651519dex3hh.htm" TargetMode="External"/><Relationship Id="rId141" Type="http://schemas.openxmlformats.org/officeDocument/2006/relationships/hyperlink" Target="http://www.sec.gov/Archives/edgar/data/25890/000119312518343804/d651519dex3ii.htm" TargetMode="External"/><Relationship Id="rId142" Type="http://schemas.openxmlformats.org/officeDocument/2006/relationships/hyperlink" Target="http://www.sec.gov/Archives/edgar/data/25890/000119312518343804/d651519dex3jj.htm" TargetMode="External"/><Relationship Id="rId143" Type="http://schemas.openxmlformats.org/officeDocument/2006/relationships/hyperlink" Target="http://www.sec.gov/Archives/edgar/data/25890/000119312518343804/d651519dex3kk.htm" TargetMode="External"/><Relationship Id="rId144" Type="http://schemas.openxmlformats.org/officeDocument/2006/relationships/hyperlink" Target="http://www.sec.gov/Archives/edgar/data/25890/000119312518343804/d651519dex3ll.htm" TargetMode="External"/><Relationship Id="rId145" Type="http://schemas.openxmlformats.org/officeDocument/2006/relationships/hyperlink" Target="http://www.sec.gov/Archives/edgar/data/25890/000119312518343804/d651519dex3mm.htm" TargetMode="External"/><Relationship Id="rId146" Type="http://schemas.openxmlformats.org/officeDocument/2006/relationships/hyperlink" Target="http://www.sec.gov/Archives/edgar/data/25890/000119312518343804/d651519dex3nn.htm" TargetMode="External"/><Relationship Id="rId147" Type="http://schemas.openxmlformats.org/officeDocument/2006/relationships/hyperlink" Target="http://www.sec.gov/Archives/edgar/data/25890/000119312518343804/d651519dex3oo.htm" TargetMode="External"/><Relationship Id="rId148" Type="http://schemas.openxmlformats.org/officeDocument/2006/relationships/hyperlink" Target="http://www.sec.gov/Archives/edgar/data/25890/000119312518343804/d651519dex3pp.htm" TargetMode="External"/><Relationship Id="rId150" Type="http://schemas.openxmlformats.org/officeDocument/2006/relationships/hyperlink" Target="http://www.sec.gov/Archives/edgar/data/25890/000119312518343804/d651519dex3qq.htm" TargetMode="External"/><Relationship Id="rId151" Type="http://schemas.openxmlformats.org/officeDocument/2006/relationships/hyperlink" Target="http://www.sec.gov/Archives/edgar/data/25890/000119312518343804/d651519dex3rr.htm" TargetMode="External"/><Relationship Id="rId152" Type="http://schemas.openxmlformats.org/officeDocument/2006/relationships/hyperlink" Target="http://www.sec.gov/Archives/edgar/data/1219601/000119312522284738/d410557dex3mm.htm" TargetMode="External"/><Relationship Id="rId153" Type="http://schemas.openxmlformats.org/officeDocument/2006/relationships/hyperlink" Target="http://www.sec.gov/Archives/edgar/data/1219601/000119312522284738/d410557dex3nn.htm" TargetMode="External"/><Relationship Id="rId154" Type="http://schemas.openxmlformats.org/officeDocument/2006/relationships/hyperlink" Target="http://www.sec.gov/Archives/edgar/data/1219601/000119312522284738/d410557dex3oo.htm" TargetMode="External"/><Relationship Id="rId155" Type="http://schemas.openxmlformats.org/officeDocument/2006/relationships/hyperlink" Target="http://www.sec.gov/Archives/edgar/data/1219601/000119312522284738/d410557dex3pp.htm" TargetMode="External"/><Relationship Id="rId156" Type="http://schemas.openxmlformats.org/officeDocument/2006/relationships/hyperlink" Target="http://www.sec.gov/Archives/edgar/data/1219601/000119312522284738/d410557dex3qq.htm" TargetMode="External"/><Relationship Id="rId157" Type="http://schemas.openxmlformats.org/officeDocument/2006/relationships/hyperlink" Target="http://www.sec.gov/Archives/edgar/data/1219601/000119312522284738/d410557dex3rr.htm" TargetMode="External"/><Relationship Id="rId158" Type="http://schemas.openxmlformats.org/officeDocument/2006/relationships/hyperlink" Target="http://www.sec.gov/Archives/edgar/data/1219601/000119312522284738/d410557dex3ss.htm" TargetMode="External"/><Relationship Id="rId159" Type="http://schemas.openxmlformats.org/officeDocument/2006/relationships/hyperlink" Target="http://www.sec.gov/Archives/edgar/data/1219601/000119312522284738/d410557dex3tt.htm" TargetMode="External"/><Relationship Id="rId160" Type="http://schemas.openxmlformats.org/officeDocument/2006/relationships/hyperlink" Target="http://www.sec.gov/Archives/edgar/data/1219601/000119312522284738/d410557dex3uu.htm" TargetMode="External"/><Relationship Id="rId161" Type="http://schemas.openxmlformats.org/officeDocument/2006/relationships/hyperlink" Target="http://www.sec.gov/Archives/edgar/data/1219601/000119312522284738/d410557dex3vv.htm" TargetMode="External"/><Relationship Id="rId162" Type="http://schemas.openxmlformats.org/officeDocument/2006/relationships/hyperlink" Target="http://www.sec.gov/Archives/edgar/data/25890/0000950159-96-000046.txt" TargetMode="External"/><Relationship Id="rId163" Type="http://schemas.openxmlformats.org/officeDocument/2006/relationships/hyperlink" Target="http://www.sec.gov/Archives/edgar/data/25890/0000950109-96-008460.txt" TargetMode="External"/><Relationship Id="rId165" Type="http://schemas.openxmlformats.org/officeDocument/2006/relationships/hyperlink" Target="http://www.sec.gov/Archives/edgar/data/25890/0000950109-96-007915.txt" TargetMode="External"/><Relationship Id="rId166" Type="http://schemas.openxmlformats.org/officeDocument/2006/relationships/hyperlink" Target="http://www.sec.gov/Archives/edgar/data/25890/0000950109-96-008076.txt" TargetMode="External"/><Relationship Id="rId167" Type="http://schemas.openxmlformats.org/officeDocument/2006/relationships/hyperlink" Target="http://www.sec.gov/Archives/edgar/data/25890/0000950109-96-008181.txt" TargetMode="External"/><Relationship Id="rId168" Type="http://schemas.openxmlformats.org/officeDocument/2006/relationships/hyperlink" Target="http://www.sec.gov/Archives/edgar/data/1219601/000095016803000549/dex45.htm" TargetMode="External"/><Relationship Id="rId169" Type="http://schemas.openxmlformats.org/officeDocument/2006/relationships/hyperlink" Target="http://www.sec.gov/Archives/edgar/data/1219601/000119312519283489/d794572dex41.htm" TargetMode="External"/><Relationship Id="rId170" Type="http://schemas.openxmlformats.org/officeDocument/2006/relationships/hyperlink" Target="http://www.sec.gov/Archives/edgar/data/1219601/000119312522080655/d328295dex41.htm" TargetMode="External"/><Relationship Id="rId171" Type="http://schemas.openxmlformats.org/officeDocument/2006/relationships/hyperlink" Target="http://www.sec.gov/Archives/edgar/data/1219601/000121960117000016/ex4march2017.htm" TargetMode="External"/><Relationship Id="rId172" Type="http://schemas.openxmlformats.org/officeDocument/2006/relationships/hyperlink" Target="http://www.sec.gov/Archives/edgar/data/1219601/000119312516712850/d213162dex41.htm" TargetMode="External"/><Relationship Id="rId173" Type="http://schemas.openxmlformats.org/officeDocument/2006/relationships/hyperlink" Target="http://www.sec.gov/Archives/edgar/data/1219601/000119312518029266/d470596dex41.htm" TargetMode="External"/><Relationship Id="rId174" Type="http://schemas.openxmlformats.org/officeDocument/2006/relationships/hyperlink" Target="http://www.sec.gov/Archives/edgar/data/1219601/000119312516712850/d213162dex42.htm" TargetMode="External"/><Relationship Id="rId175" Type="http://schemas.openxmlformats.org/officeDocument/2006/relationships/hyperlink" Target="http://www.sec.gov/Archives/edgar/data/1219601/000119312523293417/d653247dex41.htm" TargetMode="External"/><Relationship Id="rId177" Type="http://schemas.openxmlformats.org/officeDocument/2006/relationships/hyperlink" Target="http://www.sec.gov/Archives/edgar/data/1219601/000119312523152559/d479346dex41.htm" TargetMode="External"/><Relationship Id="rId178" Type="http://schemas.openxmlformats.org/officeDocument/2006/relationships/hyperlink" Target="http://www.sec.gov/Archives/edgar/data/1219601/000119312524197844/d647128dex41.htm" TargetMode="External"/><Relationship Id="rId179" Type="http://schemas.openxmlformats.org/officeDocument/2006/relationships/hyperlink" Target="http://www.sec.gov/Archives/edgar/data/1219601/000119312525129517/d934409dex41.htm" TargetMode="External"/><Relationship Id="rId180" Type="http://schemas.openxmlformats.org/officeDocument/2006/relationships/hyperlink" Target="http://www.sec.gov/Archives/edgar/data/1219601/000119312525234573/d52487dex41.htm" TargetMode="External"/><Relationship Id="rId181" Type="http://schemas.openxmlformats.org/officeDocument/2006/relationships/hyperlink" Target="http://www.sec.gov/Archives/edgar/data/1219601/000121960119000005/ex4dec2018.htm" TargetMode="External"/><Relationship Id="rId182" Type="http://schemas.openxmlformats.org/officeDocument/2006/relationships/hyperlink" Target="http://www.sec.gov/Archives/edgar/data/1219601/000121960118000009/ex4dec2017.htm" TargetMode="External"/><Relationship Id="rId183" Type="http://schemas.openxmlformats.org/officeDocument/2006/relationships/hyperlink" Target="http://www.sec.gov/Archives/edgar/data/1219601/000121960118000009/ex41dec2017.htm" TargetMode="External"/><Relationship Id="rId185" Type="http://schemas.openxmlformats.org/officeDocument/2006/relationships/hyperlink" Target="http://www.sec.gov/Archives/edgar/data/1219601/000119312520053971/d896926dex41.htm" TargetMode="External"/><Relationship Id="rId186" Type="http://schemas.openxmlformats.org/officeDocument/2006/relationships/hyperlink" Target="http://www.sec.gov/Archives/edgar/data/1219601/000121960122000011/exhibit4.htm" TargetMode="External"/><Relationship Id="rId187" Type="http://schemas.openxmlformats.org/officeDocument/2006/relationships/hyperlink" Target="http://www.sec.gov/Archives/edgar/data/1219601/000119312522217895/d372551dex4z.htm" TargetMode="External"/><Relationship Id="rId188" Type="http://schemas.openxmlformats.org/officeDocument/2006/relationships/hyperlink" Target="http://www.sec.gov/Archives/edgar/data/1219601/000121960124000029/ex101-sixthamendmentcadben.htm" TargetMode="External"/><Relationship Id="rId189" Type="http://schemas.openxmlformats.org/officeDocument/2006/relationships/hyperlink" Target="http://www.sec.gov/Archives/edgar/data/1219601/000121960125000009/a4ff-crownseventh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2025-11-25T05:41:53Z</dcterms:created>
  <dcterms:modified xsi:type="dcterms:W3CDTF">2025-11-25T05:41:53Z</dcterms:modified>
</cp:coreProperties>
</file>