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Gifford Gerard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01/03/2025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40,873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155,275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01/06/2025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4,105</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151,170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01/06/2025</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5,657</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jc w:val="center"/>
              <w:ind w:left="1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145,513</w:t>
            </w:r>
          </w:p>
        </w:tc>
        <w:tc>
          <w:tcPr>
            <w:tcW w:w="300" w:type="dxa"/>
            <w:vAlign w:val="bottom"/>
          </w:tcPr>
          <w:p>
            <w:pPr>
              <w:spacing w:after="0"/>
              <w:rPr>
                <w:sz w:val="23"/>
                <w:szCs w:val="23"/>
                <w:color w:val="auto"/>
              </w:rPr>
            </w:pPr>
          </w:p>
        </w:tc>
        <w:tc>
          <w:tcPr>
            <w:tcW w:w="5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5,798</w:t>
            </w:r>
            <w:r>
              <w:rPr>
                <w:rFonts w:ascii="Times New Roman" w:cs="Times New Roman" w:eastAsia="Times New Roman" w:hAnsi="Times New Roman"/>
                <w:sz w:val="22"/>
                <w:szCs w:val="22"/>
                <w:color w:val="008000"/>
                <w:w w:val="93"/>
                <w:vertAlign w:val="superscript"/>
              </w:rPr>
              <w:t>(3)</w:t>
            </w:r>
          </w:p>
        </w:tc>
        <w:tc>
          <w:tcPr>
            <w:tcW w:w="300" w:type="dxa"/>
            <w:vAlign w:val="bottom"/>
          </w:tcPr>
          <w:p>
            <w:pPr>
              <w:spacing w:after="0"/>
              <w:rPr>
                <w:sz w:val="21"/>
                <w:szCs w:val="21"/>
                <w:color w:val="auto"/>
              </w:rPr>
            </w:pPr>
          </w:p>
        </w:tc>
        <w:tc>
          <w:tcPr>
            <w:tcW w:w="5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40,873 shares of Restricted Common Stock under the 2022 Stock-Based Compensation Plan. 14,092 time-vested restricted shares vest over a three year period as follows: 4,698 time-vested restricted shares on January 5, 2026, 4,697 time-vested restricted shares on January 4, 2027 and January 3, 2028, respectively. 12,522 performance-based restricted shares are targeted to vest on January 3, 2028 based on the Company's Total Shareholder Return versus a defined peer group of companies, with the final number of performance-based vested shares varying from 0 to 200% of 12,522. 14,259 performance-based restricted shares are targeted to vest on January 3, 2028 based on the Return on Invested Capital achieved by the Company compared to the ROIC target, with the final number of performance-based vested shares varying from 0 to 14,259.</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2024, the Reporting Person owned 5,798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991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2025-01-07T08:44:08Z</dcterms:created>
  <dcterms:modified xsi:type="dcterms:W3CDTF">2025-01-07T08:44:08Z</dcterms:modified>
</cp:coreProperties>
</file>