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gridSpan w:val="4"/>
          </w:tcPr>
          <w:p>
            <w:pPr>
              <w:jc w:val="center"/>
              <w:ind w:left="1156"/>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75-3099507</w:t>
            </w:r>
          </w:p>
        </w:tc>
        <w:tc>
          <w:tcPr>
            <w:tcW w:w="0" w:type="dxa"/>
            <w:vAlign w:val="bottom"/>
          </w:tcPr>
          <w:p>
            <w:pPr>
              <w:spacing w:after="0"/>
              <w:rPr>
                <w:sz w:val="1"/>
                <w:szCs w:val="1"/>
                <w:color w:val="auto"/>
              </w:rPr>
            </w:pPr>
          </w:p>
        </w:tc>
      </w:tr>
      <w:tr>
        <w:trPr>
          <w:trHeight w:val="148"/>
        </w:trPr>
        <w:tc>
          <w:tcPr>
            <w:tcW w:w="3320" w:type="dxa"/>
            <w:vAlign w:val="bottom"/>
          </w:tcPr>
          <w:p>
            <w:pPr>
              <w:jc w:val="center"/>
              <w:ind w:left="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52"/>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Tampa, Florida 33637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3340" w:type="dxa"/>
            <w:vAlign w:val="bottom"/>
            <w:gridSpan w:val="4"/>
          </w:tcPr>
          <w:p>
            <w:pPr>
              <w:jc w:val="center"/>
              <w:ind w:left="936"/>
              <w:spacing w:after="0"/>
              <w:rPr>
                <w:sz w:val="20"/>
                <w:szCs w:val="20"/>
                <w:color w:val="auto"/>
              </w:rPr>
            </w:pPr>
            <w:r>
              <w:rPr>
                <w:rFonts w:ascii="Times New Roman" w:cs="Times New Roman" w:eastAsia="Times New Roman" w:hAnsi="Times New Roman"/>
                <w:sz w:val="18"/>
                <w:szCs w:val="18"/>
                <w:b w:val="1"/>
                <w:bCs w:val="1"/>
                <w:color w:val="auto"/>
                <w:w w:val="99"/>
              </w:rPr>
              <w:t>(215) 698-5100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336"/>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4160" w:type="dxa"/>
            <w:vAlign w:val="bottom"/>
            <w:gridSpan w:val="6"/>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37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320" w:type="dxa"/>
            <w:vAlign w:val="bottom"/>
            <w:vMerge w:val="restart"/>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320" w:type="dxa"/>
            <w:vAlign w:val="bottom"/>
            <w:tcBorders>
              <w:top w:val="single" w:sz="8" w:color="auto"/>
            </w:tcBorders>
          </w:tcPr>
          <w:p>
            <w:pPr>
              <w:jc w:val="center"/>
              <w:ind w:left="318"/>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3/8% Debentures Due 2026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1/2% Debentures Due 2096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1 - REGISTRANT’S BUSINESS AND OPERATIONS</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2.03 below is hereby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6, 2025, Crown European Holdings S.A.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 wholly-owned subsidiary of Crown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completed its note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€500,000,000 aggregate principal amount of 3.750% senior unsecured notes due 2031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Notes will mature on September 30, 2031 and will accrue interest at a rate of 3.750% per year. Interest on the Notes will be payable semi-annually on March 30 and September 30 of each year, beginning on March 30, 2026. The Issuer may redeem some or all of the Notes, at its option, at any time prior to June 30, 2031 by paying 100% of the principal amount, plus accrued and unpaid interest, if any, to, but excluding, the redemption date, and a make-whole premium. The Issuer may redeem some or all of the Notes, at its option, at any time on or after June 30, 2031 by paying 100% of the principal amount, plus accrued and unpaid interest, if any, to, but excluding, the redemption date.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Notes were sold in a private placement and resold by the initial purchasers to persons reasonably believed to be qualified institutional buyers pursuant to Rule 144A promulgated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non-U.S. persons pursuant to Regulation S of the Securities Act. The Notes have not been registered under the Securities Act and may not be offered or sold in the United States absent registration or an applicable exemption from the registration requirements. The net proceeds from the Offering, together with cash on hand, will be used to redeem the Issuer’s outstanding 2.875% senior notes due in February 2026 and to pay related fees and expenses.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the Issuer or the Company experiences a change of control repurchase event, the Issuer may be required to offer to purchase the Notes at a purchase price equal to 101% of their principal amount, plus accrued and unpaid interest, if any, to, but excluding, the repurchase date.</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Notes are senior obligations of the Issuer. The Notes will be unconditionally guaranteed on a senior basis by the Company and, subject to applicable law and exceptions, certain of the Company’s current and future subsidiaries organized under the laws of the United States, Canada, England and Wales, France, Germany, Luxembourg, Mexico, the Netherlands and Switzerland that are obligors under the Company’s senior secured credit facilities or that guarantees or otherwise becomes liable with respect to any other indebtedness of the Company, the Issuer or another guarantor, and subject to applicable law and exceptions, each of the Issuer’s subsidiaries that guarantee or otherwise become liable with respect to any indebtedness of the Company, the Issuer or another guarantor or is otherwise an obligor under the Company’s senior secured credit facilities.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Notes have been issued under an indenture with U.S. Bank Trust Company, National Association, as trustee. The indenture governing the Notes contain covenants that will limit the ability of the Company and its subsidiaries (including the Issuer) to, among other things, create liens, engage in sale and leaseback transactions or merge or consolidate with or into other companies. If an event of default, as specified in the indenture governing the Notes, shall occur and be continuing, either the trustee or the holders of a specified percentage of the Notes may accelerate the maturity of all the Notes. The covenants, events of default and acceleration rights described in this paragraph are subject to important exceptions and qualifications, which are described in the indenture filed herewith.</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description set forth above is qualified in its entirety by the indenture governing the Notes filed herewith as Exhibit 4.1.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Form 8-K consists of forward-looking statements. These forward-looking statements involve a number of risks, uncertainties and other factors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are discussed under the caption “Forward Looking Statements” in the Company’s Form 10-K Annual Report for the year ended December 31, 2024 and in subsequent filings made prior to or after the date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intend to review or revise any particular forward-looking statement in light of future events.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2" w:lineRule="exact"/>
        <w:rPr>
          <w:sz w:val="20"/>
          <w:szCs w:val="20"/>
          <w:color w:val="auto"/>
        </w:rPr>
      </w:pPr>
    </w:p>
    <w:p>
      <w:pPr>
        <w:ind w:left="200"/>
        <w:spacing w:after="0"/>
        <w:tabs>
          <w:tab w:leader="none" w:pos="578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100" w:lineRule="exact"/>
        <w:rPr>
          <w:sz w:val="20"/>
          <w:szCs w:val="20"/>
          <w:color w:val="auto"/>
        </w:rPr>
      </w:pPr>
    </w:p>
    <w:p>
      <w:pPr>
        <w:jc w:val="both"/>
        <w:ind w:left="1260" w:hanging="1268"/>
        <w:spacing w:after="0" w:line="266" w:lineRule="auto"/>
        <w:tabs>
          <w:tab w:leader="none" w:pos="1240" w:val="left"/>
        </w:tabs>
        <w:rPr>
          <w:sz w:val="20"/>
          <w:szCs w:val="20"/>
          <w:color w:val="auto"/>
        </w:rPr>
      </w:pPr>
      <w:r>
        <w:rPr>
          <w:rFonts w:ascii="Times New Roman" w:cs="Times New Roman" w:eastAsia="Times New Roman" w:hAnsi="Times New Roman"/>
          <w:sz w:val="18"/>
          <w:szCs w:val="18"/>
          <w:color w:val="auto"/>
        </w:rPr>
        <w:t>Exhibit 4.1</w:t>
      </w:r>
      <w:r>
        <w:rPr>
          <w:sz w:val="20"/>
          <w:szCs w:val="20"/>
          <w:color w:val="auto"/>
        </w:rPr>
        <w:tab/>
      </w:r>
      <w:r>
        <w:rPr>
          <w:rFonts w:ascii="Times New Roman" w:cs="Times New Roman" w:eastAsia="Times New Roman" w:hAnsi="Times New Roman"/>
          <w:sz w:val="18"/>
          <w:szCs w:val="18"/>
          <w:u w:val="single" w:color="auto"/>
          <w:color w:val="0000EE"/>
        </w:rPr>
        <w:t>Indenture, dated October 6, 2025, among the Issuer, the Company, the other guarantors party thereto, BNP PARIBAS, as representative of the several initial purchasers party thereto, U.S. Bank Trust Company, National Association, as Trustee, U.S. Bank Europe DAC, as paying agent, registrar and transfer agent, relating to the €500,000,000 3.750% senior unsecured notes due 2031.</w:t>
      </w:r>
    </w:p>
    <w:p>
      <w:pPr>
        <w:spacing w:after="0" w:line="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8,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ectPr>
          <w:pgSz w:w="11900" w:h="16838" w:orient="portrait"/>
          <w:cols w:equalWidth="0" w:num="1">
            <w:col w:w="10560"/>
          </w:cols>
          <w:pgMar w:left="440" w:top="293"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Issuer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Guarantors named herein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U.S. BANK EUROPE DAC</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as Paying Agent, Registrar 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Dated as of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3.750%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9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CROSS-REFERENCE TABLE</w:t>
            </w:r>
          </w:p>
        </w:tc>
        <w:tc>
          <w:tcPr>
            <w:tcW w:w="0" w:type="dxa"/>
            <w:vAlign w:val="bottom"/>
          </w:tcPr>
          <w:p>
            <w:pPr>
              <w:spacing w:after="0"/>
              <w:rPr>
                <w:sz w:val="1"/>
                <w:szCs w:val="1"/>
                <w:color w:val="auto"/>
              </w:rPr>
            </w:pPr>
          </w:p>
        </w:tc>
      </w:tr>
      <w:tr>
        <w:trPr>
          <w:trHeight w:val="369"/>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  TIA</w:t>
            </w:r>
          </w:p>
        </w:tc>
        <w:tc>
          <w:tcPr>
            <w:tcW w:w="26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4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Indenture</w:t>
            </w:r>
          </w:p>
        </w:tc>
        <w:tc>
          <w:tcPr>
            <w:tcW w:w="0" w:type="dxa"/>
            <w:vAlign w:val="bottom"/>
          </w:tcPr>
          <w:p>
            <w:pPr>
              <w:spacing w:after="0"/>
              <w:rPr>
                <w:sz w:val="1"/>
                <w:szCs w:val="1"/>
                <w:color w:val="auto"/>
              </w:rPr>
            </w:pPr>
          </w:p>
        </w:tc>
      </w:tr>
      <w:tr>
        <w:trPr>
          <w:trHeight w:val="191"/>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Section</w:t>
            </w:r>
          </w:p>
        </w:tc>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6540" w:type="dxa"/>
            <w:vAlign w:val="bottom"/>
          </w:tcPr>
          <w:p>
            <w:pPr>
              <w:spacing w:after="0"/>
              <w:rPr>
                <w:sz w:val="16"/>
                <w:szCs w:val="16"/>
                <w:color w:val="auto"/>
              </w:rPr>
            </w:pPr>
          </w:p>
        </w:tc>
        <w:tc>
          <w:tcPr>
            <w:tcW w:w="14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5"/>
        </w:trPr>
        <w:tc>
          <w:tcPr>
            <w:tcW w:w="4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310</w:t>
            </w:r>
          </w:p>
        </w:tc>
        <w:tc>
          <w:tcPr>
            <w:tcW w:w="2620" w:type="dxa"/>
            <w:vAlign w:val="bottom"/>
            <w:vMerge w:val="continue"/>
          </w:tcPr>
          <w:p>
            <w:pPr>
              <w:spacing w:after="0"/>
              <w:rPr>
                <w:sz w:val="16"/>
                <w:szCs w:val="16"/>
                <w:color w:val="auto"/>
              </w:rPr>
            </w:pPr>
          </w:p>
        </w:tc>
        <w:tc>
          <w:tcPr>
            <w:tcW w:w="6540" w:type="dxa"/>
            <w:vAlign w:val="bottom"/>
          </w:tcPr>
          <w:p>
            <w:pPr>
              <w:spacing w:after="0"/>
              <w:rPr>
                <w:sz w:val="16"/>
                <w:szCs w:val="16"/>
                <w:color w:val="auto"/>
              </w:rPr>
            </w:pPr>
          </w:p>
        </w:tc>
        <w:tc>
          <w:tcPr>
            <w:tcW w:w="14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(a)(4)</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(a)(5)</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7.08; 7.10; 11.02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(b)(1)</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(b)(1)</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(b)(2)</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7.06; 11.02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4.06; 4.16; 11.02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(c)(1)</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(c)(2)</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(c)(3)</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7.01(b)</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7.05; 11.02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7.01(a)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7.01(c)</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(last sentence)</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(a)(1)(A)</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(a)(1)(B)</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654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2.05; 7.12</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980" w:type="dxa"/>
            <w:vAlign w:val="bottom"/>
            <w:gridSpan w:val="2"/>
          </w:tcPr>
          <w:p>
            <w:pPr>
              <w:ind w:left="654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 means Not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Cross-Reference Table shall not, for any purpose, be deemed to be a part of this Indenture</w:t>
      </w:r>
    </w:p>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31"/>
        </w:trPr>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3"/>
          </w:tcPr>
          <w:p>
            <w:pPr>
              <w:jc w:val="center"/>
              <w:ind w:right="4580"/>
              <w:spacing w:after="0"/>
              <w:rPr>
                <w:sz w:val="20"/>
                <w:szCs w:val="20"/>
                <w:color w:val="auto"/>
              </w:rPr>
            </w:pPr>
            <w:r>
              <w:rPr>
                <w:rFonts w:ascii="Times New Roman" w:cs="Times New Roman" w:eastAsia="Times New Roman" w:hAnsi="Times New Roman"/>
                <w:sz w:val="18"/>
                <w:szCs w:val="18"/>
                <w:color w:val="auto"/>
                <w:w w:val="98"/>
              </w:rPr>
              <w:t>ARTICLE ONE</w:t>
            </w:r>
          </w:p>
        </w:tc>
        <w:tc>
          <w:tcPr>
            <w:tcW w:w="280" w:type="dxa"/>
            <w:vAlign w:val="bottom"/>
          </w:tcPr>
          <w:p>
            <w:pPr>
              <w:spacing w:after="0"/>
              <w:rPr>
                <w:sz w:val="24"/>
                <w:szCs w:val="24"/>
                <w:color w:val="auto"/>
              </w:rPr>
            </w:pPr>
          </w:p>
        </w:tc>
      </w:tr>
      <w:tr>
        <w:trPr>
          <w:trHeight w:val="324"/>
        </w:trPr>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gridSpan w:val="15"/>
          </w:tcPr>
          <w:p>
            <w:pPr>
              <w:jc w:val="center"/>
              <w:ind w:right="302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Definitions</w:t>
            </w:r>
          </w:p>
        </w:tc>
        <w:tc>
          <w:tcPr>
            <w:tcW w:w="8300" w:type="dxa"/>
            <w:vAlign w:val="bottom"/>
            <w:gridSpan w:val="2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1.02.</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3640" w:type="dxa"/>
            <w:vAlign w:val="bottom"/>
            <w:tcBorders>
              <w:top w:val="single" w:sz="8" w:color="auto"/>
            </w:tcBorders>
            <w:gridSpan w:val="25"/>
          </w:tcPr>
          <w:p>
            <w:pPr>
              <w:spacing w:after="0" w:line="196" w:lineRule="exact"/>
              <w:rPr>
                <w:sz w:val="20"/>
                <w:szCs w:val="20"/>
                <w:color w:val="auto"/>
              </w:rPr>
            </w:pPr>
            <w:r>
              <w:rPr>
                <w:rFonts w:ascii="Times New Roman" w:cs="Times New Roman" w:eastAsia="Times New Roman" w:hAnsi="Times New Roman"/>
                <w:sz w:val="18"/>
                <w:szCs w:val="18"/>
                <w:color w:val="auto"/>
              </w:rPr>
              <w:t>Rules of Construction</w:t>
            </w:r>
          </w:p>
        </w:tc>
        <w:tc>
          <w:tcPr>
            <w:tcW w:w="54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345"/>
        </w:trPr>
        <w:tc>
          <w:tcPr>
            <w:tcW w:w="16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3"/>
          </w:tcPr>
          <w:p>
            <w:pPr>
              <w:jc w:val="center"/>
              <w:ind w:right="4580"/>
              <w:spacing w:after="0"/>
              <w:rPr>
                <w:sz w:val="20"/>
                <w:szCs w:val="20"/>
                <w:color w:val="auto"/>
              </w:rPr>
            </w:pPr>
            <w:r>
              <w:rPr>
                <w:rFonts w:ascii="Times New Roman" w:cs="Times New Roman" w:eastAsia="Times New Roman" w:hAnsi="Times New Roman"/>
                <w:sz w:val="18"/>
                <w:szCs w:val="18"/>
                <w:color w:val="auto"/>
                <w:w w:val="98"/>
              </w:rPr>
              <w:t>ARTICLE TWO</w:t>
            </w:r>
          </w:p>
        </w:tc>
        <w:tc>
          <w:tcPr>
            <w:tcW w:w="280" w:type="dxa"/>
            <w:vAlign w:val="bottom"/>
          </w:tcPr>
          <w:p>
            <w:pPr>
              <w:spacing w:after="0"/>
              <w:rPr>
                <w:sz w:val="24"/>
                <w:szCs w:val="24"/>
                <w:color w:val="auto"/>
              </w:rPr>
            </w:pPr>
          </w:p>
        </w:tc>
      </w:tr>
      <w:tr>
        <w:trPr>
          <w:trHeight w:val="324"/>
        </w:trPr>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4"/>
          </w:tcPr>
          <w:p>
            <w:pPr>
              <w:jc w:val="center"/>
              <w:ind w:right="4500"/>
              <w:spacing w:after="0"/>
              <w:rPr>
                <w:sz w:val="20"/>
                <w:szCs w:val="20"/>
                <w:color w:val="auto"/>
              </w:rPr>
            </w:pPr>
            <w:r>
              <w:rPr>
                <w:rFonts w:ascii="Times New Roman" w:cs="Times New Roman" w:eastAsia="Times New Roman" w:hAnsi="Times New Roman"/>
                <w:sz w:val="18"/>
                <w:szCs w:val="18"/>
                <w:color w:val="auto"/>
              </w:rPr>
              <w:t>THE SECURITIES</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Amount of Notes</w:t>
            </w:r>
          </w:p>
        </w:tc>
        <w:tc>
          <w:tcPr>
            <w:tcW w:w="786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2.02.</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Form and Dating; Legends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6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2.03.</w:t>
            </w:r>
          </w:p>
        </w:tc>
        <w:tc>
          <w:tcPr>
            <w:tcW w:w="216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Execution and Authentication</w:t>
            </w:r>
          </w:p>
        </w:tc>
        <w:tc>
          <w:tcPr>
            <w:tcW w:w="69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3180" w:type="dxa"/>
            <w:vAlign w:val="bottom"/>
            <w:tcBorders>
              <w:bottom w:val="single" w:sz="8" w:color="auto"/>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w w:val="99"/>
              </w:rPr>
              <w:t>Registrar, Paying Agent and Transfer Agent</w:t>
            </w:r>
          </w:p>
        </w:tc>
        <w:tc>
          <w:tcPr>
            <w:tcW w:w="59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2.05.</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Paying Agent To Hold Money</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2.06.</w:t>
            </w:r>
          </w:p>
        </w:tc>
        <w:tc>
          <w:tcPr>
            <w:tcW w:w="1220" w:type="dxa"/>
            <w:vAlign w:val="bottom"/>
            <w:tcBorders>
              <w:top w:val="single" w:sz="8" w:color="auto"/>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Noteholder Lists</w:t>
            </w:r>
          </w:p>
        </w:tc>
        <w:tc>
          <w:tcPr>
            <w:tcW w:w="960" w:type="dxa"/>
            <w:vAlign w:val="bottom"/>
            <w:tcBorders>
              <w:top w:val="single" w:sz="8" w:color="auto"/>
            </w:tcBorders>
            <w:gridSpan w:val="13"/>
          </w:tcPr>
          <w:p>
            <w:pPr>
              <w:spacing w:after="0"/>
              <w:rPr>
                <w:sz w:val="17"/>
                <w:szCs w:val="17"/>
                <w:color w:val="auto"/>
              </w:rPr>
            </w:pPr>
          </w:p>
        </w:tc>
        <w:tc>
          <w:tcPr>
            <w:tcW w:w="69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2.07.</w:t>
            </w:r>
          </w:p>
        </w:tc>
        <w:tc>
          <w:tcPr>
            <w:tcW w:w="1720" w:type="dxa"/>
            <w:vAlign w:val="bottom"/>
            <w:tcBorders>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Transfer and Exchange</w:t>
            </w:r>
          </w:p>
        </w:tc>
        <w:tc>
          <w:tcPr>
            <w:tcW w:w="74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2.08.</w:t>
            </w:r>
          </w:p>
        </w:tc>
        <w:tc>
          <w:tcPr>
            <w:tcW w:w="142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Replacement Notes</w:t>
            </w:r>
          </w:p>
        </w:tc>
        <w:tc>
          <w:tcPr>
            <w:tcW w:w="77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2.09.</w:t>
            </w:r>
          </w:p>
        </w:tc>
        <w:tc>
          <w:tcPr>
            <w:tcW w:w="136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Outstanding Notes</w:t>
            </w:r>
          </w:p>
        </w:tc>
        <w:tc>
          <w:tcPr>
            <w:tcW w:w="776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2.10.</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Treasury Notes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6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2.11.</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Temporary Notes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92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Cancellation</w:t>
            </w:r>
          </w:p>
        </w:tc>
        <w:tc>
          <w:tcPr>
            <w:tcW w:w="340" w:type="dxa"/>
            <w:vAlign w:val="bottom"/>
            <w:tcBorders>
              <w:top w:val="single" w:sz="8" w:color="auto"/>
            </w:tcBorders>
            <w:gridSpan w:val="3"/>
          </w:tcPr>
          <w:p>
            <w:pPr>
              <w:spacing w:after="0"/>
              <w:rPr>
                <w:sz w:val="17"/>
                <w:szCs w:val="17"/>
                <w:color w:val="auto"/>
              </w:rPr>
            </w:pPr>
          </w:p>
        </w:tc>
        <w:tc>
          <w:tcPr>
            <w:tcW w:w="786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2.13.</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Defaulted Interest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620" w:type="dxa"/>
            <w:vAlign w:val="bottom"/>
          </w:tcPr>
          <w:p>
            <w:pPr>
              <w:spacing w:after="0" w:line="20" w:lineRule="exact"/>
              <w:rPr>
                <w:sz w:val="1"/>
                <w:szCs w:val="1"/>
                <w:color w:val="auto"/>
              </w:rPr>
            </w:pPr>
          </w:p>
        </w:tc>
        <w:tc>
          <w:tcPr>
            <w:tcW w:w="1300" w:type="dxa"/>
            <w:vAlign w:val="bottom"/>
            <w:gridSpan w:val="6"/>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2.14.</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CUSIP, ISIN and Common Code Numbers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2.15.</w:t>
            </w:r>
          </w:p>
        </w:tc>
        <w:tc>
          <w:tcPr>
            <w:tcW w:w="3080" w:type="dxa"/>
            <w:vAlign w:val="bottom"/>
            <w:tcBorders>
              <w:top w:val="single" w:sz="8" w:color="auto"/>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rPr>
              <w:t>Deposit of Moneys</w:t>
            </w:r>
          </w:p>
        </w:tc>
        <w:tc>
          <w:tcPr>
            <w:tcW w:w="60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620" w:type="dxa"/>
            <w:vAlign w:val="bottom"/>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2.16.</w:t>
            </w:r>
          </w:p>
        </w:tc>
        <w:tc>
          <w:tcPr>
            <w:tcW w:w="2920" w:type="dxa"/>
            <w:vAlign w:val="bottom"/>
            <w:tcBorders>
              <w:bottom w:val="single" w:sz="8" w:color="auto"/>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Book-Entry Provisions for Global Notes</w:t>
            </w:r>
          </w:p>
        </w:tc>
        <w:tc>
          <w:tcPr>
            <w:tcW w:w="62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2.17.</w:t>
            </w:r>
          </w:p>
        </w:tc>
        <w:tc>
          <w:tcPr>
            <w:tcW w:w="2340" w:type="dxa"/>
            <w:vAlign w:val="bottom"/>
            <w:tcBorders>
              <w:bottom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9"/>
              </w:rPr>
              <w:t>Transfer and Exchange of Notes</w:t>
            </w:r>
          </w:p>
        </w:tc>
        <w:tc>
          <w:tcPr>
            <w:tcW w:w="67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2.18.</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Computation of Interest</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345"/>
        </w:trPr>
        <w:tc>
          <w:tcPr>
            <w:tcW w:w="16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4"/>
          </w:tcPr>
          <w:p>
            <w:pPr>
              <w:jc w:val="center"/>
              <w:ind w:right="4480"/>
              <w:spacing w:after="0"/>
              <w:rPr>
                <w:sz w:val="20"/>
                <w:szCs w:val="20"/>
                <w:color w:val="auto"/>
              </w:rPr>
            </w:pPr>
            <w:r>
              <w:rPr>
                <w:rFonts w:ascii="Times New Roman" w:cs="Times New Roman" w:eastAsia="Times New Roman" w:hAnsi="Times New Roman"/>
                <w:sz w:val="18"/>
                <w:szCs w:val="18"/>
                <w:color w:val="auto"/>
                <w:w w:val="98"/>
              </w:rPr>
              <w:t>ARTICLE THREE</w:t>
            </w:r>
          </w:p>
        </w:tc>
        <w:tc>
          <w:tcPr>
            <w:tcW w:w="280" w:type="dxa"/>
            <w:vAlign w:val="bottom"/>
          </w:tcPr>
          <w:p>
            <w:pPr>
              <w:spacing w:after="0"/>
              <w:rPr>
                <w:sz w:val="24"/>
                <w:szCs w:val="24"/>
                <w:color w:val="auto"/>
              </w:rPr>
            </w:pPr>
          </w:p>
        </w:tc>
      </w:tr>
      <w:tr>
        <w:trPr>
          <w:trHeight w:val="324"/>
        </w:trPr>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3"/>
          </w:tcPr>
          <w:p>
            <w:pPr>
              <w:jc w:val="center"/>
              <w:ind w:right="4580"/>
              <w:spacing w:after="0"/>
              <w:rPr>
                <w:sz w:val="20"/>
                <w:szCs w:val="20"/>
                <w:color w:val="auto"/>
              </w:rPr>
            </w:pPr>
            <w:r>
              <w:rPr>
                <w:rFonts w:ascii="Times New Roman" w:cs="Times New Roman" w:eastAsia="Times New Roman" w:hAnsi="Times New Roman"/>
                <w:sz w:val="18"/>
                <w:szCs w:val="18"/>
                <w:color w:val="auto"/>
                <w:w w:val="99"/>
              </w:rPr>
              <w:t>REDEMPTION</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1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Election To Redeem; Notices to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620" w:type="dxa"/>
            <w:vAlign w:val="bottom"/>
          </w:tcPr>
          <w:p>
            <w:pPr>
              <w:spacing w:after="0" w:line="20" w:lineRule="exact"/>
              <w:rPr>
                <w:sz w:val="1"/>
                <w:szCs w:val="1"/>
                <w:color w:val="auto"/>
              </w:rPr>
            </w:pPr>
          </w:p>
        </w:tc>
        <w:tc>
          <w:tcPr>
            <w:tcW w:w="1600" w:type="dxa"/>
            <w:vAlign w:val="bottom"/>
            <w:gridSpan w:val="11"/>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Selection by Trustee of Notes To Be Redeemed</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3.03.</w:t>
            </w:r>
          </w:p>
        </w:tc>
        <w:tc>
          <w:tcPr>
            <w:tcW w:w="3420" w:type="dxa"/>
            <w:vAlign w:val="bottom"/>
            <w:tcBorders>
              <w:top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rPr>
              <w:t>Notice of Redemption</w:t>
            </w:r>
          </w:p>
        </w:tc>
        <w:tc>
          <w:tcPr>
            <w:tcW w:w="57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620" w:type="dxa"/>
            <w:vAlign w:val="bottom"/>
          </w:tcPr>
          <w:p>
            <w:pPr>
              <w:spacing w:after="0" w:line="20" w:lineRule="exact"/>
              <w:rPr>
                <w:sz w:val="1"/>
                <w:szCs w:val="1"/>
                <w:color w:val="auto"/>
              </w:rPr>
            </w:pPr>
          </w:p>
        </w:tc>
        <w:tc>
          <w:tcPr>
            <w:tcW w:w="1600" w:type="dxa"/>
            <w:vAlign w:val="bottom"/>
            <w:gridSpan w:val="11"/>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3.04.</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Effect of Notice of Redemption</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2280" w:type="dxa"/>
            <w:vAlign w:val="bottom"/>
            <w:tcBorders>
              <w:top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Deposit of Redemption Price</w:t>
            </w:r>
          </w:p>
        </w:tc>
        <w:tc>
          <w:tcPr>
            <w:tcW w:w="68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3.06.</w:t>
            </w:r>
          </w:p>
        </w:tc>
        <w:tc>
          <w:tcPr>
            <w:tcW w:w="1760" w:type="dxa"/>
            <w:vAlign w:val="bottom"/>
            <w:tcBorders>
              <w:top w:val="single" w:sz="8" w:color="auto"/>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Notes Redeemed in Part</w:t>
            </w:r>
          </w:p>
        </w:tc>
        <w:tc>
          <w:tcPr>
            <w:tcW w:w="340" w:type="dxa"/>
            <w:vAlign w:val="bottom"/>
            <w:tcBorders>
              <w:top w:val="single" w:sz="8" w:color="auto"/>
            </w:tcBorders>
            <w:gridSpan w:val="2"/>
          </w:tcPr>
          <w:p>
            <w:pPr>
              <w:spacing w:after="0"/>
              <w:rPr>
                <w:sz w:val="17"/>
                <w:szCs w:val="17"/>
                <w:color w:val="auto"/>
              </w:rPr>
            </w:pPr>
          </w:p>
        </w:tc>
        <w:tc>
          <w:tcPr>
            <w:tcW w:w="70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3.07.</w:t>
            </w:r>
          </w:p>
        </w:tc>
        <w:tc>
          <w:tcPr>
            <w:tcW w:w="9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Mandatory Redemption</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1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70"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331"/>
        </w:trPr>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20" w:type="dxa"/>
            <w:vAlign w:val="bottom"/>
            <w:gridSpan w:val="4"/>
          </w:tcPr>
          <w:p>
            <w:pPr>
              <w:jc w:val="center"/>
              <w:ind w:right="4400"/>
              <w:spacing w:after="0"/>
              <w:rPr>
                <w:sz w:val="20"/>
                <w:szCs w:val="20"/>
                <w:color w:val="auto"/>
              </w:rPr>
            </w:pPr>
            <w:r>
              <w:rPr>
                <w:rFonts w:ascii="Times New Roman" w:cs="Times New Roman" w:eastAsia="Times New Roman" w:hAnsi="Times New Roman"/>
                <w:sz w:val="18"/>
                <w:szCs w:val="18"/>
                <w:color w:val="auto"/>
                <w:w w:val="99"/>
              </w:rPr>
              <w:t>ARTICLE FOUR</w:t>
            </w:r>
          </w:p>
        </w:tc>
        <w:tc>
          <w:tcPr>
            <w:tcW w:w="280" w:type="dxa"/>
            <w:vAlign w:val="bottom"/>
          </w:tcPr>
          <w:p>
            <w:pPr>
              <w:spacing w:after="0"/>
              <w:rPr>
                <w:sz w:val="24"/>
                <w:szCs w:val="24"/>
                <w:color w:val="auto"/>
              </w:rPr>
            </w:pPr>
          </w:p>
        </w:tc>
      </w:tr>
      <w:tr>
        <w:trPr>
          <w:trHeight w:val="306"/>
        </w:trPr>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20" w:type="dxa"/>
            <w:vAlign w:val="bottom"/>
            <w:gridSpan w:val="4"/>
          </w:tcPr>
          <w:p>
            <w:pPr>
              <w:jc w:val="center"/>
              <w:ind w:right="4400"/>
              <w:spacing w:after="0"/>
              <w:rPr>
                <w:sz w:val="20"/>
                <w:szCs w:val="20"/>
                <w:color w:val="auto"/>
              </w:rPr>
            </w:pPr>
            <w:r>
              <w:rPr>
                <w:rFonts w:ascii="Times New Roman" w:cs="Times New Roman" w:eastAsia="Times New Roman" w:hAnsi="Times New Roman"/>
                <w:sz w:val="18"/>
                <w:szCs w:val="18"/>
                <w:color w:val="auto"/>
                <w:w w:val="99"/>
              </w:rPr>
              <w:t>COVENANTS</w:t>
            </w:r>
          </w:p>
        </w:tc>
        <w:tc>
          <w:tcPr>
            <w:tcW w:w="280" w:type="dxa"/>
            <w:vAlign w:val="bottom"/>
          </w:tcPr>
          <w:p>
            <w:pPr>
              <w:spacing w:after="0"/>
              <w:rPr>
                <w:sz w:val="24"/>
                <w:szCs w:val="24"/>
                <w:color w:val="auto"/>
              </w:rPr>
            </w:pPr>
          </w:p>
        </w:tc>
      </w:tr>
      <w:tr>
        <w:trPr>
          <w:trHeight w:val="194"/>
        </w:trPr>
        <w:tc>
          <w:tcPr>
            <w:tcW w:w="1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4.01.</w:t>
            </w:r>
          </w:p>
        </w:tc>
        <w:tc>
          <w:tcPr>
            <w:tcW w:w="130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9"/>
              </w:rPr>
              <w:t>Payment of Notes</w:t>
            </w:r>
          </w:p>
        </w:tc>
        <w:tc>
          <w:tcPr>
            <w:tcW w:w="7820" w:type="dxa"/>
            <w:vAlign w:val="bottom"/>
            <w:gridSpan w:val="16"/>
          </w:tcPr>
          <w:p>
            <w:pPr>
              <w:spacing w:after="0"/>
              <w:rPr>
                <w:sz w:val="16"/>
                <w:szCs w:val="16"/>
                <w:color w:val="auto"/>
              </w:rPr>
            </w:pPr>
          </w:p>
        </w:tc>
        <w:tc>
          <w:tcPr>
            <w:tcW w:w="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41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244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9"/>
              </w:rPr>
              <w:t>Maintenance of Office or Agency</w:t>
            </w:r>
          </w:p>
        </w:tc>
        <w:tc>
          <w:tcPr>
            <w:tcW w:w="6680" w:type="dxa"/>
            <w:vAlign w:val="bottom"/>
            <w:gridSpan w:val="6"/>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4.03.</w:t>
            </w:r>
          </w:p>
        </w:tc>
        <w:tc>
          <w:tcPr>
            <w:tcW w:w="9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Legal Existence</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1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4.04.</w:t>
            </w:r>
          </w:p>
        </w:tc>
        <w:tc>
          <w:tcPr>
            <w:tcW w:w="9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Compliance with Law</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1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4.05.</w:t>
            </w:r>
          </w:p>
        </w:tc>
        <w:tc>
          <w:tcPr>
            <w:tcW w:w="3000" w:type="dxa"/>
            <w:vAlign w:val="bottom"/>
            <w:tcBorders>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8"/>
              </w:rPr>
              <w:t>Waiver of Stay, Extension or Usury Laws</w:t>
            </w:r>
          </w:p>
        </w:tc>
        <w:tc>
          <w:tcPr>
            <w:tcW w:w="6120" w:type="dxa"/>
            <w:vAlign w:val="bottom"/>
            <w:gridSpan w:val="4"/>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4.06.</w:t>
            </w:r>
          </w:p>
        </w:tc>
        <w:tc>
          <w:tcPr>
            <w:tcW w:w="9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Compliance Certificate</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4.07.</w:t>
            </w:r>
          </w:p>
        </w:tc>
        <w:tc>
          <w:tcPr>
            <w:tcW w:w="1680" w:type="dxa"/>
            <w:vAlign w:val="bottom"/>
            <w:tcBorders>
              <w:top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7440" w:type="dxa"/>
            <w:vAlign w:val="bottom"/>
            <w:gridSpan w:val="10"/>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1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4.08.</w:t>
            </w:r>
          </w:p>
        </w:tc>
        <w:tc>
          <w:tcPr>
            <w:tcW w:w="9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Repurchase at the Option of Holders upon Change of Control Repurchase Event</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r>
      <w:tr>
        <w:trPr>
          <w:trHeight w:val="21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5780" w:type="dxa"/>
            <w:vAlign w:val="bottom"/>
            <w:tcBorders>
              <w:top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[Reserved]</w:t>
            </w:r>
          </w:p>
        </w:tc>
        <w:tc>
          <w:tcPr>
            <w:tcW w:w="33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194"/>
        </w:trPr>
        <w:tc>
          <w:tcPr>
            <w:tcW w:w="1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4.11.</w:t>
            </w:r>
          </w:p>
        </w:tc>
        <w:tc>
          <w:tcPr>
            <w:tcW w:w="1440" w:type="dxa"/>
            <w:vAlign w:val="bottom"/>
            <w:tcBorders>
              <w:bottom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w w:val="99"/>
              </w:rPr>
              <w:t>Limitation on Liens</w:t>
            </w:r>
          </w:p>
        </w:tc>
        <w:tc>
          <w:tcPr>
            <w:tcW w:w="7680" w:type="dxa"/>
            <w:vAlign w:val="bottom"/>
            <w:gridSpan w:val="13"/>
          </w:tcPr>
          <w:p>
            <w:pPr>
              <w:spacing w:after="0"/>
              <w:rPr>
                <w:sz w:val="16"/>
                <w:szCs w:val="16"/>
                <w:color w:val="auto"/>
              </w:rPr>
            </w:pPr>
          </w:p>
        </w:tc>
        <w:tc>
          <w:tcPr>
            <w:tcW w:w="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47</w:t>
            </w:r>
          </w:p>
        </w:tc>
      </w:tr>
      <w:tr>
        <w:trPr>
          <w:trHeight w:val="21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194"/>
        </w:trPr>
        <w:tc>
          <w:tcPr>
            <w:tcW w:w="1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4.15.</w:t>
            </w:r>
          </w:p>
        </w:tc>
        <w:tc>
          <w:tcPr>
            <w:tcW w:w="3420" w:type="dxa"/>
            <w:vAlign w:val="bottom"/>
            <w:tcBorders>
              <w:bottom w:val="single" w:sz="8" w:color="auto"/>
            </w:tcBorders>
            <w:gridSpan w:val="18"/>
          </w:tcPr>
          <w:p>
            <w:pPr>
              <w:spacing w:after="0" w:line="194" w:lineRule="exact"/>
              <w:rPr>
                <w:sz w:val="20"/>
                <w:szCs w:val="20"/>
                <w:color w:val="auto"/>
              </w:rPr>
            </w:pPr>
            <w:r>
              <w:rPr>
                <w:rFonts w:ascii="Times New Roman" w:cs="Times New Roman" w:eastAsia="Times New Roman" w:hAnsi="Times New Roman"/>
                <w:sz w:val="18"/>
                <w:szCs w:val="18"/>
                <w:color w:val="auto"/>
                <w:w w:val="99"/>
              </w:rPr>
              <w:t>Limitation on Sale and Leaseback Transactions</w:t>
            </w:r>
          </w:p>
        </w:tc>
        <w:tc>
          <w:tcPr>
            <w:tcW w:w="5700" w:type="dxa"/>
            <w:vAlign w:val="bottom"/>
            <w:gridSpan w:val="3"/>
          </w:tcPr>
          <w:p>
            <w:pPr>
              <w:spacing w:after="0"/>
              <w:rPr>
                <w:sz w:val="16"/>
                <w:szCs w:val="16"/>
                <w:color w:val="auto"/>
              </w:rPr>
            </w:pPr>
          </w:p>
        </w:tc>
        <w:tc>
          <w:tcPr>
            <w:tcW w:w="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47</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4.16.</w:t>
            </w:r>
          </w:p>
        </w:tc>
        <w:tc>
          <w:tcPr>
            <w:tcW w:w="9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Reports to Holders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162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4.17.</w:t>
            </w:r>
          </w:p>
        </w:tc>
        <w:tc>
          <w:tcPr>
            <w:tcW w:w="9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Additional Note Guarantees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r>
      <w:tr>
        <w:trPr>
          <w:trHeight w:val="218"/>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20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[Reserved]</w:t>
            </w:r>
          </w:p>
        </w:tc>
        <w:tc>
          <w:tcPr>
            <w:tcW w:w="7100" w:type="dxa"/>
            <w:vAlign w:val="bottom"/>
            <w:gridSpan w:val="9"/>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194"/>
        </w:trPr>
        <w:tc>
          <w:tcPr>
            <w:tcW w:w="1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4.19.</w:t>
            </w:r>
          </w:p>
        </w:tc>
        <w:tc>
          <w:tcPr>
            <w:tcW w:w="91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auto"/>
              </w:rPr>
              <w:t>Maintenance of Listing</w:t>
            </w:r>
          </w:p>
        </w:tc>
        <w:tc>
          <w:tcPr>
            <w:tcW w:w="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162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4.20.</w:t>
            </w:r>
          </w:p>
        </w:tc>
        <w:tc>
          <w:tcPr>
            <w:tcW w:w="9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Payment of Additional Amounts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r>
      <w:tr>
        <w:trPr>
          <w:trHeight w:val="344"/>
        </w:trPr>
        <w:tc>
          <w:tcPr>
            <w:tcW w:w="16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20" w:type="dxa"/>
            <w:vAlign w:val="bottom"/>
            <w:gridSpan w:val="4"/>
          </w:tcPr>
          <w:p>
            <w:pPr>
              <w:jc w:val="center"/>
              <w:ind w:right="4400"/>
              <w:spacing w:after="0"/>
              <w:rPr>
                <w:sz w:val="20"/>
                <w:szCs w:val="20"/>
                <w:color w:val="auto"/>
              </w:rPr>
            </w:pPr>
            <w:r>
              <w:rPr>
                <w:rFonts w:ascii="Times New Roman" w:cs="Times New Roman" w:eastAsia="Times New Roman" w:hAnsi="Times New Roman"/>
                <w:sz w:val="18"/>
                <w:szCs w:val="18"/>
                <w:color w:val="auto"/>
                <w:w w:val="99"/>
              </w:rPr>
              <w:t>ARTICLE FIVE</w:t>
            </w:r>
          </w:p>
        </w:tc>
        <w:tc>
          <w:tcPr>
            <w:tcW w:w="280" w:type="dxa"/>
            <w:vAlign w:val="bottom"/>
          </w:tcPr>
          <w:p>
            <w:pPr>
              <w:spacing w:after="0"/>
              <w:rPr>
                <w:sz w:val="24"/>
                <w:szCs w:val="24"/>
                <w:color w:val="auto"/>
              </w:rPr>
            </w:pPr>
          </w:p>
        </w:tc>
      </w:tr>
      <w:tr>
        <w:trPr>
          <w:trHeight w:val="324"/>
        </w:trPr>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5"/>
          </w:tcPr>
          <w:p>
            <w:pPr>
              <w:jc w:val="center"/>
              <w:ind w:right="4080"/>
              <w:spacing w:after="0"/>
              <w:rPr>
                <w:sz w:val="20"/>
                <w:szCs w:val="20"/>
                <w:color w:val="auto"/>
              </w:rPr>
            </w:pPr>
            <w:r>
              <w:rPr>
                <w:rFonts w:ascii="Times New Roman" w:cs="Times New Roman" w:eastAsia="Times New Roman" w:hAnsi="Times New Roman"/>
                <w:sz w:val="18"/>
                <w:szCs w:val="18"/>
                <w:color w:val="auto"/>
                <w:w w:val="99"/>
              </w:rPr>
              <w:t>SUCCESSOR CORPORATION</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Consolidation, Merger and Sale of Assets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5.02.</w:t>
            </w:r>
          </w:p>
        </w:tc>
        <w:tc>
          <w:tcPr>
            <w:tcW w:w="3000" w:type="dxa"/>
            <w:vAlign w:val="bottom"/>
            <w:tcBorders>
              <w:top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Successor Person Substituted</w:t>
            </w:r>
          </w:p>
        </w:tc>
        <w:tc>
          <w:tcPr>
            <w:tcW w:w="6120" w:type="dxa"/>
            <w:vAlign w:val="bottom"/>
            <w:gridSpan w:val="4"/>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r>
      <w:tr>
        <w:trPr>
          <w:trHeight w:val="345"/>
        </w:trPr>
        <w:tc>
          <w:tcPr>
            <w:tcW w:w="16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20" w:type="dxa"/>
            <w:vAlign w:val="bottom"/>
            <w:gridSpan w:val="4"/>
          </w:tcPr>
          <w:p>
            <w:pPr>
              <w:jc w:val="center"/>
              <w:ind w:right="4400"/>
              <w:spacing w:after="0"/>
              <w:rPr>
                <w:sz w:val="20"/>
                <w:szCs w:val="20"/>
                <w:color w:val="auto"/>
              </w:rPr>
            </w:pPr>
            <w:r>
              <w:rPr>
                <w:rFonts w:ascii="Times New Roman" w:cs="Times New Roman" w:eastAsia="Times New Roman" w:hAnsi="Times New Roman"/>
                <w:sz w:val="18"/>
                <w:szCs w:val="18"/>
                <w:color w:val="auto"/>
                <w:w w:val="98"/>
              </w:rPr>
              <w:t>ARTICLE SIX</w:t>
            </w:r>
          </w:p>
        </w:tc>
        <w:tc>
          <w:tcPr>
            <w:tcW w:w="280" w:type="dxa"/>
            <w:vAlign w:val="bottom"/>
          </w:tcPr>
          <w:p>
            <w:pPr>
              <w:spacing w:after="0"/>
              <w:rPr>
                <w:sz w:val="24"/>
                <w:szCs w:val="24"/>
                <w:color w:val="auto"/>
              </w:rPr>
            </w:pPr>
          </w:p>
        </w:tc>
      </w:tr>
      <w:tr>
        <w:trPr>
          <w:trHeight w:val="324"/>
        </w:trPr>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5"/>
          </w:tcPr>
          <w:p>
            <w:pPr>
              <w:jc w:val="center"/>
              <w:ind w:right="406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1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Events of Default</w:t>
            </w:r>
          </w:p>
        </w:tc>
        <w:tc>
          <w:tcPr>
            <w:tcW w:w="7840" w:type="dxa"/>
            <w:vAlign w:val="bottom"/>
            <w:gridSpan w:val="17"/>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6.02.</w:t>
            </w:r>
          </w:p>
        </w:tc>
        <w:tc>
          <w:tcPr>
            <w:tcW w:w="9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Acceleration of Maturity; Rescission</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118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Other Remedies</w:t>
            </w:r>
          </w:p>
        </w:tc>
        <w:tc>
          <w:tcPr>
            <w:tcW w:w="1480" w:type="dxa"/>
            <w:vAlign w:val="bottom"/>
            <w:tcBorders>
              <w:top w:val="single" w:sz="8" w:color="auto"/>
            </w:tcBorders>
            <w:gridSpan w:val="13"/>
          </w:tcPr>
          <w:p>
            <w:pPr>
              <w:spacing w:after="0"/>
              <w:rPr>
                <w:sz w:val="17"/>
                <w:szCs w:val="17"/>
                <w:color w:val="auto"/>
              </w:rPr>
            </w:pPr>
          </w:p>
        </w:tc>
        <w:tc>
          <w:tcPr>
            <w:tcW w:w="6460" w:type="dxa"/>
            <w:vAlign w:val="bottom"/>
            <w:gridSpan w:val="5"/>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6.04.</w:t>
            </w:r>
          </w:p>
        </w:tc>
        <w:tc>
          <w:tcPr>
            <w:tcW w:w="3640" w:type="dxa"/>
            <w:vAlign w:val="bottom"/>
            <w:tcBorders>
              <w:bottom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9"/>
              </w:rPr>
              <w:t>Waiver of Existing Defaults and Events of Default</w:t>
            </w:r>
          </w:p>
        </w:tc>
        <w:tc>
          <w:tcPr>
            <w:tcW w:w="5480" w:type="dxa"/>
            <w:vAlign w:val="bottom"/>
            <w:gridSpan w:val="2"/>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146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Control by Majority</w:t>
            </w:r>
          </w:p>
        </w:tc>
        <w:tc>
          <w:tcPr>
            <w:tcW w:w="7660" w:type="dxa"/>
            <w:vAlign w:val="bottom"/>
            <w:gridSpan w:val="12"/>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6.06.</w:t>
            </w:r>
          </w:p>
        </w:tc>
        <w:tc>
          <w:tcPr>
            <w:tcW w:w="140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Limitation on Suits</w:t>
            </w:r>
          </w:p>
        </w:tc>
        <w:tc>
          <w:tcPr>
            <w:tcW w:w="7720" w:type="dxa"/>
            <w:vAlign w:val="bottom"/>
            <w:gridSpan w:val="14"/>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60</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440" w:top="262"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9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Stockholders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6.08.</w:t>
            </w:r>
          </w:p>
        </w:tc>
        <w:tc>
          <w:tcPr>
            <w:tcW w:w="5320" w:type="dxa"/>
            <w:vAlign w:val="bottom"/>
            <w:tcBorders>
              <w:top w:val="single" w:sz="8" w:color="auto"/>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rPr>
              <w:t>Rights of Holders To Receive Payment</w:t>
            </w:r>
          </w:p>
        </w:tc>
        <w:tc>
          <w:tcPr>
            <w:tcW w:w="3800" w:type="dxa"/>
            <w:vAlign w:val="bottom"/>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60</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6.09.</w:t>
            </w:r>
          </w:p>
        </w:tc>
        <w:tc>
          <w:tcPr>
            <w:tcW w:w="1900" w:type="dxa"/>
            <w:vAlign w:val="bottom"/>
            <w:tcBorders>
              <w:top w:val="single" w:sz="8" w:color="auto"/>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Collection Suit by Trustee</w:t>
            </w:r>
          </w:p>
        </w:tc>
        <w:tc>
          <w:tcPr>
            <w:tcW w:w="920" w:type="dxa"/>
            <w:vAlign w:val="bottom"/>
            <w:tcBorders>
              <w:top w:val="single" w:sz="8" w:color="auto"/>
            </w:tcBorders>
            <w:gridSpan w:val="12"/>
          </w:tcPr>
          <w:p>
            <w:pPr>
              <w:spacing w:after="0"/>
              <w:rPr>
                <w:sz w:val="17"/>
                <w:szCs w:val="17"/>
                <w:color w:val="auto"/>
              </w:rPr>
            </w:pPr>
          </w:p>
        </w:tc>
        <w:tc>
          <w:tcPr>
            <w:tcW w:w="6300" w:type="dxa"/>
            <w:vAlign w:val="bottom"/>
            <w:gridSpan w:val="4"/>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6.10.</w:t>
            </w:r>
          </w:p>
        </w:tc>
        <w:tc>
          <w:tcPr>
            <w:tcW w:w="2440" w:type="dxa"/>
            <w:vAlign w:val="bottom"/>
            <w:tcBorders>
              <w:bottom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Trustee May File Proofs of Claim</w:t>
            </w:r>
          </w:p>
        </w:tc>
        <w:tc>
          <w:tcPr>
            <w:tcW w:w="6680" w:type="dxa"/>
            <w:vAlign w:val="bottom"/>
            <w:gridSpan w:val="9"/>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6.11.</w:t>
            </w:r>
          </w:p>
        </w:tc>
        <w:tc>
          <w:tcPr>
            <w:tcW w:w="91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Priorities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1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6.12.</w:t>
            </w:r>
          </w:p>
        </w:tc>
        <w:tc>
          <w:tcPr>
            <w:tcW w:w="91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Undertaking for Costs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62</w:t>
            </w:r>
          </w:p>
        </w:tc>
      </w:tr>
      <w:tr>
        <w:trPr>
          <w:trHeight w:val="345"/>
        </w:trPr>
        <w:tc>
          <w:tcPr>
            <w:tcW w:w="16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4"/>
          </w:tcPr>
          <w:p>
            <w:pPr>
              <w:jc w:val="center"/>
              <w:ind w:right="4220"/>
              <w:spacing w:after="0"/>
              <w:rPr>
                <w:sz w:val="20"/>
                <w:szCs w:val="20"/>
                <w:color w:val="auto"/>
              </w:rPr>
            </w:pPr>
            <w:r>
              <w:rPr>
                <w:rFonts w:ascii="Times New Roman" w:cs="Times New Roman" w:eastAsia="Times New Roman" w:hAnsi="Times New Roman"/>
                <w:sz w:val="18"/>
                <w:szCs w:val="18"/>
                <w:color w:val="auto"/>
                <w:w w:val="98"/>
              </w:rPr>
              <w:t>ARTICLE SEVEN</w:t>
            </w:r>
          </w:p>
        </w:tc>
        <w:tc>
          <w:tcPr>
            <w:tcW w:w="280" w:type="dxa"/>
            <w:vAlign w:val="bottom"/>
          </w:tcPr>
          <w:p>
            <w:pPr>
              <w:spacing w:after="0"/>
              <w:rPr>
                <w:sz w:val="24"/>
                <w:szCs w:val="24"/>
                <w:color w:val="auto"/>
              </w:rPr>
            </w:pPr>
          </w:p>
        </w:tc>
      </w:tr>
      <w:tr>
        <w:trPr>
          <w:trHeight w:val="324"/>
        </w:trPr>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4"/>
          </w:tcPr>
          <w:p>
            <w:pPr>
              <w:jc w:val="center"/>
              <w:ind w:right="4220"/>
              <w:spacing w:after="0"/>
              <w:rPr>
                <w:sz w:val="20"/>
                <w:szCs w:val="20"/>
                <w:color w:val="auto"/>
              </w:rPr>
            </w:pPr>
            <w:r>
              <w:rPr>
                <w:rFonts w:ascii="Times New Roman" w:cs="Times New Roman" w:eastAsia="Times New Roman" w:hAnsi="Times New Roman"/>
                <w:sz w:val="18"/>
                <w:szCs w:val="18"/>
                <w:color w:val="auto"/>
              </w:rPr>
              <w:t>TRUSTEE</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12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Duties of Trustee</w:t>
            </w:r>
          </w:p>
        </w:tc>
        <w:tc>
          <w:tcPr>
            <w:tcW w:w="7860" w:type="dxa"/>
            <w:vAlign w:val="bottom"/>
            <w:gridSpan w:val="23"/>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126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Rights of Trustee</w:t>
            </w:r>
          </w:p>
        </w:tc>
        <w:tc>
          <w:tcPr>
            <w:tcW w:w="7860" w:type="dxa"/>
            <w:vAlign w:val="bottom"/>
            <w:gridSpan w:val="23"/>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64</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7.03.</w:t>
            </w:r>
          </w:p>
        </w:tc>
        <w:tc>
          <w:tcPr>
            <w:tcW w:w="204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Individual Rights of Trustee</w:t>
            </w:r>
          </w:p>
        </w:tc>
        <w:tc>
          <w:tcPr>
            <w:tcW w:w="7080" w:type="dxa"/>
            <w:vAlign w:val="bottom"/>
            <w:gridSpan w:val="14"/>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7.04.</w:t>
            </w:r>
          </w:p>
        </w:tc>
        <w:tc>
          <w:tcPr>
            <w:tcW w:w="150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Trustee’s Disclaimer</w:t>
            </w:r>
          </w:p>
        </w:tc>
        <w:tc>
          <w:tcPr>
            <w:tcW w:w="7620" w:type="dxa"/>
            <w:vAlign w:val="bottom"/>
            <w:gridSpan w:val="20"/>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7.05.</w:t>
            </w:r>
          </w:p>
        </w:tc>
        <w:tc>
          <w:tcPr>
            <w:tcW w:w="134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Notice of Defaults</w:t>
            </w:r>
          </w:p>
        </w:tc>
        <w:tc>
          <w:tcPr>
            <w:tcW w:w="7780" w:type="dxa"/>
            <w:vAlign w:val="bottom"/>
            <w:gridSpan w:val="21"/>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7.06.</w:t>
            </w:r>
          </w:p>
        </w:tc>
        <w:tc>
          <w:tcPr>
            <w:tcW w:w="218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Reports by Trustee to Holders</w:t>
            </w:r>
          </w:p>
        </w:tc>
        <w:tc>
          <w:tcPr>
            <w:tcW w:w="6940" w:type="dxa"/>
            <w:vAlign w:val="bottom"/>
            <w:gridSpan w:val="11"/>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7.07.</w:t>
            </w:r>
          </w:p>
        </w:tc>
        <w:tc>
          <w:tcPr>
            <w:tcW w:w="214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9"/>
              </w:rPr>
              <w:t>Compensation and Indemnity</w:t>
            </w:r>
          </w:p>
        </w:tc>
        <w:tc>
          <w:tcPr>
            <w:tcW w:w="6980" w:type="dxa"/>
            <w:vAlign w:val="bottom"/>
            <w:gridSpan w:val="12"/>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67</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7.08.</w:t>
            </w:r>
          </w:p>
        </w:tc>
        <w:tc>
          <w:tcPr>
            <w:tcW w:w="91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Replacement of Trustee</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16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7.09.</w:t>
            </w:r>
          </w:p>
        </w:tc>
        <w:tc>
          <w:tcPr>
            <w:tcW w:w="91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Successor Trustee by Consolidation, Merger, etc.</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7.10.</w:t>
            </w:r>
          </w:p>
        </w:tc>
        <w:tc>
          <w:tcPr>
            <w:tcW w:w="2000" w:type="dxa"/>
            <w:vAlign w:val="bottom"/>
            <w:tcBorders>
              <w:top w:val="single" w:sz="8" w:color="auto"/>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Eligibility; Disqualification</w:t>
            </w:r>
          </w:p>
        </w:tc>
        <w:tc>
          <w:tcPr>
            <w:tcW w:w="1540" w:type="dxa"/>
            <w:vAlign w:val="bottom"/>
            <w:tcBorders>
              <w:top w:val="single" w:sz="8" w:color="auto"/>
            </w:tcBorders>
            <w:gridSpan w:val="13"/>
          </w:tcPr>
          <w:p>
            <w:pPr>
              <w:spacing w:after="0"/>
              <w:rPr>
                <w:sz w:val="17"/>
                <w:szCs w:val="17"/>
                <w:color w:val="auto"/>
              </w:rPr>
            </w:pPr>
          </w:p>
        </w:tc>
        <w:tc>
          <w:tcPr>
            <w:tcW w:w="5580" w:type="dxa"/>
            <w:vAlign w:val="bottom"/>
            <w:gridSpan w:val="2"/>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7.11.</w:t>
            </w:r>
          </w:p>
        </w:tc>
        <w:tc>
          <w:tcPr>
            <w:tcW w:w="3480" w:type="dxa"/>
            <w:vAlign w:val="bottom"/>
            <w:tcBorders>
              <w:bottom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w w:val="99"/>
              </w:rPr>
              <w:t>Preferential Collection of Claims Against Issuer</w:t>
            </w:r>
          </w:p>
        </w:tc>
        <w:tc>
          <w:tcPr>
            <w:tcW w:w="5640" w:type="dxa"/>
            <w:vAlign w:val="bottom"/>
            <w:gridSpan w:val="3"/>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7.12.</w:t>
            </w:r>
          </w:p>
        </w:tc>
        <w:tc>
          <w:tcPr>
            <w:tcW w:w="91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Paying Agents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16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7.13.</w:t>
            </w:r>
          </w:p>
        </w:tc>
        <w:tc>
          <w:tcPr>
            <w:tcW w:w="91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237"/>
        </w:trPr>
        <w:tc>
          <w:tcPr>
            <w:tcW w:w="16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4"/>
          </w:tcPr>
          <w:p>
            <w:pPr>
              <w:jc w:val="center"/>
              <w:ind w:right="4220"/>
              <w:spacing w:after="0"/>
              <w:rPr>
                <w:sz w:val="20"/>
                <w:szCs w:val="20"/>
                <w:color w:val="auto"/>
              </w:rPr>
            </w:pPr>
            <w:r>
              <w:rPr>
                <w:rFonts w:ascii="Times New Roman" w:cs="Times New Roman" w:eastAsia="Times New Roman" w:hAnsi="Times New Roman"/>
                <w:sz w:val="18"/>
                <w:szCs w:val="18"/>
                <w:color w:val="auto"/>
                <w:w w:val="98"/>
              </w:rPr>
              <w:t>ARTICLE EIGHT</w:t>
            </w:r>
          </w:p>
        </w:tc>
        <w:tc>
          <w:tcPr>
            <w:tcW w:w="280" w:type="dxa"/>
            <w:vAlign w:val="bottom"/>
          </w:tcPr>
          <w:p>
            <w:pPr>
              <w:spacing w:after="0"/>
              <w:rPr>
                <w:sz w:val="20"/>
                <w:szCs w:val="20"/>
                <w:color w:val="auto"/>
              </w:rPr>
            </w:pPr>
          </w:p>
        </w:tc>
      </w:tr>
      <w:tr>
        <w:trPr>
          <w:trHeight w:val="324"/>
        </w:trPr>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80" w:type="dxa"/>
            <w:vAlign w:val="bottom"/>
            <w:gridSpan w:val="14"/>
          </w:tcPr>
          <w:p>
            <w:pPr>
              <w:jc w:val="center"/>
              <w:ind w:right="3460"/>
              <w:spacing w:after="0"/>
              <w:rPr>
                <w:sz w:val="20"/>
                <w:szCs w:val="20"/>
                <w:color w:val="auto"/>
              </w:rPr>
            </w:pPr>
            <w:r>
              <w:rPr>
                <w:rFonts w:ascii="Times New Roman" w:cs="Times New Roman" w:eastAsia="Times New Roman" w:hAnsi="Times New Roman"/>
                <w:sz w:val="18"/>
                <w:szCs w:val="18"/>
                <w:color w:val="auto"/>
                <w:w w:val="98"/>
              </w:rPr>
              <w:t>AMENDMENT, SUPPLEMENT AND WAIVER</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9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Without Consent of Noteholders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2120" w:type="dxa"/>
            <w:vAlign w:val="bottom"/>
            <w:tcBorders>
              <w:top w:val="single" w:sz="8" w:color="auto"/>
              <w:bottom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w w:val="99"/>
              </w:rPr>
              <w:t>With Consent of Noteholders</w:t>
            </w:r>
          </w:p>
        </w:tc>
        <w:tc>
          <w:tcPr>
            <w:tcW w:w="220" w:type="dxa"/>
            <w:vAlign w:val="bottom"/>
            <w:tcBorders>
              <w:top w:val="single" w:sz="8" w:color="auto"/>
            </w:tcBorders>
            <w:gridSpan w:val="3"/>
          </w:tcPr>
          <w:p>
            <w:pPr>
              <w:spacing w:after="0"/>
              <w:rPr>
                <w:sz w:val="17"/>
                <w:szCs w:val="17"/>
                <w:color w:val="auto"/>
              </w:rPr>
            </w:pPr>
          </w:p>
        </w:tc>
        <w:tc>
          <w:tcPr>
            <w:tcW w:w="6780" w:type="dxa"/>
            <w:vAlign w:val="bottom"/>
            <w:gridSpan w:val="10"/>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72</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8.03.</w:t>
            </w:r>
          </w:p>
        </w:tc>
        <w:tc>
          <w:tcPr>
            <w:tcW w:w="91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Compliance with Trust Indenture Act</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74</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8.04.</w:t>
            </w:r>
          </w:p>
        </w:tc>
        <w:tc>
          <w:tcPr>
            <w:tcW w:w="2520" w:type="dxa"/>
            <w:vAlign w:val="bottom"/>
            <w:tcBorders>
              <w:top w:val="single" w:sz="8" w:color="auto"/>
              <w:bottom w:val="single" w:sz="8" w:color="auto"/>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Revocation and Effect of Consents</w:t>
            </w:r>
          </w:p>
        </w:tc>
        <w:tc>
          <w:tcPr>
            <w:tcW w:w="180" w:type="dxa"/>
            <w:vAlign w:val="bottom"/>
            <w:tcBorders>
              <w:top w:val="single" w:sz="8" w:color="auto"/>
            </w:tcBorders>
          </w:tcPr>
          <w:p>
            <w:pPr>
              <w:spacing w:after="0"/>
              <w:rPr>
                <w:sz w:val="17"/>
                <w:szCs w:val="17"/>
                <w:color w:val="auto"/>
              </w:rPr>
            </w:pPr>
          </w:p>
        </w:tc>
        <w:tc>
          <w:tcPr>
            <w:tcW w:w="6420" w:type="dxa"/>
            <w:vAlign w:val="bottom"/>
            <w:gridSpan w:val="5"/>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74</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8.05.</w:t>
            </w:r>
          </w:p>
        </w:tc>
        <w:tc>
          <w:tcPr>
            <w:tcW w:w="2480" w:type="dxa"/>
            <w:vAlign w:val="bottom"/>
            <w:tcBorders>
              <w:bottom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9"/>
              </w:rPr>
              <w:t>Notation on or Exchange of Notes</w:t>
            </w:r>
          </w:p>
        </w:tc>
        <w:tc>
          <w:tcPr>
            <w:tcW w:w="6640" w:type="dxa"/>
            <w:vAlign w:val="bottom"/>
            <w:gridSpan w:val="8"/>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74</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8.06.</w:t>
            </w:r>
          </w:p>
        </w:tc>
        <w:tc>
          <w:tcPr>
            <w:tcW w:w="91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auto"/>
              </w:rPr>
              <w:t>Trustee To Sign Amendments, etc.</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75</w:t>
            </w:r>
          </w:p>
        </w:tc>
      </w:tr>
      <w:tr>
        <w:trPr>
          <w:trHeight w:val="345"/>
        </w:trPr>
        <w:tc>
          <w:tcPr>
            <w:tcW w:w="16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4"/>
          </w:tcPr>
          <w:p>
            <w:pPr>
              <w:jc w:val="center"/>
              <w:ind w:right="4240"/>
              <w:spacing w:after="0"/>
              <w:rPr>
                <w:sz w:val="20"/>
                <w:szCs w:val="20"/>
                <w:color w:val="auto"/>
              </w:rPr>
            </w:pPr>
            <w:r>
              <w:rPr>
                <w:rFonts w:ascii="Times New Roman" w:cs="Times New Roman" w:eastAsia="Times New Roman" w:hAnsi="Times New Roman"/>
                <w:sz w:val="18"/>
                <w:szCs w:val="18"/>
                <w:color w:val="auto"/>
                <w:w w:val="98"/>
              </w:rPr>
              <w:t>ARTICLE NINE</w:t>
            </w:r>
          </w:p>
        </w:tc>
        <w:tc>
          <w:tcPr>
            <w:tcW w:w="280" w:type="dxa"/>
            <w:vAlign w:val="bottom"/>
          </w:tcPr>
          <w:p>
            <w:pPr>
              <w:spacing w:after="0"/>
              <w:rPr>
                <w:sz w:val="24"/>
                <w:szCs w:val="24"/>
                <w:color w:val="auto"/>
              </w:rPr>
            </w:pPr>
          </w:p>
        </w:tc>
      </w:tr>
      <w:tr>
        <w:trPr>
          <w:trHeight w:val="324"/>
        </w:trPr>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20" w:type="dxa"/>
            <w:vAlign w:val="bottom"/>
            <w:gridSpan w:val="15"/>
          </w:tcPr>
          <w:p>
            <w:pPr>
              <w:jc w:val="center"/>
              <w:ind w:right="3400"/>
              <w:spacing w:after="0"/>
              <w:rPr>
                <w:sz w:val="20"/>
                <w:szCs w:val="20"/>
                <w:color w:val="auto"/>
              </w:rPr>
            </w:pPr>
            <w:r>
              <w:rPr>
                <w:rFonts w:ascii="Times New Roman" w:cs="Times New Roman" w:eastAsia="Times New Roman" w:hAnsi="Times New Roman"/>
                <w:sz w:val="18"/>
                <w:szCs w:val="18"/>
                <w:color w:val="auto"/>
                <w:w w:val="99"/>
              </w:rPr>
              <w:t>DISCHARGE OF INDENTURE; DEFEASANCE</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1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Discharge of Indenture</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1300" w:type="dxa"/>
            <w:vAlign w:val="bottom"/>
            <w:tcBorders>
              <w:top w:val="single" w:sz="8" w:color="auto"/>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Legal Defeasance</w:t>
            </w:r>
          </w:p>
        </w:tc>
        <w:tc>
          <w:tcPr>
            <w:tcW w:w="420" w:type="dxa"/>
            <w:vAlign w:val="bottom"/>
            <w:tcBorders>
              <w:top w:val="single" w:sz="8" w:color="auto"/>
            </w:tcBorders>
            <w:gridSpan w:val="5"/>
          </w:tcPr>
          <w:p>
            <w:pPr>
              <w:spacing w:after="0"/>
              <w:rPr>
                <w:sz w:val="17"/>
                <w:szCs w:val="17"/>
                <w:color w:val="auto"/>
              </w:rPr>
            </w:pPr>
          </w:p>
        </w:tc>
        <w:tc>
          <w:tcPr>
            <w:tcW w:w="7400" w:type="dxa"/>
            <w:vAlign w:val="bottom"/>
            <w:gridSpan w:val="17"/>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158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Covenant Defeasance</w:t>
            </w:r>
          </w:p>
        </w:tc>
        <w:tc>
          <w:tcPr>
            <w:tcW w:w="7540" w:type="dxa"/>
            <w:vAlign w:val="bottom"/>
            <w:gridSpan w:val="19"/>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20"/>
          </w:cols>
          <w:pgMar w:left="440" w:top="262"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29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1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9.05.</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Deposited Money and EU Government Obligations To Be Held in Trust</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9.06.</w:t>
            </w:r>
          </w:p>
        </w:tc>
        <w:tc>
          <w:tcPr>
            <w:tcW w:w="1040" w:type="dxa"/>
            <w:vAlign w:val="bottom"/>
            <w:tcBorders>
              <w:top w:val="single" w:sz="8" w:color="auto"/>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Reinstatement</w:t>
            </w:r>
          </w:p>
        </w:tc>
        <w:tc>
          <w:tcPr>
            <w:tcW w:w="4140" w:type="dxa"/>
            <w:vAlign w:val="bottom"/>
            <w:tcBorders>
              <w:top w:val="single" w:sz="8" w:color="auto"/>
            </w:tcBorders>
            <w:gridSpan w:val="23"/>
          </w:tcPr>
          <w:p>
            <w:pPr>
              <w:spacing w:after="0"/>
              <w:rPr>
                <w:sz w:val="17"/>
                <w:szCs w:val="17"/>
                <w:color w:val="auto"/>
              </w:rPr>
            </w:pPr>
          </w:p>
        </w:tc>
        <w:tc>
          <w:tcPr>
            <w:tcW w:w="3940" w:type="dxa"/>
            <w:vAlign w:val="bottom"/>
            <w:gridSpan w:val="2"/>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80</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9.07.</w:t>
            </w:r>
          </w:p>
        </w:tc>
        <w:tc>
          <w:tcPr>
            <w:tcW w:w="224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Moneys Held by Paying Agent</w:t>
            </w:r>
          </w:p>
        </w:tc>
        <w:tc>
          <w:tcPr>
            <w:tcW w:w="6880" w:type="dxa"/>
            <w:vAlign w:val="bottom"/>
            <w:gridSpan w:val="14"/>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80</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Moneys Held by Trustee</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80</w:t>
            </w:r>
          </w:p>
        </w:tc>
      </w:tr>
      <w:tr>
        <w:trPr>
          <w:trHeight w:val="345"/>
        </w:trPr>
        <w:tc>
          <w:tcPr>
            <w:tcW w:w="16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20" w:type="dxa"/>
            <w:vAlign w:val="bottom"/>
            <w:gridSpan w:val="9"/>
          </w:tcPr>
          <w:p>
            <w:pPr>
              <w:jc w:val="center"/>
              <w:ind w:right="4520"/>
              <w:spacing w:after="0"/>
              <w:rPr>
                <w:sz w:val="20"/>
                <w:szCs w:val="20"/>
                <w:color w:val="auto"/>
              </w:rPr>
            </w:pPr>
            <w:r>
              <w:rPr>
                <w:rFonts w:ascii="Times New Roman" w:cs="Times New Roman" w:eastAsia="Times New Roman" w:hAnsi="Times New Roman"/>
                <w:sz w:val="18"/>
                <w:szCs w:val="18"/>
                <w:color w:val="auto"/>
                <w:w w:val="98"/>
              </w:rPr>
              <w:t>ARTICLE TEN</w:t>
            </w:r>
          </w:p>
        </w:tc>
        <w:tc>
          <w:tcPr>
            <w:tcW w:w="280" w:type="dxa"/>
            <w:vAlign w:val="bottom"/>
          </w:tcPr>
          <w:p>
            <w:pPr>
              <w:spacing w:after="0"/>
              <w:rPr>
                <w:sz w:val="24"/>
                <w:szCs w:val="24"/>
                <w:color w:val="auto"/>
              </w:rPr>
            </w:pPr>
          </w:p>
        </w:tc>
      </w:tr>
      <w:tr>
        <w:trPr>
          <w:trHeight w:val="324"/>
        </w:trPr>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60" w:type="dxa"/>
            <w:vAlign w:val="bottom"/>
            <w:gridSpan w:val="11"/>
          </w:tcPr>
          <w:p>
            <w:pPr>
              <w:jc w:val="center"/>
              <w:ind w:right="3960"/>
              <w:spacing w:after="0"/>
              <w:rPr>
                <w:sz w:val="20"/>
                <w:szCs w:val="20"/>
                <w:color w:val="auto"/>
              </w:rPr>
            </w:pPr>
            <w:r>
              <w:rPr>
                <w:rFonts w:ascii="Times New Roman" w:cs="Times New Roman" w:eastAsia="Times New Roman" w:hAnsi="Times New Roman"/>
                <w:sz w:val="18"/>
                <w:szCs w:val="18"/>
                <w:color w:val="auto"/>
                <w:w w:val="99"/>
              </w:rPr>
              <w:t>GUARANTEE OF SECURITIES</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91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Guarantee</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0"/>
        </w:trPr>
        <w:tc>
          <w:tcPr>
            <w:tcW w:w="1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10.02.</w:t>
            </w:r>
          </w:p>
        </w:tc>
        <w:tc>
          <w:tcPr>
            <w:tcW w:w="3100" w:type="dxa"/>
            <w:vAlign w:val="bottom"/>
            <w:tcBorders>
              <w:bottom w:val="single" w:sz="8" w:color="auto"/>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Execution and Delivery of Note Guarantee</w:t>
            </w:r>
          </w:p>
        </w:tc>
        <w:tc>
          <w:tcPr>
            <w:tcW w:w="6020" w:type="dxa"/>
            <w:vAlign w:val="bottom"/>
            <w:gridSpan w:val="9"/>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82</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10.03.</w:t>
            </w:r>
          </w:p>
        </w:tc>
        <w:tc>
          <w:tcPr>
            <w:tcW w:w="162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Release of Guarantors</w:t>
            </w:r>
          </w:p>
        </w:tc>
        <w:tc>
          <w:tcPr>
            <w:tcW w:w="7500" w:type="dxa"/>
            <w:vAlign w:val="bottom"/>
            <w:gridSpan w:val="19"/>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82</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10.04.</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Waiver of Subrogation</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84</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10.05.</w:t>
            </w:r>
          </w:p>
        </w:tc>
        <w:tc>
          <w:tcPr>
            <w:tcW w:w="1260" w:type="dxa"/>
            <w:vAlign w:val="bottom"/>
            <w:tcBorders>
              <w:top w:val="single" w:sz="8" w:color="auto"/>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Notice to Trustee</w:t>
            </w:r>
          </w:p>
        </w:tc>
        <w:tc>
          <w:tcPr>
            <w:tcW w:w="380" w:type="dxa"/>
            <w:vAlign w:val="bottom"/>
            <w:tcBorders>
              <w:top w:val="single" w:sz="8" w:color="auto"/>
            </w:tcBorders>
            <w:gridSpan w:val="4"/>
          </w:tcPr>
          <w:p>
            <w:pPr>
              <w:spacing w:after="0"/>
              <w:rPr>
                <w:sz w:val="17"/>
                <w:szCs w:val="17"/>
                <w:color w:val="auto"/>
              </w:rPr>
            </w:pPr>
          </w:p>
        </w:tc>
        <w:tc>
          <w:tcPr>
            <w:tcW w:w="7480" w:type="dxa"/>
            <w:vAlign w:val="bottom"/>
            <w:gridSpan w:val="18"/>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84</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10.06.</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Limitation on Guarantor’s Liability</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w:t>
            </w:r>
          </w:p>
        </w:tc>
      </w:tr>
      <w:tr>
        <w:trPr>
          <w:trHeight w:val="345"/>
        </w:trPr>
        <w:tc>
          <w:tcPr>
            <w:tcW w:w="16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20" w:type="dxa"/>
            <w:vAlign w:val="bottom"/>
            <w:gridSpan w:val="9"/>
          </w:tcPr>
          <w:p>
            <w:pPr>
              <w:jc w:val="center"/>
              <w:ind w:right="4500"/>
              <w:spacing w:after="0"/>
              <w:rPr>
                <w:sz w:val="20"/>
                <w:szCs w:val="20"/>
                <w:color w:val="auto"/>
              </w:rPr>
            </w:pPr>
            <w:r>
              <w:rPr>
                <w:rFonts w:ascii="Times New Roman" w:cs="Times New Roman" w:eastAsia="Times New Roman" w:hAnsi="Times New Roman"/>
                <w:sz w:val="18"/>
                <w:szCs w:val="18"/>
                <w:color w:val="auto"/>
                <w:w w:val="98"/>
              </w:rPr>
              <w:t>ARTICLE ELEVEN</w:t>
            </w:r>
          </w:p>
        </w:tc>
        <w:tc>
          <w:tcPr>
            <w:tcW w:w="280" w:type="dxa"/>
            <w:vAlign w:val="bottom"/>
          </w:tcPr>
          <w:p>
            <w:pPr>
              <w:spacing w:after="0"/>
              <w:rPr>
                <w:sz w:val="24"/>
                <w:szCs w:val="24"/>
                <w:color w:val="auto"/>
              </w:rPr>
            </w:pPr>
          </w:p>
        </w:tc>
      </w:tr>
      <w:tr>
        <w:trPr>
          <w:trHeight w:val="324"/>
        </w:trPr>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20" w:type="dxa"/>
            <w:vAlign w:val="bottom"/>
            <w:gridSpan w:val="9"/>
          </w:tcPr>
          <w:p>
            <w:pPr>
              <w:jc w:val="center"/>
              <w:ind w:right="4520"/>
              <w:spacing w:after="0"/>
              <w:rPr>
                <w:sz w:val="20"/>
                <w:szCs w:val="20"/>
                <w:color w:val="auto"/>
              </w:rPr>
            </w:pPr>
            <w:r>
              <w:rPr>
                <w:rFonts w:ascii="Times New Roman" w:cs="Times New Roman" w:eastAsia="Times New Roman" w:hAnsi="Times New Roman"/>
                <w:sz w:val="18"/>
                <w:szCs w:val="18"/>
                <w:color w:val="auto"/>
                <w:w w:val="99"/>
              </w:rPr>
              <w:t>MISCELLANEOUS</w:t>
            </w:r>
          </w:p>
        </w:tc>
        <w:tc>
          <w:tcPr>
            <w:tcW w:w="280" w:type="dxa"/>
            <w:vAlign w:val="bottom"/>
          </w:tcPr>
          <w:p>
            <w:pPr>
              <w:spacing w:after="0"/>
              <w:rPr>
                <w:sz w:val="24"/>
                <w:szCs w:val="24"/>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210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w w:val="99"/>
              </w:rPr>
              <w:t>Trust Indenture Act Controls</w:t>
            </w:r>
          </w:p>
        </w:tc>
        <w:tc>
          <w:tcPr>
            <w:tcW w:w="7020" w:type="dxa"/>
            <w:vAlign w:val="bottom"/>
            <w:gridSpan w:val="15"/>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11.02.</w:t>
            </w:r>
          </w:p>
        </w:tc>
        <w:tc>
          <w:tcPr>
            <w:tcW w:w="5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Notices</w:t>
            </w:r>
          </w:p>
        </w:tc>
        <w:tc>
          <w:tcPr>
            <w:tcW w:w="8560" w:type="dxa"/>
            <w:vAlign w:val="bottom"/>
            <w:gridSpan w:val="29"/>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89</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11.03.</w:t>
            </w:r>
          </w:p>
        </w:tc>
        <w:tc>
          <w:tcPr>
            <w:tcW w:w="3520" w:type="dxa"/>
            <w:vAlign w:val="bottom"/>
            <w:tcBorders>
              <w:bottom w:val="single" w:sz="8" w:color="auto"/>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w w:val="99"/>
              </w:rPr>
              <w:t>Communications by Holders with Other Holders</w:t>
            </w:r>
          </w:p>
        </w:tc>
        <w:tc>
          <w:tcPr>
            <w:tcW w:w="5600" w:type="dxa"/>
            <w:vAlign w:val="bottom"/>
            <w:gridSpan w:val="6"/>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11.04.</w:t>
            </w:r>
          </w:p>
        </w:tc>
        <w:tc>
          <w:tcPr>
            <w:tcW w:w="3680" w:type="dxa"/>
            <w:vAlign w:val="bottom"/>
            <w:tcBorders>
              <w:bottom w:val="single" w:sz="8" w:color="auto"/>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w w:val="99"/>
              </w:rPr>
              <w:t>Certificate and Opinion as to Conditions Precedent</w:t>
            </w:r>
          </w:p>
        </w:tc>
        <w:tc>
          <w:tcPr>
            <w:tcW w:w="5440" w:type="dxa"/>
            <w:vAlign w:val="bottom"/>
            <w:gridSpan w:val="4"/>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11.05.</w:t>
            </w:r>
          </w:p>
        </w:tc>
        <w:tc>
          <w:tcPr>
            <w:tcW w:w="3440" w:type="dxa"/>
            <w:vAlign w:val="bottom"/>
            <w:tcBorders>
              <w:bottom w:val="single" w:sz="8" w:color="auto"/>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w w:val="99"/>
              </w:rPr>
              <w:t>Statements Required in Certificate and Opinion</w:t>
            </w:r>
          </w:p>
        </w:tc>
        <w:tc>
          <w:tcPr>
            <w:tcW w:w="5680" w:type="dxa"/>
            <w:vAlign w:val="bottom"/>
            <w:gridSpan w:val="8"/>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91</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11.06.</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Rules by Trustee and Agents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92</w:t>
            </w:r>
          </w:p>
        </w:tc>
      </w:tr>
      <w:tr>
        <w:trPr>
          <w:trHeight w:val="20"/>
        </w:trPr>
        <w:tc>
          <w:tcPr>
            <w:tcW w:w="162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11.07.</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Business Days; Legal Holidays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92</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11.08.</w:t>
            </w:r>
          </w:p>
        </w:tc>
        <w:tc>
          <w:tcPr>
            <w:tcW w:w="2260" w:type="dxa"/>
            <w:vAlign w:val="bottom"/>
            <w:tcBorders>
              <w:top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rPr>
              <w:t>Governing Law</w:t>
            </w:r>
          </w:p>
        </w:tc>
        <w:tc>
          <w:tcPr>
            <w:tcW w:w="6860" w:type="dxa"/>
            <w:vAlign w:val="bottom"/>
            <w:gridSpan w:val="13"/>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92</w:t>
            </w:r>
          </w:p>
        </w:tc>
      </w:tr>
      <w:tr>
        <w:trPr>
          <w:trHeight w:val="20"/>
        </w:trPr>
        <w:tc>
          <w:tcPr>
            <w:tcW w:w="162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11.09.</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92</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11.10.</w:t>
            </w:r>
          </w:p>
        </w:tc>
        <w:tc>
          <w:tcPr>
            <w:tcW w:w="80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Successors</w:t>
            </w:r>
          </w:p>
        </w:tc>
        <w:tc>
          <w:tcPr>
            <w:tcW w:w="2660" w:type="dxa"/>
            <w:vAlign w:val="bottom"/>
            <w:tcBorders>
              <w:top w:val="single" w:sz="8" w:color="auto"/>
            </w:tcBorders>
            <w:gridSpan w:val="20"/>
          </w:tcPr>
          <w:p>
            <w:pPr>
              <w:spacing w:after="0"/>
              <w:rPr>
                <w:sz w:val="17"/>
                <w:szCs w:val="17"/>
                <w:color w:val="auto"/>
              </w:rPr>
            </w:pPr>
          </w:p>
        </w:tc>
        <w:tc>
          <w:tcPr>
            <w:tcW w:w="5660" w:type="dxa"/>
            <w:vAlign w:val="bottom"/>
            <w:gridSpan w:val="7"/>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93</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11.11.</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Multiple Counterparts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1620" w:type="dxa"/>
            <w:vAlign w:val="bottom"/>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11.12.</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Table of Contents, Headings, etc.</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93</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11.13.</w:t>
            </w:r>
          </w:p>
        </w:tc>
        <w:tc>
          <w:tcPr>
            <w:tcW w:w="880" w:type="dxa"/>
            <w:vAlign w:val="bottom"/>
            <w:tcBorders>
              <w:top w:val="single" w:sz="8" w:color="auto"/>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Separability</w:t>
            </w:r>
          </w:p>
        </w:tc>
        <w:tc>
          <w:tcPr>
            <w:tcW w:w="1520" w:type="dxa"/>
            <w:vAlign w:val="bottom"/>
            <w:tcBorders>
              <w:top w:val="single" w:sz="8" w:color="auto"/>
            </w:tcBorders>
            <w:gridSpan w:val="14"/>
          </w:tcPr>
          <w:p>
            <w:pPr>
              <w:spacing w:after="0"/>
              <w:rPr>
                <w:sz w:val="17"/>
                <w:szCs w:val="17"/>
                <w:color w:val="auto"/>
              </w:rPr>
            </w:pPr>
          </w:p>
        </w:tc>
        <w:tc>
          <w:tcPr>
            <w:tcW w:w="6720" w:type="dxa"/>
            <w:vAlign w:val="bottom"/>
            <w:gridSpan w:val="12"/>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93</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11.14.</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93</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c>
          <w:tcPr>
            <w:tcW w:w="1460" w:type="dxa"/>
            <w:vAlign w:val="bottom"/>
            <w:tcBorders>
              <w:top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Force Majeure</w:t>
            </w:r>
          </w:p>
        </w:tc>
        <w:tc>
          <w:tcPr>
            <w:tcW w:w="7660" w:type="dxa"/>
            <w:vAlign w:val="bottom"/>
            <w:gridSpan w:val="21"/>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1620" w:type="dxa"/>
            <w:vAlign w:val="bottom"/>
          </w:tcPr>
          <w:p>
            <w:pPr>
              <w:spacing w:after="0" w:line="20" w:lineRule="exact"/>
              <w:rPr>
                <w:sz w:val="1"/>
                <w:szCs w:val="1"/>
                <w:color w:val="auto"/>
              </w:rPr>
            </w:pPr>
          </w:p>
        </w:tc>
        <w:tc>
          <w:tcPr>
            <w:tcW w:w="1060" w:type="dxa"/>
            <w:vAlign w:val="bottom"/>
            <w:gridSpan w:val="6"/>
            <w:shd w:val="clear" w:color="auto" w:fill="000000"/>
          </w:tcPr>
          <w:p>
            <w:pPr>
              <w:spacing w:after="0" w:line="20" w:lineRule="exact"/>
              <w:rPr>
                <w:sz w:val="1"/>
                <w:szCs w:val="1"/>
                <w:color w:val="auto"/>
              </w:rPr>
            </w:pPr>
          </w:p>
        </w:tc>
        <w:tc>
          <w:tcPr>
            <w:tcW w:w="1640" w:type="dxa"/>
            <w:vAlign w:val="bottom"/>
            <w:gridSpan w:val="14"/>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11.16.</w:t>
            </w:r>
          </w:p>
        </w:tc>
        <w:tc>
          <w:tcPr>
            <w:tcW w:w="91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auto"/>
              </w:rPr>
              <w:t>Agent for Service; Submission to Jurisdiction; Waiver of Immunities</w:t>
            </w: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94</w:t>
            </w:r>
          </w:p>
        </w:tc>
      </w:tr>
      <w:tr>
        <w:trPr>
          <w:trHeight w:val="20"/>
        </w:trPr>
        <w:tc>
          <w:tcPr>
            <w:tcW w:w="1620" w:type="dxa"/>
            <w:vAlign w:val="bottom"/>
          </w:tcPr>
          <w:p>
            <w:pPr>
              <w:spacing w:after="0" w:line="20" w:lineRule="exact"/>
              <w:rPr>
                <w:sz w:val="1"/>
                <w:szCs w:val="1"/>
                <w:color w:val="auto"/>
              </w:rPr>
            </w:pPr>
          </w:p>
        </w:tc>
        <w:tc>
          <w:tcPr>
            <w:tcW w:w="2700" w:type="dxa"/>
            <w:vAlign w:val="bottom"/>
            <w:gridSpan w:val="20"/>
            <w:shd w:val="clear" w:color="auto" w:fill="000000"/>
          </w:tcPr>
          <w:p>
            <w:pPr>
              <w:spacing w:after="0" w:line="20" w:lineRule="exact"/>
              <w:rPr>
                <w:sz w:val="1"/>
                <w:szCs w:val="1"/>
                <w:color w:val="auto"/>
              </w:rPr>
            </w:pPr>
          </w:p>
        </w:tc>
        <w:tc>
          <w:tcPr>
            <w:tcW w:w="2260" w:type="dxa"/>
            <w:vAlign w:val="bottom"/>
            <w:gridSpan w:val="7"/>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11.17.</w:t>
            </w:r>
          </w:p>
        </w:tc>
        <w:tc>
          <w:tcPr>
            <w:tcW w:w="5680" w:type="dxa"/>
            <w:vAlign w:val="bottom"/>
            <w:tcBorders>
              <w:bottom w:val="single" w:sz="8" w:color="auto"/>
            </w:tcBorders>
            <w:gridSpan w:val="29"/>
          </w:tcPr>
          <w:p>
            <w:pPr>
              <w:spacing w:after="0" w:line="196" w:lineRule="exact"/>
              <w:rPr>
                <w:sz w:val="20"/>
                <w:szCs w:val="20"/>
                <w:color w:val="auto"/>
              </w:rPr>
            </w:pPr>
            <w:r>
              <w:rPr>
                <w:rFonts w:ascii="Times New Roman" w:cs="Times New Roman" w:eastAsia="Times New Roman" w:hAnsi="Times New Roman"/>
                <w:sz w:val="18"/>
                <w:szCs w:val="18"/>
                <w:color w:val="auto"/>
                <w:w w:val="99"/>
              </w:rPr>
              <w:t>Currency of Account; Conversion of Currency; Foreign Exchange Restrictions</w:t>
            </w:r>
          </w:p>
        </w:tc>
        <w:tc>
          <w:tcPr>
            <w:tcW w:w="3440" w:type="dxa"/>
            <w:vAlign w:val="bottom"/>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94</w:t>
            </w:r>
          </w:p>
        </w:tc>
      </w:tr>
      <w:tr>
        <w:trPr>
          <w:trHeight w:val="196"/>
        </w:trPr>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SECTION 11.18.</w:t>
            </w:r>
          </w:p>
        </w:tc>
        <w:tc>
          <w:tcPr>
            <w:tcW w:w="2700" w:type="dxa"/>
            <w:vAlign w:val="bottom"/>
            <w:tcBorders>
              <w:bottom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9"/>
              </w:rPr>
              <w:t>BRRD and Other Regulatory Matters</w:t>
            </w:r>
          </w:p>
        </w:tc>
        <w:tc>
          <w:tcPr>
            <w:tcW w:w="6420" w:type="dxa"/>
            <w:vAlign w:val="bottom"/>
            <w:gridSpan w:val="10"/>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97</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20"/>
          </w:cols>
          <w:pgMar w:left="440" w:top="262"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32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EXHIBITS</w:t>
            </w:r>
          </w:p>
        </w:tc>
        <w:tc>
          <w:tcPr>
            <w:tcW w:w="2480" w:type="dxa"/>
            <w:vAlign w:val="bottom"/>
          </w:tcPr>
          <w:p>
            <w:pPr>
              <w:spacing w:after="0"/>
              <w:rPr>
                <w:sz w:val="20"/>
                <w:szCs w:val="20"/>
                <w:color w:val="auto"/>
              </w:rPr>
            </w:pPr>
          </w:p>
        </w:tc>
      </w:tr>
      <w:tr>
        <w:trPr>
          <w:trHeight w:val="44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Restricted Note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Unrestricted Note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Private Placement Legend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Legend for Global Note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OID Legend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Certificate from Acquiring Institutional Accredited Investor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Guarantee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20"/>
          </w:cols>
          <w:pgMar w:left="440" w:top="270" w:right="439" w:bottom="1440" w:gutter="0" w:footer="0" w:header="0"/>
        </w:sectPr>
      </w:pPr>
    </w:p>
    <w:bookmarkStart w:id="11" w:name="page12"/>
    <w:bookmarkEnd w:id="11"/>
    <w:p>
      <w:pPr>
        <w:ind w:right="40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INDENTURE, dated as of October 6, 2025 among 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(as defined),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U.S. Bank Europe DAC,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as registrar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party agrees as follows for the benefit of the other parties and for the equal and ratable benefit of the Holders of the Notes.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ONE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has the meaning set forth in Section 4.20.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Net Assets</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any Registrar, Paying Agent, Transfer Agent or agent for service or notices and demands.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means to amend, supplement, restate, amend and restate or otherwise modify; and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shall have a correlative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means any asset or property, whether real, personal or mixed, tangible or intangible.</w:t>
      </w:r>
    </w:p>
    <w:p>
      <w:pPr>
        <w:sectPr>
          <w:pgSz w:w="11900" w:h="16838" w:orient="portrait"/>
          <w:cols w:equalWidth="0" w:num="1">
            <w:col w:w="10920"/>
          </w:cols>
          <w:pgMar w:left="440" w:top="268" w:right="539" w:bottom="1440" w:gutter="0" w:footer="0" w:header="0"/>
        </w:sectPr>
      </w:pPr>
    </w:p>
    <w:bookmarkStart w:id="12" w:name="page13"/>
    <w:bookmarkEnd w:id="12"/>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9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Person</w:t>
      </w:r>
      <w:r>
        <w:rPr>
          <w:rFonts w:ascii="Times New Roman" w:cs="Times New Roman" w:eastAsia="Times New Roman" w:hAnsi="Times New Roman"/>
          <w:sz w:val="18"/>
          <w:szCs w:val="18"/>
          <w:color w:val="auto"/>
        </w:rPr>
        <w:t>” means any person who is designated in writing by the Issuer from time to time to give Instructions to the Trustee or Agent under the terms of this Indenture.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xml:space="preserve">” means Title 11 of the United States Code, as amended, or any similar federal, state, local or foreign law for the relief of debtors, and shall include in respect of each of the Issuer and the French Guarantors, provisions of </w:t>
      </w:r>
      <w:r>
        <w:rPr>
          <w:rFonts w:ascii="Times New Roman" w:cs="Times New Roman" w:eastAsia="Times New Roman" w:hAnsi="Times New Roman"/>
          <w:sz w:val="18"/>
          <w:szCs w:val="18"/>
          <w:i w:val="1"/>
          <w:iCs w:val="1"/>
          <w:color w:val="auto"/>
        </w:rPr>
        <w:t>Livre Sixième, Des difficultés des entreprises</w:t>
      </w:r>
      <w:r>
        <w:rPr>
          <w:rFonts w:ascii="Times New Roman" w:cs="Times New Roman" w:eastAsia="Times New Roman" w:hAnsi="Times New Roman"/>
          <w:sz w:val="18"/>
          <w:szCs w:val="18"/>
          <w:color w:val="auto"/>
        </w:rPr>
        <w:t xml:space="preserve"> of the French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Currency</w:t>
      </w:r>
      <w:r>
        <w:rPr>
          <w:rFonts w:ascii="Times New Roman" w:cs="Times New Roman" w:eastAsia="Times New Roman" w:hAnsi="Times New Roman"/>
          <w:sz w:val="18"/>
          <w:szCs w:val="18"/>
          <w:color w:val="auto"/>
        </w:rPr>
        <w:t>” has the meaning set forth in Section 11.17.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the board of directors or comparable governing body of such Person.</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Bund Rate</w:t>
      </w:r>
      <w:r>
        <w:rPr>
          <w:rFonts w:ascii="Times New Roman" w:cs="Times New Roman" w:eastAsia="Times New Roman" w:hAnsi="Times New Roman"/>
          <w:sz w:val="18"/>
          <w:szCs w:val="18"/>
          <w:color w:val="auto"/>
        </w:rPr>
        <w:t>” means, as of any Redemption Date, the rate per annum equal to the equivalent yield to maturity as of such Redemption Date of the Comparable German Bund Issue, assuming a price for the Comparable German Bund Issue (expressed as a percentage of its principal amount) equal to the Comparable German Bund Price for such relevant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Section 11.07.</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1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3" w:name="page14"/>
    <w:bookmarkEnd w:id="13"/>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7" w:lineRule="exact"/>
        <w:rPr>
          <w:sz w:val="20"/>
          <w:szCs w:val="20"/>
          <w:color w:val="auto"/>
        </w:rPr>
      </w:pPr>
    </w:p>
    <w:p>
      <w:pPr>
        <w:ind w:right="80" w:firstLine="419"/>
        <w:spacing w:after="0" w:line="266"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for the liquidation or dissolution of Parent or the Issuer (other than in a transaction that complies with Article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w:t>
      </w:r>
    </w:p>
    <w:p>
      <w:pPr>
        <w:spacing w:after="0" w:line="98" w:lineRule="exact"/>
        <w:rPr>
          <w:rFonts w:ascii="Times New Roman" w:cs="Times New Roman" w:eastAsia="Times New Roman" w:hAnsi="Times New Roman"/>
          <w:sz w:val="18"/>
          <w:szCs w:val="18"/>
          <w:color w:val="auto"/>
        </w:rPr>
      </w:pPr>
    </w:p>
    <w:p>
      <w:pPr>
        <w:ind w:firstLine="419"/>
        <w:spacing w:after="0" w:line="270" w:lineRule="auto"/>
        <w:tabs>
          <w:tab w:leader="none" w:pos="67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transaction in which Parent becomes a Wholly Owned Subsidiary of another Person (other than a Person that is an individual) (the “</w:t>
      </w:r>
      <w:r>
        <w:rPr>
          <w:rFonts w:ascii="Times New Roman" w:cs="Times New Roman" w:eastAsia="Times New Roman" w:hAnsi="Times New Roman"/>
          <w:sz w:val="17"/>
          <w:szCs w:val="17"/>
          <w:u w:val="single" w:color="auto"/>
          <w:color w:val="auto"/>
        </w:rPr>
        <w:t>New Parent</w:t>
      </w:r>
      <w:r>
        <w:rPr>
          <w:rFonts w:ascii="Times New Roman" w:cs="Times New Roman" w:eastAsia="Times New Roman" w:hAnsi="Times New Roman"/>
          <w:sz w:val="17"/>
          <w:szCs w:val="17"/>
          <w:color w:val="auto"/>
        </w:rPr>
        <w: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68" w:lineRule="exact"/>
        <w:rPr>
          <w:rFonts w:ascii="Times New Roman" w:cs="Times New Roman" w:eastAsia="Times New Roman" w:hAnsi="Times New Roman"/>
          <w:sz w:val="17"/>
          <w:szCs w:val="17"/>
          <w:color w:val="auto"/>
        </w:rPr>
      </w:pPr>
    </w:p>
    <w:p>
      <w:pPr>
        <w:ind w:right="12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53" w:lineRule="exact"/>
        <w:rPr>
          <w:rFonts w:ascii="Times New Roman" w:cs="Times New Roman" w:eastAsia="Times New Roman" w:hAnsi="Times New Roman"/>
          <w:sz w:val="18"/>
          <w:szCs w:val="18"/>
          <w:color w:val="auto"/>
        </w:rPr>
      </w:pPr>
    </w:p>
    <w:p>
      <w:pPr>
        <w:ind w:right="34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Parent fails to own, either directly or indirectly through one or more Wholly Owned Subsidiaries, 100% of the issued and outstanding Equity Interests of the Issuer.</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has the meaning set forth in Section 4.08.</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has the meaning set forth in Section 4.08.</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14" w:name="page15"/>
    <w:bookmarkEnd w:id="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has the meaning set forth in Section 4.08.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both a Change of Control and a Ratings Event.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Depositary</w:t>
      </w:r>
      <w:r>
        <w:rPr>
          <w:rFonts w:ascii="Times New Roman" w:cs="Times New Roman" w:eastAsia="Times New Roman" w:hAnsi="Times New Roman"/>
          <w:sz w:val="18"/>
          <w:szCs w:val="18"/>
          <w:color w:val="auto"/>
        </w:rPr>
        <w:t>” means U.S. Bank Europe DAC, as common depositary for Euroclear and Clearstream.</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German Bund Issue</w:t>
      </w:r>
      <w:r>
        <w:rPr>
          <w:rFonts w:ascii="Times New Roman" w:cs="Times New Roman" w:eastAsia="Times New Roman" w:hAnsi="Times New Roman"/>
          <w:sz w:val="18"/>
          <w:szCs w:val="18"/>
          <w:color w:val="auto"/>
        </w:rPr>
        <w:t xml:space="preserve">” means the German Bundesanleihe security selected by any Reference German Bund Dealer as having a fixed maturity most nearly equal to the period from such Redemption Date to June 30, 2031 and that would be utilized, at the time of selection and in accordance with customary financial practice, in pricing new issues of euro denominated corporate debt securities in a principal amount approximately equal to the then outstanding principal amount of the Notes and of a maturity most nearly equal to June 30, 2031;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period from such Redemption Date to June 30, 2031 is less than one year, a fixed maturity of one year shall be used.</w:t>
      </w:r>
    </w:p>
    <w:p>
      <w:pPr>
        <w:spacing w:after="0" w:line="183"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Comparable German Bund Price</w:t>
      </w:r>
      <w:r>
        <w:rPr>
          <w:rFonts w:ascii="Times New Roman" w:cs="Times New Roman" w:eastAsia="Times New Roman" w:hAnsi="Times New Roman"/>
          <w:sz w:val="17"/>
          <w:szCs w:val="17"/>
          <w:color w:val="auto"/>
        </w:rPr>
        <w:t>” means, with respect to any relevant date, the average of all Reference German Bund Dealer Quotations for such date (which, in any event, must include at least two such quotations), after excluding the highest and lowest such Reference German Bund Dealer Quotations, or if the Issuer obtains fewer than four such Reference German Bund Dealer Quotations, the average of all such quotations.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with respect to any Person for any period, the Consolidated Net Income of such Person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Subsidiaries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deducted in computing Consolidated Net Income:</w:t>
      </w:r>
    </w:p>
    <w:p>
      <w:pPr>
        <w:spacing w:after="0" w:line="99" w:lineRule="exact"/>
        <w:rPr>
          <w:sz w:val="20"/>
          <w:szCs w:val="20"/>
          <w:color w:val="auto"/>
        </w:rPr>
      </w:pPr>
    </w:p>
    <w:p>
      <w:pPr>
        <w:ind w:left="1120" w:hanging="261"/>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or profits of such Person and its Subsidiaries for such period;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5" w:name="page16"/>
    <w:bookmarkEnd w:id="15"/>
    <w:p>
      <w:pPr>
        <w:ind w:left="440" w:firstLine="419"/>
        <w:spacing w:after="0" w:line="258"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non-recurring restructuring charges or expenses of such Person and its Subsidiaries for such period, 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83"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with respect to any Person for any period, the aggregate of the net income of such Person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Subsidiaries for such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9" w:lineRule="exact"/>
        <w:rPr>
          <w:sz w:val="20"/>
          <w:szCs w:val="20"/>
          <w:color w:val="auto"/>
        </w:rPr>
      </w:pPr>
    </w:p>
    <w:p>
      <w:pPr>
        <w:ind w:left="440" w:right="22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shall be excluded;</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67"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resulting from an asset disposition by the Person in question or any of its Subsidiaries other than in the ordinary course of business shall be excluded;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losses shall be excluded;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6" w:name="page17"/>
    <w:bookmarkEnd w:id="16"/>
    <w:p>
      <w:pPr>
        <w:ind w:left="1120" w:hanging="261"/>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fees, charges, costs and expenses incurred in connection with the Financing Transaction shall be excluded; and</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61"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xml:space="preserve">” means, with respect to any specified Person as of any date, the total assets of such Person and its Subsidiaries as of the most recent quarter end for which a consolidated balance sheet of such Person and its Subsidiaries is available as of that date,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(a) all current liabilities of such Person and its Subsidiaries reflected on such balance sheet (excluding any current liabilities for borrowed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a maturity of less than 12 months but by its terms being renewable or extendible beyond 12 months from such date at the option of the borrower) and (b) 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8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Indebtedness</w:t>
      </w:r>
      <w:r>
        <w:rPr>
          <w:rFonts w:ascii="Times New Roman" w:cs="Times New Roman" w:eastAsia="Times New Roman" w:hAnsi="Times New Roman"/>
          <w:sz w:val="18"/>
          <w:szCs w:val="18"/>
          <w:color w:val="auto"/>
        </w:rPr>
        <w:t>”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plus (b) the total amount of Capital Lease Obligations of such Person and its Subsidiaries as of the most recent consolidated balance sheet of such Person and its Subsidiaries that is available as of that date, as determined on a consolidated basis in accordance with GAAP, plus (c) the total amount of Attributable Debt in respect of Sale and Leaseback Transactions of such Person and its Subsidiaries as of such date.</w:t>
      </w:r>
    </w:p>
    <w:p>
      <w:pPr>
        <w:spacing w:after="0" w:line="189"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Leverage Ratio</w:t>
      </w:r>
      <w:r>
        <w:rPr>
          <w:rFonts w:ascii="Times New Roman" w:cs="Times New Roman" w:eastAsia="Times New Roman" w:hAnsi="Times New Roman"/>
          <w:sz w:val="18"/>
          <w:szCs w:val="18"/>
          <w:color w:val="auto"/>
        </w:rPr>
        <w:t>” means, with respect to any specified Person as of any date, the ratio of (a) the Consolidated Secured Indebtedness of such Person as of such date to (b) the Consolidated EBITDA of such Person for the four most recent full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7" w:name="page18"/>
    <w:bookmarkEnd w:id="17"/>
    <w:p>
      <w:pPr>
        <w:ind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the calculation of the Consolidated Secured Leverage Ratio is made (the “</w:t>
      </w:r>
      <w:r>
        <w:rPr>
          <w:rFonts w:ascii="Times New Roman" w:cs="Times New Roman" w:eastAsia="Times New Roman" w:hAnsi="Times New Roman"/>
          <w:sz w:val="17"/>
          <w:szCs w:val="17"/>
          <w:u w:val="single" w:color="auto"/>
          <w:color w:val="auto"/>
        </w:rPr>
        <w:t>Calculation Date</w:t>
      </w:r>
      <w:r>
        <w:rPr>
          <w:rFonts w:ascii="Times New Roman" w:cs="Times New Roman" w:eastAsia="Times New Roman" w:hAnsi="Times New Roman"/>
          <w:sz w:val="17"/>
          <w:szCs w:val="17"/>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for purposes of calculating the Consolidated Secured Leverage Ratio:</w:t>
      </w:r>
    </w:p>
    <w:p>
      <w:pPr>
        <w:spacing w:after="0" w:line="117" w:lineRule="exact"/>
        <w:rPr>
          <w:sz w:val="20"/>
          <w:szCs w:val="20"/>
          <w:color w:val="auto"/>
        </w:rPr>
      </w:pPr>
    </w:p>
    <w:p>
      <w:pPr>
        <w:ind w:left="440" w:firstLine="419"/>
        <w:spacing w:after="0" w:line="256" w:lineRule="auto"/>
        <w:tabs>
          <w:tab w:leader="none" w:pos="11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EBITDA attributable to discontinued operations, as determined with GAAP, and operations or businesses disposed of prior to the Calculation Date, will be excluded,</w:t>
      </w:r>
    </w:p>
    <w:p>
      <w:pPr>
        <w:spacing w:after="0" w:line="52"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to the extent that clause (1) or (2) of this paragraph requires that pro forma effect be given to an acquisition, disposition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Commission or any other regulation or policy of the Commission).</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the relevant Person who:</w:t>
      </w:r>
    </w:p>
    <w:p>
      <w:pPr>
        <w:spacing w:after="0" w:line="117" w:lineRule="exact"/>
        <w:rPr>
          <w:sz w:val="20"/>
          <w:szCs w:val="20"/>
          <w:color w:val="auto"/>
        </w:rPr>
      </w:pPr>
    </w:p>
    <w:p>
      <w:pPr>
        <w:ind w:left="1120" w:hanging="261"/>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Issue Date; or</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8" w:name="page19"/>
    <w:bookmarkEnd w:id="18"/>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solely for purposes of presenting the Notes for payment, U.S. Bank Europe DAC, as Paying Agent, located at Block F1, Cherrywood Business Park, Cherrywood, Dublin 18, D18 W2X7, Ireland and, for all other purposes the office of the Trustee at which any time its corporate trust business shall be administered, which at the date hereof is located at the address listed in Section 11.02,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set forth in Section 9.03.</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means Crown Cork &amp; Seal Company, Inc., a Pennsylvania corporation, until a successor replaces such party pursuant to Article Five of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organized under the laws of the United States or any State thereof or the District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Guarantor</w:t>
      </w:r>
      <w:r>
        <w:rPr>
          <w:rFonts w:ascii="Times New Roman" w:cs="Times New Roman" w:eastAsia="Times New Roman" w:hAnsi="Times New Roman"/>
          <w:sz w:val="18"/>
          <w:szCs w:val="18"/>
          <w:color w:val="auto"/>
        </w:rPr>
        <w:t>” has the meaning set forth in Section 10.06(a)(6).</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Government Obligations</w:t>
      </w:r>
      <w:r>
        <w:rPr>
          <w:rFonts w:ascii="Times New Roman" w:cs="Times New Roman" w:eastAsia="Times New Roman" w:hAnsi="Times New Roman"/>
          <w:sz w:val="18"/>
          <w:szCs w:val="18"/>
          <w:color w:val="auto"/>
        </w:rPr>
        <w:t>” means marketable direct obligations issued by, or unconditionally guaranteed by, any member state of the European Union (as it exists on the Issue Date) or issued by any agency or instrumentality thereof and backed by the full faith and credit of such member state of the European Union that, in each case, mature within one year from the date of acquisition thereof and are not callable or redeemable at the option of the issuer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9" w:name="page20"/>
    <w:bookmarkEnd w:id="19"/>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Euro Currency Equivalent</w:t>
      </w:r>
      <w:r>
        <w:rPr>
          <w:rFonts w:ascii="Times New Roman" w:cs="Times New Roman" w:eastAsia="Times New Roman" w:hAnsi="Times New Roman"/>
          <w:sz w:val="18"/>
          <w:szCs w:val="18"/>
          <w:color w:val="auto"/>
        </w:rPr>
        <w:t>” means, with respect to any monetary amount in a currency other than Euros, at any time for the determination thereof, the amount of Euros obtained by converting such foreign currency involved in such computation into Euros at the spot rate for the purchase of Euros with the applicable foreign currency as quoted by Reuters at approximately 10:00 A.M. (New York time) on the date not more than two Business Days prior to such determination.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Bank S.A./N.V.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Facility</w:t>
      </w:r>
      <w:r>
        <w:rPr>
          <w:rFonts w:ascii="Times New Roman" w:cs="Times New Roman" w:eastAsia="Times New Roman" w:hAnsi="Times New Roman"/>
          <w:sz w:val="18"/>
          <w:szCs w:val="18"/>
          <w:color w:val="auto"/>
        </w:rPr>
        <w:t>” means the Amended and Restated Credit Agreement dated as of April 7, 2017, as amended by the First Amendment to the Amended and Restated Credit Agreement dated as of January 29, 2018, as amended by the Incremental Amendment No. 1 to the Amended and Restated Credit Agreement, dated as of December 28, 2017, as amended by the Second Amendment to Amended and Restated Credit Agreement, First Amendment to the U.S. Guarantee Agreement and First Amendment to U.S. Indemnity, Subrogation and Contribution Agreement dated as of March 23, 2018, as amended by the Incremental Amendment No. 2 and Third Amendment to Amended and Restated Credit Agreement, dated as of December 13, 2019, as amended by the Fourth Amendment to Amended and Restated Credit Agreement, dated as of October 4, 2021, as amended by the Incremental Amendment No. 3 and Fifth Amendment to Amended and Restated Credit Agreement, dated as of August 8, 2022, as amended by the Sixth Amendment to Amended and Restated Credit Agreement, dated as of June 28, 2024, and as amended by the Seventh Amendment to Amended and Restated Credit Agreement, dated as of November 11, 2024, as such agreement may be further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9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Transaction</w:t>
      </w:r>
      <w:r>
        <w:rPr>
          <w:rFonts w:ascii="Times New Roman" w:cs="Times New Roman" w:eastAsia="Times New Roman" w:hAnsi="Times New Roman"/>
          <w:sz w:val="18"/>
          <w:szCs w:val="18"/>
          <w:color w:val="auto"/>
        </w:rPr>
        <w:t>” means issuance of the Notes issued on the Issue Date and the application of the net proceeds thereof as described in the Offering Memorandum.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Issuer, which at the date hereof ends on December 31.</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French Guarantor</w:t>
      </w:r>
      <w:r>
        <w:rPr>
          <w:rFonts w:ascii="Times New Roman" w:cs="Times New Roman" w:eastAsia="Times New Roman" w:hAnsi="Times New Roman"/>
          <w:sz w:val="18"/>
          <w:szCs w:val="18"/>
          <w:color w:val="auto"/>
        </w:rPr>
        <w:t>” has the meaning set forth in Section 10.06(a)(5).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French Subsidiary Guarantor</w:t>
      </w:r>
      <w:r>
        <w:rPr>
          <w:rFonts w:ascii="Times New Roman" w:cs="Times New Roman" w:eastAsia="Times New Roman" w:hAnsi="Times New Roman"/>
          <w:sz w:val="18"/>
          <w:szCs w:val="18"/>
          <w:color w:val="auto"/>
        </w:rPr>
        <w:t>” has the meaning set forth in Section 10.06(a)(5).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Future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xml:space="preserve">” means the legend substantially in the form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Financing</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Financing Guarantee</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that executes and delivers a Note Guarantee pursuant to Section 4.17;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that otherwise executes and delivers a Note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until such time as such Person is released from its Note Guarantee in accordance with the provisions of this Indenture.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with respect to any Person, the obligations of such Person under:</w:t>
      </w:r>
    </w:p>
    <w:p>
      <w:pPr>
        <w:spacing w:after="0" w:line="117" w:lineRule="exact"/>
        <w:rPr>
          <w:sz w:val="20"/>
          <w:szCs w:val="20"/>
          <w:color w:val="auto"/>
        </w:rPr>
      </w:pPr>
    </w:p>
    <w:p>
      <w:pPr>
        <w:ind w:left="440" w:right="34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protection agreements including, without limitation, interest rate swap agreements, interest rate cap agreements and interest rate collar agreements;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contracts, currency swap agreements or other agreements or arrangements designed to protect such Person against fluctuations in interest rates or foreign exchange rates;</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commodity futures contract, commodity option or other similar arrangement or agreement designed to protect such Person against fluctuations in the prices of commodities; and</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agreements and arrangements entered into in connection with the agreements and arrangements described in clauses (1), (2) and (3) above.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Noteholder</w:t>
      </w:r>
      <w:r>
        <w:rPr>
          <w:rFonts w:ascii="Times New Roman" w:cs="Times New Roman" w:eastAsia="Times New Roman" w:hAnsi="Times New Roman"/>
          <w:sz w:val="18"/>
          <w:szCs w:val="18"/>
          <w:color w:val="auto"/>
        </w:rPr>
        <w:t>” means the Person in whose name a Note is registered on the Registrar’s books.</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117" w:lineRule="exact"/>
        <w:rPr>
          <w:sz w:val="20"/>
          <w:szCs w:val="20"/>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that does not require the current payment of interest;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22" w:name="page23"/>
    <w:bookmarkEnd w:id="22"/>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fair market value (as determined in good faith by Parent) of such assets at the date of determination;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Indebtedness of the other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avoidance of doubt, a letter of credit or analogous instrument will not constitute Indebtedness until it has been drawn upon.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this Indenture as amended, restated or supplemented from time to time.</w:t>
      </w:r>
    </w:p>
    <w:p>
      <w:pPr>
        <w:spacing w:after="0" w:line="225" w:lineRule="exact"/>
        <w:rPr>
          <w:sz w:val="20"/>
          <w:szCs w:val="20"/>
          <w:color w:val="auto"/>
        </w:rPr>
      </w:pPr>
    </w:p>
    <w:p>
      <w:pPr>
        <w:jc w:val="both"/>
        <w:ind w:right="26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Purchasers</w:t>
      </w:r>
      <w:r>
        <w:rPr>
          <w:rFonts w:ascii="Times New Roman" w:cs="Times New Roman" w:eastAsia="Times New Roman" w:hAnsi="Times New Roman"/>
          <w:sz w:val="17"/>
          <w:szCs w:val="17"/>
          <w:color w:val="auto"/>
        </w:rPr>
        <w:t>” means BNP PARIBAS, Citigroup Global Markets Europe AG, Deutsche Bank Aktiengesellschaft, BofA Securities Europe SA, Mizuho Bank Europe N.V., MUFG Securities (Europe) N.V., Coöperatieve Rabobank U.A., Banco Santander, S.A., Scotiabank (Ireland) Designated Activity Company, SMBC Bank EU AG, TD Securities (USA) LLC, UniCredit Bank GmbH, Wells Fargo Securities Europe S.A., Crédit Agricole Corporate and Investment Bank, Huntington Securities, Inc., ING Financial Markets LLC, and PNC Capital Markets LLC.</w:t>
      </w:r>
    </w:p>
    <w:p>
      <w:pPr>
        <w:spacing w:after="0" w:line="164"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Institutional Accredited Investor</w:t>
      </w:r>
      <w:r>
        <w:rPr>
          <w:rFonts w:ascii="Times New Roman" w:cs="Times New Roman" w:eastAsia="Times New Roman" w:hAnsi="Times New Roman"/>
          <w:sz w:val="18"/>
          <w:szCs w:val="18"/>
          <w:color w:val="auto"/>
        </w:rPr>
        <w:t>” means an institution that is an “accredited investor” as defined in Rule 501(a)(1), (2), (3) or (7) under the Securities Act.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means any written notices, written directions or written instructions received by the Trustee or the Agent in accordance with the provisions of this Indenture from an Authorized Person or from a person reasonably believed by the Trustee or the Agent to be an Authorized Person.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the stated maturity of an installment of interest on the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October 6, 2025, the date on which the Notes were first issued under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ascribed to such term in the preamble to this Indenture.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set forth in Section 11.17.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has the meaning set forth in Section 9.02.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has the meaning set forth in Section 11.07.</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64"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claims, losses, liabilities, damages, costs, expenses and judgments (including legal fees and expenses) sustained by either party.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Premium</w:t>
      </w:r>
      <w:r>
        <w:rPr>
          <w:rFonts w:ascii="Times New Roman" w:cs="Times New Roman" w:eastAsia="Times New Roman" w:hAnsi="Times New Roman"/>
          <w:sz w:val="18"/>
          <w:szCs w:val="18"/>
          <w:color w:val="auto"/>
        </w:rPr>
        <w:t xml:space="preserve">” means, with respect to a Note at any Make-Whole Redemption Date, an amount equal to the greater of (i) 0% of the principal amount of such Note and (ii) the excess, if any, of (x) the present value at such Make-Whole Redemption Date of the sum of (1) the principal amount that would be payable on such Note on June 30, 2031 and (2) all remaining interest payments to and including June 30, 2031 (but excluding any interest accrued to the Make-Whole Redemption Date), discounted on a semiannual basis (assuming a 360-day year consisting of twelve 30-day months) from June 30, 2031 to the Make-Whole Redemption Date at a per annum interest rate equal to the Bund Rate on such Make-Whole Redemption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0.50%,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(y) the outstanding principal amount of such Note.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Redemption</w:t>
      </w:r>
      <w:r>
        <w:rPr>
          <w:rFonts w:ascii="Times New Roman" w:cs="Times New Roman" w:eastAsia="Times New Roman" w:hAnsi="Times New Roman"/>
          <w:sz w:val="18"/>
          <w:szCs w:val="18"/>
          <w:color w:val="auto"/>
        </w:rPr>
        <w:t>” has the meaning set forth in paragraph 5 of the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Redemption Date</w:t>
      </w:r>
      <w:r>
        <w:rPr>
          <w:rFonts w:ascii="Times New Roman" w:cs="Times New Roman" w:eastAsia="Times New Roman" w:hAnsi="Times New Roman"/>
          <w:sz w:val="18"/>
          <w:szCs w:val="18"/>
          <w:color w:val="auto"/>
        </w:rPr>
        <w:t>” with respect to a Make-Whole Redemption, means the date such Make Whole Redemption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effectuated.</w:t>
      </w:r>
    </w:p>
    <w:p>
      <w:pPr>
        <w:spacing w:after="0" w:line="207"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when used with respect to any Note, means the date on which the principal amount of such Note becomes due and payable as therein or herein provided.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Guaranteed Amount</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Equity Cap</w:t>
      </w:r>
      <w:r>
        <w:rPr>
          <w:rFonts w:ascii="Times New Roman" w:cs="Times New Roman" w:eastAsia="Times New Roman" w:hAnsi="Times New Roman"/>
          <w:sz w:val="18"/>
          <w:szCs w:val="18"/>
          <w:color w:val="auto"/>
        </w:rPr>
        <w:t>” has the meaning set forth in Section 10.06.</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4" w:name="page25"/>
    <w:bookmarkEnd w:id="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jc w:val="both"/>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means any Guarantee of the obligations of the Issuer under this Indenture and the Notes by any Person in accordance with the provisions of this Indenture.</w:t>
      </w:r>
    </w:p>
    <w:p>
      <w:pPr>
        <w:spacing w:after="0" w:line="162" w:lineRule="exact"/>
        <w:rPr>
          <w:sz w:val="20"/>
          <w:szCs w:val="20"/>
          <w:color w:val="auto"/>
        </w:rPr>
      </w:pPr>
    </w:p>
    <w:p>
      <w:pPr>
        <w:jc w:val="both"/>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the 3.750% Senior Notes due 2031 issued by the Issuer, including, without limitation, any Additional Notes, treated as a single class of securities, as amended from time to time in accordance with the terms hereof, that are issued pursuant to this Indenture.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means the Offering Memorandum of the Issuer, dated September 22, 2025, relating to the offering of the Notes on the Issue Date.</w:t>
      </w:r>
    </w:p>
    <w:p>
      <w:pPr>
        <w:spacing w:after="0" w:line="162"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means, with respect to any Person, the Chairman, President, Chief Executive Officer, Chief Financial Officer, Treasurer, Controller, any Senior Vice President, any Vice President of such Person or any other authorized officer or director of such Person.</w:t>
      </w:r>
    </w:p>
    <w:p>
      <w:pPr>
        <w:spacing w:after="0" w:line="162"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with respect to any Person, a certificate signed by the Chairman, President or Chief Executive Officer of such Person, or the equivalent thereof, and the Chief Financial Officer, Controller, Treasurer, any Senior Vice President or any Vice President of such Person, or the equivalent thereof, that shall comply with applicable provisions of this Indenture.</w:t>
      </w:r>
    </w:p>
    <w:p>
      <w:pPr>
        <w:spacing w:after="0" w:line="176" w:lineRule="exact"/>
        <w:rPr>
          <w:sz w:val="20"/>
          <w:szCs w:val="20"/>
          <w:color w:val="auto"/>
        </w:rPr>
      </w:pPr>
    </w:p>
    <w:p>
      <w:pPr>
        <w:jc w:val="both"/>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 Such counsel may be an employee of or counsel to Parent or any of its Subsidiaries.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jc w:val="both"/>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Crown Holdings, Inc., a Pennsylvania corporation, until a successor replaces such party pursuant to Article Five of this Indenture and thereafter the successor.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collectively, the executive officers of Parent on the Issue Date.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60"/>
          </w:cols>
          <w:pgMar w:left="440" w:top="270" w:right="599" w:bottom="1440" w:gutter="0" w:footer="0" w:header="0"/>
        </w:sectPr>
      </w:pPr>
    </w:p>
    <w:bookmarkStart w:id="25" w:name="page26"/>
    <w:bookmarkEnd w:id="25"/>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 w:firstLine="419"/>
        <w:spacing w:after="0" w:line="258" w:lineRule="auto"/>
        <w:tabs>
          <w:tab w:leader="none" w:pos="6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w:t>
      </w:r>
      <w:r>
        <w:rPr>
          <w:rFonts w:ascii="Times New Roman" w:cs="Times New Roman" w:eastAsia="Times New Roman" w:hAnsi="Times New Roman"/>
          <w:sz w:val="18"/>
          <w:szCs w:val="18"/>
          <w:u w:val="single" w:color="auto"/>
          <w:color w:val="auto"/>
        </w:rPr>
        <w:t>substantial improvement</w:t>
      </w:r>
      <w:r>
        <w:rPr>
          <w:rFonts w:ascii="Times New Roman" w:cs="Times New Roman" w:eastAsia="Times New Roman" w:hAnsi="Times New Roman"/>
          <w:sz w:val="18"/>
          <w:szCs w:val="18"/>
          <w:color w:val="auto"/>
        </w:rPr>
        <w:t>”) of such Principal Property or (b) the placing in operation of such Principal Property after the acquisition or completion of any such construction or substantial improvement;</w:t>
      </w:r>
    </w:p>
    <w:p>
      <w:pPr>
        <w:spacing w:after="0" w:line="75" w:lineRule="exact"/>
        <w:rPr>
          <w:rFonts w:ascii="Times New Roman" w:cs="Times New Roman" w:eastAsia="Times New Roman" w:hAnsi="Times New Roman"/>
          <w:sz w:val="18"/>
          <w:szCs w:val="18"/>
          <w:color w:val="auto"/>
        </w:rPr>
      </w:pPr>
    </w:p>
    <w:p>
      <w:pPr>
        <w:ind w:left="4" w:right="40" w:firstLine="419"/>
        <w:spacing w:after="0" w:line="270" w:lineRule="auto"/>
        <w:tabs>
          <w:tab w:leader="none" w:pos="68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each case (a) the Indebtedness secured by such Lien was not incurred in contemplation of such merger, combination, amalgamation, consolidation, acquisition or transaction in which Person becomes a Subsidiary of Parent and</w:t>
      </w:r>
    </w:p>
    <w:p>
      <w:pPr>
        <w:spacing w:after="0" w:line="2" w:lineRule="exact"/>
        <w:rPr>
          <w:rFonts w:ascii="Times New Roman" w:cs="Times New Roman" w:eastAsia="Times New Roman" w:hAnsi="Times New Roman"/>
          <w:sz w:val="17"/>
          <w:szCs w:val="17"/>
          <w:color w:val="auto"/>
        </w:rPr>
      </w:pPr>
    </w:p>
    <w:p>
      <w:pPr>
        <w:ind w:left="4" w:right="40" w:hanging="4"/>
        <w:spacing w:after="0" w:line="260" w:lineRule="auto"/>
        <w:tabs>
          <w:tab w:leader="none" w:pos="2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extends only to the Capital Stock and assets of such Person (and Subsidiaries of such Person) and/or to property other than Principal Property or the Capital Stock or Indebtedness of any Subsidiary of Parent;</w:t>
      </w:r>
    </w:p>
    <w:p>
      <w:pPr>
        <w:spacing w:after="0" w:line="7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favor of Parent and/or one or more of its Subsidiaries;</w:t>
      </w:r>
    </w:p>
    <w:p>
      <w:pPr>
        <w:spacing w:after="0" w:line="117"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67" w:lineRule="exact"/>
        <w:rPr>
          <w:rFonts w:ascii="Times New Roman" w:cs="Times New Roman" w:eastAsia="Times New Roman" w:hAnsi="Times New Roman"/>
          <w:sz w:val="18"/>
          <w:szCs w:val="18"/>
          <w:color w:val="auto"/>
        </w:rPr>
      </w:pPr>
    </w:p>
    <w:p>
      <w:pPr>
        <w:ind w:left="4" w:right="20" w:firstLine="419"/>
        <w:spacing w:after="0" w:line="289" w:lineRule="auto"/>
        <w:tabs>
          <w:tab w:leader="none" w:pos="68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49" w:lineRule="exact"/>
        <w:rPr>
          <w:rFonts w:ascii="Times New Roman" w:cs="Times New Roman" w:eastAsia="Times New Roman" w:hAnsi="Times New Roman"/>
          <w:sz w:val="17"/>
          <w:szCs w:val="17"/>
          <w:color w:val="auto"/>
        </w:rPr>
      </w:pPr>
    </w:p>
    <w:p>
      <w:pPr>
        <w:ind w:left="684" w:hanging="261"/>
        <w:spacing w:after="0"/>
        <w:tabs>
          <w:tab w:leader="none" w:pos="6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this Indenture;</w:t>
      </w:r>
    </w:p>
    <w:p>
      <w:pPr>
        <w:spacing w:after="0" w:line="117"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26" w:name="page27"/>
    <w:bookmarkEnd w:id="2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secured the 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72" w:lineRule="exact"/>
        <w:rPr>
          <w:sz w:val="20"/>
          <w:szCs w:val="20"/>
          <w:color w:val="auto"/>
        </w:rPr>
      </w:pPr>
    </w:p>
    <w:p>
      <w:pPr>
        <w:ind w:firstLine="419"/>
        <w:spacing w:after="0" w:line="266"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53" w:lineRule="exact"/>
        <w:rPr>
          <w:rFonts w:ascii="Times New Roman" w:cs="Times New Roman" w:eastAsia="Times New Roman" w:hAnsi="Times New Roman"/>
          <w:sz w:val="18"/>
          <w:szCs w:val="18"/>
          <w:color w:val="auto"/>
        </w:rPr>
      </w:pPr>
    </w:p>
    <w:p>
      <w:pPr>
        <w:ind w:right="40" w:firstLine="419"/>
        <w:spacing w:after="0" w:line="282"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or sales of receivables;</w:t>
      </w:r>
    </w:p>
    <w:p>
      <w:pPr>
        <w:spacing w:after="0" w:line="117" w:lineRule="exact"/>
        <w:rPr>
          <w:rFonts w:ascii="Times New Roman" w:cs="Times New Roman" w:eastAsia="Times New Roman" w:hAnsi="Times New Roman"/>
          <w:sz w:val="18"/>
          <w:szCs w:val="18"/>
          <w:color w:val="auto"/>
        </w:rPr>
      </w:pPr>
    </w:p>
    <w:p>
      <w:pPr>
        <w:ind w:right="40" w:firstLine="419"/>
        <w:spacing w:after="0" w:line="255"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effect to the application of the proceeds therefrom), taken together with the amount of all Attributable Debt of Parent and its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at that time outstanding relating to Sale and Leaseback Transactions permitted under Section 4.15, not to exceed 15% of the Consolidated Net Tangible Assets of Parent measured as of the date any such Indebtedness is incurred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application of the proceeds therefrom and any transaction in connection with which such Indebtedness is being incurred);</w:t>
      </w:r>
    </w:p>
    <w:p>
      <w:pPr>
        <w:spacing w:after="0" w:line="80" w:lineRule="exact"/>
        <w:rPr>
          <w:rFonts w:ascii="Times New Roman" w:cs="Times New Roman" w:eastAsia="Times New Roman" w:hAnsi="Times New Roman"/>
          <w:sz w:val="18"/>
          <w:szCs w:val="18"/>
          <w:color w:val="auto"/>
        </w:rPr>
      </w:pPr>
    </w:p>
    <w:p>
      <w:pPr>
        <w:ind w:right="260" w:firstLine="419"/>
        <w:spacing w:after="0" w:line="266"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7" w:name="page28"/>
    <w:bookmarkEnd w:id="27"/>
    <w:p>
      <w:pPr>
        <w:ind w:left="440" w:right="200" w:firstLine="419"/>
        <w:spacing w:after="0" w:line="266"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reserve or other appropriate provision as shall be required in conformity with GAAP shall have been made therefor;</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79" w:lineRule="exact"/>
        <w:rPr>
          <w:rFonts w:ascii="Times New Roman" w:cs="Times New Roman" w:eastAsia="Times New Roman" w:hAnsi="Times New Roman"/>
          <w:sz w:val="18"/>
          <w:szCs w:val="18"/>
          <w:color w:val="auto"/>
        </w:rPr>
      </w:pPr>
    </w:p>
    <w:p>
      <w:pPr>
        <w:ind w:left="440" w:firstLine="419"/>
        <w:spacing w:after="0" w:line="261"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 or securing letters of credit that support such Hedging Obligations; and</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operation of law with respect to any judgments, awards or orders to the extent that such judgments, awards or orders do not cause or constitute a Default under this Indenture.</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unincorporated organization, trust or joint venture, or a governmental agency or political subdivision thereof.</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270" w:right="519" w:bottom="1440" w:gutter="0" w:footer="0" w:header="0"/>
        </w:sectPr>
      </w:pPr>
    </w:p>
    <w:bookmarkStart w:id="28" w:name="page29"/>
    <w:bookmarkEnd w:id="2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Physical Notes</w:t>
      </w:r>
      <w:r>
        <w:rPr>
          <w:rFonts w:ascii="Times New Roman" w:cs="Times New Roman" w:eastAsia="Times New Roman" w:hAnsi="Times New Roman"/>
          <w:sz w:val="18"/>
          <w:szCs w:val="18"/>
          <w:color w:val="auto"/>
        </w:rPr>
        <w:t>” means certificated Notes in registered form.</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of a Note means the principal of the Note plus the premium, if any, payable on the Note which is due or overdue or is to become due at the relevant time.</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any manufacturing plant or manufacturing facility owned (excluding any equipment or personalty located therein) by Parent or any of its Subsidiaries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 Subsidiary</w:t>
      </w:r>
      <w:r>
        <w:rPr>
          <w:rFonts w:ascii="Times New Roman" w:cs="Times New Roman" w:eastAsia="Times New Roman" w:hAnsi="Times New Roman"/>
          <w:sz w:val="18"/>
          <w:szCs w:val="18"/>
          <w:color w:val="auto"/>
        </w:rPr>
        <w:t>” means any Subsidiary that owns, operates or leases one or more Principal Properties.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xml:space="preserve">” means the legend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Institutional Buyer</w:t>
      </w:r>
      <w:r>
        <w:rPr>
          <w:rFonts w:ascii="Times New Roman" w:cs="Times New Roman" w:eastAsia="Times New Roman" w:hAnsi="Times New Roman"/>
          <w:sz w:val="18"/>
          <w:szCs w:val="18"/>
          <w:color w:val="auto"/>
        </w:rPr>
        <w:t>” shall have the meaning specified in Rule 144A promulgated under the Securities Act.</w:t>
      </w:r>
    </w:p>
    <w:p>
      <w:pPr>
        <w:spacing w:after="0" w:line="225"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Rating Agency</w:t>
      </w:r>
      <w:r>
        <w:rPr>
          <w:rFonts w:ascii="Times New Roman" w:cs="Times New Roman" w:eastAsia="Times New Roman" w:hAnsi="Times New Roman"/>
          <w:sz w:val="17"/>
          <w:szCs w:val="17"/>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58"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Date</w:t>
      </w:r>
      <w:r>
        <w:rPr>
          <w:rFonts w:ascii="Times New Roman" w:cs="Times New Roman" w:eastAsia="Times New Roman" w:hAnsi="Times New Roman"/>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Event</w:t>
      </w:r>
      <w:r>
        <w:rPr>
          <w:rFonts w:ascii="Times New Roman" w:cs="Times New Roman" w:eastAsia="Times New Roman" w:hAnsi="Times New Roman"/>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72" w:lineRule="exact"/>
        <w:rPr>
          <w:sz w:val="20"/>
          <w:szCs w:val="20"/>
          <w:color w:val="auto"/>
        </w:rPr>
      </w:pPr>
    </w:p>
    <w:p>
      <w:pPr>
        <w:ind w:left="440" w:firstLine="419"/>
        <w:spacing w:after="0" w:line="282"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ind w:left="440" w:right="300" w:firstLine="419"/>
        <w:spacing w:after="0" w:line="282"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Notes are rated below Investment Grade by both Rating Agencies on the Rating Date, the rating of the Notes shall remain rated below Investment Grade by both Rating Agencies.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Note to be redeemed pursuant to paragraph 5 of the Notes means the date fixed for such redemption pursuant to the terms of this Indenture and the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German Bund Dealer</w:t>
      </w:r>
      <w:r>
        <w:rPr>
          <w:rFonts w:ascii="Times New Roman" w:cs="Times New Roman" w:eastAsia="Times New Roman" w:hAnsi="Times New Roman"/>
          <w:sz w:val="18"/>
          <w:szCs w:val="18"/>
          <w:color w:val="auto"/>
        </w:rPr>
        <w:t>” means any dealer of German Bundesanleihe securities appointed by the Issuer in good faith.</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German Bund Dealer Quotations</w:t>
      </w:r>
      <w:r>
        <w:rPr>
          <w:rFonts w:ascii="Times New Roman" w:cs="Times New Roman" w:eastAsia="Times New Roman" w:hAnsi="Times New Roman"/>
          <w:sz w:val="18"/>
          <w:szCs w:val="18"/>
          <w:color w:val="auto"/>
        </w:rPr>
        <w:t>” means, with respect to each Reference German Bund Dealer and any relevant date, the average as determined by the Issuer of the bid and offered prices for the Comparable German Bund Issue (expressed in each case as a percentage of its principal amount) quoted in writing to the Issuer by such Reference German Bund Dealer at 3:30 p.m. Frankfurt, Germany time on the third Business Day preceding the relevant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Global Notes</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when used with respect to the Trustee, any officer in the Corporate Trust Department of the Trustee including any vice president, assistant vice president or any other officer of the Trustee who customarily performs functions similar to those performed by the Persons who at the time shall be such officers, respectively, and to whom any corporate trust matter is referred because of such officer’s knowledge of and familiarity with the particular subject, in each case having direct responsibility for the administration of this Indenture.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Note</w:t>
      </w:r>
      <w:r>
        <w:rPr>
          <w:rFonts w:ascii="Times New Roman" w:cs="Times New Roman" w:eastAsia="Times New Roman" w:hAnsi="Times New Roman"/>
          <w:sz w:val="18"/>
          <w:szCs w:val="18"/>
          <w:color w:val="auto"/>
        </w:rPr>
        <w:t>” means a Global Note that is a Restricted Note.</w:t>
      </w:r>
    </w:p>
    <w:p>
      <w:pPr>
        <w:spacing w:after="0" w:line="223" w:lineRule="exact"/>
        <w:rPr>
          <w:sz w:val="20"/>
          <w:szCs w:val="20"/>
          <w:color w:val="auto"/>
        </w:rPr>
      </w:pPr>
    </w:p>
    <w:p>
      <w:pPr>
        <w:ind w:right="2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Note</w:t>
      </w:r>
      <w:r>
        <w:rPr>
          <w:rFonts w:ascii="Times New Roman" w:cs="Times New Roman" w:eastAsia="Times New Roman" w:hAnsi="Times New Roman"/>
          <w:sz w:val="17"/>
          <w:szCs w:val="17"/>
          <w:color w:val="auto"/>
        </w:rPr>
        <w:t xml:space="preserve">” has the same meaning as “restricted security” set forth in Rule 144(a)(3) promulgated under the Securities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Trustee shall be entitled to request and conclusively rely upon an Opinion of Counsel with respect to whether any Note is a Restricted Note.</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Physical Note</w:t>
      </w:r>
      <w:r>
        <w:rPr>
          <w:rFonts w:ascii="Times New Roman" w:cs="Times New Roman" w:eastAsia="Times New Roman" w:hAnsi="Times New Roman"/>
          <w:sz w:val="18"/>
          <w:szCs w:val="18"/>
          <w:color w:val="auto"/>
        </w:rPr>
        <w:t>” means a Physical Note that is a Restricted Note.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Global Notes</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and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set forth in Section 4.15.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of the Commission promulgated thereunder.</w:t>
      </w:r>
    </w:p>
    <w:p>
      <w:pPr>
        <w:spacing w:after="0" w:line="23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w:t>
      </w:r>
    </w:p>
    <w:p>
      <w:pPr>
        <w:spacing w:after="0" w:line="117" w:lineRule="exact"/>
        <w:rPr>
          <w:sz w:val="20"/>
          <w:szCs w:val="20"/>
          <w:color w:val="auto"/>
        </w:rPr>
      </w:pPr>
    </w:p>
    <w:p>
      <w:pPr>
        <w:ind w:left="440" w:right="40" w:firstLine="419"/>
        <w:spacing w:after="0" w:line="312" w:lineRule="auto"/>
        <w:tabs>
          <w:tab w:leader="none" w:pos="111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general partners of which are such Person or one or more Subsidiaries of such Person (or any combination thereof).</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has the meaning set forth in Section 4.20.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Jurisdiction</w:t>
      </w:r>
      <w:r>
        <w:rPr>
          <w:rFonts w:ascii="Times New Roman" w:cs="Times New Roman" w:eastAsia="Times New Roman" w:hAnsi="Times New Roman"/>
          <w:sz w:val="18"/>
          <w:szCs w:val="18"/>
          <w:color w:val="auto"/>
        </w:rPr>
        <w:t>” has the meaning set forth in Section 4.20.</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(15 U.S. Code §§ 77aaa-77bbbb) as in effect on the date of this Indenture (except as provided in Section 8.03).</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440" w:top="270" w:right="559" w:bottom="1440" w:gutter="0" w:footer="0" w:header="0"/>
        </w:sectPr>
      </w:pPr>
    </w:p>
    <w:bookmarkStart w:id="31" w:name="page32"/>
    <w:bookmarkEnd w:id="31"/>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has the meaning set forth in Section 2.04.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the party named as such in this Indenture until a successor replaces it pursuant to this Indenture and thereafter means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Global Note</w:t>
      </w:r>
      <w:r>
        <w:rPr>
          <w:rFonts w:ascii="Times New Roman" w:cs="Times New Roman" w:eastAsia="Times New Roman" w:hAnsi="Times New Roman"/>
          <w:sz w:val="18"/>
          <w:szCs w:val="18"/>
          <w:color w:val="auto"/>
        </w:rPr>
        <w:t>” means a Global Note that is not a Restricted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Notes</w:t>
      </w:r>
      <w:r>
        <w:rPr>
          <w:rFonts w:ascii="Times New Roman" w:cs="Times New Roman" w:eastAsia="Times New Roman" w:hAnsi="Times New Roman"/>
          <w:sz w:val="18"/>
          <w:szCs w:val="18"/>
          <w:color w:val="auto"/>
        </w:rPr>
        <w:t>” means Notes that are not Restricted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Physical Note</w:t>
      </w:r>
      <w:r>
        <w:rPr>
          <w:rFonts w:ascii="Times New Roman" w:cs="Times New Roman" w:eastAsia="Times New Roman" w:hAnsi="Times New Roman"/>
          <w:sz w:val="18"/>
          <w:szCs w:val="18"/>
          <w:color w:val="auto"/>
        </w:rPr>
        <w:t>” means a Physical Note that is not a Restricted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Guarantor</w:t>
      </w:r>
      <w:r>
        <w:rPr>
          <w:rFonts w:ascii="Times New Roman" w:cs="Times New Roman" w:eastAsia="Times New Roman" w:hAnsi="Times New Roman"/>
          <w:sz w:val="18"/>
          <w:szCs w:val="18"/>
          <w:color w:val="auto"/>
        </w:rPr>
        <w:t>” has the meaning set forth in Section 10.06.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“U.S. person” as defined in Rule 902(k) under the Securities Act.</w:t>
      </w:r>
    </w:p>
    <w:p>
      <w:pPr>
        <w:spacing w:after="0" w:line="225"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“indenture securities” means the Notes.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“indenture securityholder” means a Holder or Noteholder.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2" w:name="page33"/>
    <w:bookmarkEnd w:id="32"/>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to be qualified” means this Indenture.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“obligor on the indenture securities” means the Issuer, the Guarantors or any other obligor on the Notes.</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in the TIA by reference to another statute or defined by Commission rule have the meanings therein assigned to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 herein, whether defined expressly or by reference;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herein implying any gender shall apply to both genders;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subsection;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“U.S. Dollars” each refer to United States dollars, or such other money of the United States of America that at the time of payment is legal tender for payment of public and private debts; and</w:t>
      </w:r>
    </w:p>
    <w:p>
      <w:pPr>
        <w:spacing w:after="0" w:line="53"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“Euros” each refer to the lawful currency of the member states of the European Union that adopt the single currency in accordance with the Treaty establishing the European Communities, as amended.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40" w:top="270" w:right="5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TWO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Amount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56" w:lineRule="auto"/>
        <w:rPr>
          <w:sz w:val="20"/>
          <w:szCs w:val="20"/>
          <w:color w:val="auto"/>
        </w:rPr>
      </w:pPr>
      <w:r>
        <w:rPr>
          <w:rFonts w:ascii="Times New Roman" w:cs="Times New Roman" w:eastAsia="Times New Roman" w:hAnsi="Times New Roman"/>
          <w:sz w:val="18"/>
          <w:szCs w:val="18"/>
          <w:color w:val="auto"/>
        </w:rPr>
        <w:t>The Trustee shall initially authenticate €500,000,000 aggregate principal amount of Notes for original issue on the Issue Date upon a written order of the Issuer in the form of an Officers’ Certificate of the Issuer (other than as provided in Section 2.08). The Trustee shall authenticate additional Notes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thereafter in unlimited amount (so long as permitted by the terms of this Indenture) for original issue upon a written order of the Issuer in the form of an Officers’ Certificate in aggregate principal amount as specified in such order (other than as provided in Section 2.08). Each such written order shall specify the principal amount of Notes to be authenticated and the date on which the Notes are to be authenticated.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and Dating;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with respect thereto shall be substantially in the form set forth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(with respect to the Restricted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(with respect to the Unrestricted Notes), each of which is incorporated in and forms a part of this Indenture. Each Note shall be dated the date of its authentication.</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Notes may have notations, legends or endorsements required by law, rule or usage to which the Issuer is subject. Without limiting the generality of the foregoing, Notes offered and sold to Qualified Institutional Buyers in reliance on Rule 144A (“</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Notes offered and sold in offshore transactions in reliance on Regulation S (“</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and all other Restricted Notes shall bear the Private Placement Legend. All Global Notes shall bear the Global Note Legend.</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Each Note issued hereunder that has more than a de minimis amount of original issue discount for U.S. Federal Income Tax purposes shall bear a legend substantially in the form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may be presented for registration of transfer and exchange at the offices of the Registrar.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shall be executed on behalf of the Issuer by two Officers of the Issuer. The signature of any of these Officers on the Notes may be manual, facsimile, .pdf attachment or other electronically transmitted signature.</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Trustee may appoint one or more authenticating agents reasonably acceptable to the Issuer to authenticate the Notes. Unless otherwise provided in the appointment, an authenticating agent may authenticate the Notes whenever the Trustee may do so. Each reference in this Indenture to authentication by the Trustee includes authentication by such agent. An authenticating agent has the same rights as an Agent to deal with the Issuer and Affiliates of the Issuer. Each Paying Agent is designated as an authenticating agent for purposes of this Indenture.</w:t>
      </w:r>
    </w:p>
    <w:p>
      <w:pPr>
        <w:spacing w:after="0" w:line="180"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Notes shall be issuable only in registered form without coupons in denominations of €100,000 and any integral multiple of €1,000 in excess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Registrar, Paying Agent and Transfer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shall maintain (a) an office or agency where Notes may be presented for registration of transfer or for exchange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(b) an office or agency in London, England where the Notes may be presented for payment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(c) an office 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notices and demands to or upon the Issuer, if any, in respect of the Notes and this Indenture may be served and (d) an office or agency to act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in respect of the Notes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Registrar shall keep a register of the Notes and of their transfer and exchange.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Registrar shall provide a copy of such register from time to time upon request of the Issuer. The Issuer may have one or more co-registrars and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additional Paying Agents. The term “Registrar” includes any co-registrars. The term “Paying Agents” means the Paying Agent and any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Agents. The term “Transfer Agent” includes any co-transfer agents. The Issuer or any Affiliate thereof may act as Registrar, a Paying Agent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5" w:name="page36"/>
    <w:bookmarkEnd w:id="3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shall enter into an appropriate agency agreement, which shall incorporate the provisions of the TIA, with any Agent that is not a party to this Indenture. The agreement shall implement the provisions of this Indenture that relate to such Agent. The Issuer shall notify the Trustee of the name and address of any such Agent. If the Issuer fails to maintain a Registrar or any required co-registrar or Paying Agent, or fails to give the foregoing notice, the Trustee shall act as such and shall be entitled to appropriate compensation in accordance with Section 7.07.</w:t>
      </w:r>
    </w:p>
    <w:p>
      <w:pPr>
        <w:spacing w:after="0" w:line="180"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The Issuer will ensure that it maintains a Paying Agent in a member state of the European Union that will not be obliged to withhold or deduct tax pursuant to Council Directives 2003/48/EC and 2015/2060/EU.</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Issuer initially appoints the Trustee as agent for service of notices and demands in connection with the Notes and this Indenture. The Issuer initially appoints U.S. Bank Europe DAC, in Dublin as Paying Agent, Registrar and Transfer Agent.</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Issuer may change the Paying Agent, the Registrar or the Transfer Agent without prior notice to the Holders. For so long as the Notes are listed on the Official List of the Luxembourg Stock Exchange and admitted for trading on the Euro MTF Market, the Issuer will publish a notice of any change of Paying Agent, Registrar or Transfer Agent in accordance with the rules of the Euro MTF Market or, to the extent and in the manner permitted by such rules, post such notice on the official website of the Luxembourg Stock Exchange (</w:t>
      </w:r>
      <w:r>
        <w:rPr>
          <w:rFonts w:ascii="Times New Roman" w:cs="Times New Roman" w:eastAsia="Times New Roman" w:hAnsi="Times New Roman"/>
          <w:sz w:val="18"/>
          <w:szCs w:val="18"/>
          <w:i w:val="1"/>
          <w:iCs w:val="1"/>
          <w:color w:val="auto"/>
        </w:rPr>
        <w:t>www.luxse.com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Paying Agent To Hold Money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Paying Agent shall hold for the Noteholders or the Trustee all money held by the Paying Agent for the payment of principal of or premium or interest on the Notes (whether such money has been paid to it by the Issuer, one or more of the Guarantors or any other obligor on the Notes), and the Issuer and the Paying Agent shall notify the Trustee of any default by the Issuer (or any other obligor on the Notes) in making any such payment. Money held by a Paying Agent need not be segregated except as required by law and in no event shall a Paying Agent be liable for any interest on any money received by it hereunder. The Issuer at any time may require a Paying Agent to pay all money held by it to the Trustee and account for any funds disbursed and the Trustee may at any time during the continuance of any Event of Default specified in Section 6.01(1) or (2), upon written request to a Paying Agent, require such Paying Agent to pay forthwith all money so held by it to the Trustee and to account for any funds disbursed. Upon making such payment, such Paying Agent shall have no further liability for the money delivered to the Trustee.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Noteholder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the Noteholders.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Noteholders.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Subject to Sections 2.16 and 2.17, when Notes are presented to the Registrar with a request from the Holder of such Notes to register a transfer or to exchange them for an equal principal amount of Notes of other authorized denominations, the Registrar shall register the transfer as requested. Every Note presented or surrendered for registration of transfer or exchange shall be duly endorsed or be accompanied by a written instrument of transfer in form satisfactory to the Issuer and the Registrar, duly executed by the Holder thereof or his attorneys duly authorized in writing. To permit registrations of transfers and exchanges, the Issuer shall issue and execute and, upon receipt of a written order of the Issuer in the form of an Officers’ Certificate in accordance with Section 2.01, the Trustee shall authenticate new Notes (and the Guarantors shall execute the Guarantees thereon) evidencing such transfer or exchange at the Registrar’s request. No service charge shall be made to the Noteholder for any registration of transfer or exchange. The Issuer may require from the Noteholder payment of a sum sufficient to cover any transfer taxes or other governmental charge that may be imposed in relation to a transfer or exchange, but this provision shall not apply to any exchange pursuant to Section 2.11, 3.06, 4.08, 4.12 or 8.05 (in which events the Issuer shall be responsible for the payment of such taxes). The Issuer shall not be required to transfer or exchange any Note selected for redemption. The Registrar shall not be required to exchange or register a transfer of any Note for a period of 15 days immediately preceding the mailing of notice of redemption of Notes to be redeemed or of any Note selected, called or being called for redemption except the unredeemed portion of any Note being redeemed in part.</w:t>
      </w:r>
    </w:p>
    <w:p>
      <w:pPr>
        <w:spacing w:after="0" w:line="18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By its acceptance of any Note bearing the Private Placement Legend, each Holder of such Note acknowledges the restrictions on transfer of such Note set forth in this Indenture and in the Private Placement Legend and agrees that it will transfer such Note only as provided in this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Replacement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If a mutilated Note is surrendered to the Registrar or the Trustee, or if the Holder of a Note claims that the Note has been lost, destroyed or wrongfully taken, the Issuer shall issue and, upon receipt of a written order of the Issuer in the form of an Officers’ Certificate in accordance with Section 2.01, the Trustee shall authenticate a replacement Note (and the Guarantors shall execute the Guarantees thereon)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Guarantors, the Trustee, the Registrar, the Transfer Agent and any Paying Agent from any loss that any of them may suffer if such Note is replaced. The Issuer may charge such Holder for the Issuer’s reasonable out-of-pocket expenses in replacing such Note and the Trustee may charge the Issuer for the Trustee’s out-of-pocket expenses (including, without limitation, attorneys’ fees and disbursements) in replacing such Note. Every replacement Note shall constitute a contractual obligation of the Issuer.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Outstanding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Notes outstanding at any time are all Notes that have been authenticated by the Trustee except for (a) those canceled by or on behalf of the Trustee, (b) those accepted by the Trustee for cancellation, (c) to the extent set forth in Sections 9.01 and 9.02, on or after the date on which the conditions set forth in Section 9.01 or 9.02 have been satisfied, those Notes theretofore authenticated by the Trustee hereunder and (d) those described in this Section 2.09 as not outstanding. Subject to Section 2.10, a Note does not cease to be outstanding because the Issuer or one of its Affiliates holds the Note.</w:t>
      </w:r>
    </w:p>
    <w:p>
      <w:pPr>
        <w:spacing w:after="0" w:line="183"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2.08, it ceases to be outstanding unless the Trustee receives proof satisfactory to the Trustee that the replaced Note is held by a bona fide purchaser in whose hands such Note is a legal, valid and binding obligation of the Issuer.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a Paying Agent holds, in its capacity as such, on any Maturity Date, Euros sufficient to pay all accrued interest and principal with respect to the Notes payable on that date and is not prohibited from paying such money to the Holders thereof pursuant to the terms of this Indenture, then on and after that date such Notes shall cease to be outstanding and interest on them shall cease to accrue.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Treasury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Issuer, a Guarantor, any other obligor on the Notes or any of their respective Affiliates.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Until definitive Notes are prepared and ready for delivery, the Issuer may prepare and, upon receipt of a written order of the Issuer in the form of an Officers’ Certificate in accordance with Section 2.01, the Trustee shall authenticate temporary Notes. Temporary Notes shall be substantially in the form of definitive Notes but may have variations that the Issuer considers appropriate for temporary Notes. Without unreasonable delay, the Issuer shall prepare and, upon receipt of a written order of the Issuer in the form of an Officers’ Certificate in accordance with Section 2.01, the Trustee shall authenticate definitive Notes in exchange for temporary Notes. Until such exchange, temporary Notes shall be entitled to the same rights, benefits and privileges as definitive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Issuer at any time may deliver Notes to the Trustee for cancellation. The Registrar, the Transfer Agent and the Paying Agent shall forward to the Trustee any Notes surrendered to them for registration of transfer, exchange or payment. The Trustee shall cancel all Notes surrendered for registration of transfer, exchange, payment, replacement or cancellation and shall dispose of such canceled Notes in its customary manner. The Issuer may not reissue or resell or issue new Notes to replace Notes that the Issuer has redeemed or paid, or that have been delivered to the Trustee for cancellation.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If the Issuer defaults on a payment of interest on the Notes, the Issuer shall pay the defaulted interest then borne by the Notes plus (to the extent permitted by law) any interest payable on the defaulted interest, in accordance with the terms hereof, to the Persons who are Holders thereof on a subsequent special record date, which date shall be at least five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Days prior to the payment date. The Issuer shall fix such special record date and payment date in a manner satisfactory to the Trustee. At least 10 days before such special record date, the Issuer shall mail to each affected Noteholder a notice that states the special record date, the payment date and the amount of defaulted interest, and interest payable on defaulted 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w:t>
      </w:r>
    </w:p>
    <w:p>
      <w:pPr>
        <w:spacing w:after="0" w:line="18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interest which is paid prior to the expiration of the 30-day period set forth in Section 6.01(1) shall be paid to Holders as of the record date for the Interest Payment Date for which interest has not been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CUSIP, ISIN and Common Code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“ISIN” and “Common Code” numbers, and if so used, such CUSIP, ISIN and Common Code numbers shall be included in notices of redemption or exchange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or accuracy of the CUSIP, ISIN or Common Code numbers printed in the notice or on the Notes, and that reliance may be placed only on the other identification numbers printed on the Notes. The Issuer shall promptly notify the Trustee, in writing, of any such CUSIP, ISIN or Common Code number used by the Issuer in connection with the issuance of the Notes and of any change in any such CUSIP, ISIN or Common Code number.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Deposit of Moneys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Prior to 10:00 A.M., London time, one Business Day prior to each Interest Payment Date and Maturity Date, the Issuer shall have deposited with the Paying Agent in immediately available funds Euros sufficient to make cash payments, if any, due on such Interest Payment Date or Maturity Date, as the case may be, in a timely manner which permits such Paying Agent, subject to actual receipt of such funds, to remit payment to the Holders on such Interest Payment Date or Maturity Date, as the case may be. The principal and interest on Global Notes shall be payable to the Common Depositary or its nominee, as the case may be, as the sole registered owner and the sole Holder of the Global Notes represented thereby. The principal and interest on Physical Notes shall be payable, either in person, by wire transfer or by mail, at the office of the Paying Agent.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40" w:name="page41"/>
    <w:bookmarkEnd w:id="4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2.16. </w:t>
      </w:r>
      <w:r>
        <w:rPr>
          <w:rFonts w:ascii="Times New Roman" w:cs="Times New Roman" w:eastAsia="Times New Roman" w:hAnsi="Times New Roman"/>
          <w:sz w:val="18"/>
          <w:szCs w:val="18"/>
          <w:u w:val="single" w:color="auto"/>
          <w:color w:val="auto"/>
        </w:rPr>
        <w:t>Book-Entry Provisions for Global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87"/>
        <w:spacing w:after="0" w:line="256"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144A Notes initially shall be represented by one or more Notes in registered, global form without interest coupons (collectively, the “</w:t>
      </w:r>
      <w:r>
        <w:rPr>
          <w:rFonts w:ascii="Times New Roman" w:cs="Times New Roman" w:eastAsia="Times New Roman" w:hAnsi="Times New Roman"/>
          <w:sz w:val="18"/>
          <w:szCs w:val="18"/>
          <w:u w:val="single" w:color="auto"/>
          <w:color w:val="auto"/>
        </w:rPr>
        <w:t>Rule 144A Global Notes</w:t>
      </w:r>
      <w:r>
        <w:rPr>
          <w:rFonts w:ascii="Times New Roman" w:cs="Times New Roman" w:eastAsia="Times New Roman" w:hAnsi="Times New Roman"/>
          <w:sz w:val="18"/>
          <w:szCs w:val="18"/>
          <w:color w:val="auto"/>
        </w:rPr>
        <w:t>”). Regulation S Notes initially shall be represented by one or more Notes in registered, global form without interest coupons (collectively, the “</w:t>
      </w:r>
      <w:r>
        <w:rPr>
          <w:rFonts w:ascii="Times New Roman" w:cs="Times New Roman" w:eastAsia="Times New Roman" w:hAnsi="Times New Roman"/>
          <w:sz w:val="18"/>
          <w:szCs w:val="18"/>
          <w:u w:val="single" w:color="auto"/>
          <w:color w:val="auto"/>
        </w:rPr>
        <w:t>Regulation S Global Notes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means the Rule 144A Global Notes and the Regulation S Global Notes. The Global Notes shall bear the Global Note Legend. The Global Notes initially shall (i) be registered in the name of the nominee of such Common Depositary, in each case for credit to an account of an Agent Member, (ii) be delivered to the Common Depositary and (iii) bear the Private Placement Legend.</w:t>
      </w:r>
    </w:p>
    <w:p>
      <w:pPr>
        <w:spacing w:after="0" w:line="187"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Members of, or direct or indirect participants in, Euroclear or Clearstream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this Indenture with respect to any Global Note held on their behalf by the nominee of the Common Depositary or under the Global Notes. The nominee of the Common Depositary may be treated by the Issuer, the Trustee and any agent of the Issuer or the Trustee as the absolute owner of the Global Notes for all purposes whatsoever. Notwithstanding the foregoing, nothing herein shall prevent the Issuer, the Trustee or any agent of the Issuer or the Trustee from giving effect to any written certification, proxy or other authorization furnished by the Common Depositary or impair, as between Euroclear or Clearstream, as the case may be, and their respective Agent Members, the operation of customary practices governing the exercise of the rights of a Holder of any Note.</w:t>
      </w:r>
    </w:p>
    <w:p>
      <w:pPr>
        <w:spacing w:after="0" w:line="189" w:lineRule="exact"/>
        <w:rPr>
          <w:sz w:val="20"/>
          <w:szCs w:val="20"/>
          <w:color w:val="auto"/>
        </w:rPr>
      </w:pPr>
    </w:p>
    <w:p>
      <w:pPr>
        <w:ind w:left="4" w:right="60" w:firstLine="987"/>
        <w:spacing w:after="0" w:line="255" w:lineRule="auto"/>
        <w:tabs>
          <w:tab w:leader="none" w:pos="12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Global Notes shall be limited to transfer in whole, but not in part, to the Common Depositary, its successors or their respective nominees. Interests of beneficial owners in the Global Notes may be transferred or exchanged for Physical Notes only in accordance with the applicable rules and procedures of Euroclear or Clearstream, as the case may be, and the provisions of Section 2.17. In addition, a Global Note shall be exchangeable for Physical Notes only if (x) Euroclear or Clearstream notifies the Issuer that it is unwilling or unable to continue as clearing agency,</w:t>
      </w:r>
    </w:p>
    <w:p>
      <w:pPr>
        <w:spacing w:after="0" w:line="2" w:lineRule="exact"/>
        <w:rPr>
          <w:rFonts w:ascii="Times New Roman" w:cs="Times New Roman" w:eastAsia="Times New Roman" w:hAnsi="Times New Roman"/>
          <w:sz w:val="18"/>
          <w:szCs w:val="18"/>
          <w:color w:val="auto"/>
        </w:rPr>
      </w:pPr>
    </w:p>
    <w:p>
      <w:pPr>
        <w:ind w:left="4" w:right="100" w:hanging="4"/>
        <w:spacing w:after="0" w:line="253"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Depositary notifies the Issuer that it is unwilling or unable to continue as common depositary for such Global Note and the Issuer fails to appoint a successor common depositary within 120 days of such notice or, (z) in the case of any Global Note there shall have occurred and be continuing an Event of Default with respect to such Global Note. In all cases, Physical Notes delivered in exchange for any Global Note or beneficial interests therein shall be registered in the names, and issued in any approved denominations, requested by or on behalf of the Common Depositary in accordance with its customary procedures.</w:t>
      </w:r>
    </w:p>
    <w:p>
      <w:pPr>
        <w:spacing w:after="0" w:line="186"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transfer of a Global Note as an entirety to beneficial owners pursuant to subsection (b) of this Section 2.16, such Global Note shall be deemed to be surrendered to the Trustee for cancellation, and the Issuer shall execute and, upon receipt of a written order of the Issuer in the form of an Officers’ Certificate in accordance with Section 2.01, the Trustee shall authenticate and deliver, to each beneficial owner identified by the Common Depositary in writing in exchange for its beneficial interest in such Global Note, an equal aggregate principal amount of Physical Notes of authorized denominations.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41" w:name="page42"/>
    <w:bookmarkEnd w:id="41"/>
    <w:p>
      <w:pPr>
        <w:ind w:right="40" w:firstLine="987"/>
        <w:spacing w:after="0" w:line="282"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Restricted Physical Note delivered in exchange for an interest in a Global Note pursuant to Section 2.17 shall, except as otherwise provided in Section 2.17, bear the Private Placement Legend.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2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Transfer and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 A Global Note may not be transferred as a whole except as set forth in Section 2.16(b). Global Notes will not be exchanged by the Issuer for Physical Notes except under the circumstances described in Section 2.16(b). Global Notes also may be exchanged or replaced, in whole or in part, as provided in Sections 2.08 and 2.11. Beneficial interests in a Global Note may be transferred and exchanged as provided in Section 2.17(b) or 2.17(f).</w:t>
      </w:r>
    </w:p>
    <w:p>
      <w:pPr>
        <w:spacing w:after="0" w:line="17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Global Notes</w:t>
      </w:r>
      <w:r>
        <w:rPr>
          <w:rFonts w:ascii="Times New Roman" w:cs="Times New Roman" w:eastAsia="Times New Roman" w:hAnsi="Times New Roman"/>
          <w:sz w:val="18"/>
          <w:szCs w:val="18"/>
          <w:color w:val="auto"/>
        </w:rPr>
        <w:t>. The transfer and exchange of beneficial interests in the Global Notes shall be effected through the Common Depositary, in accordance with the provisions of this Indenture and the applicable rules and procedures of Euroclear and Clearstream. Beneficial interests in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 (i) or (ii) below, as applicable, as well as one or more of the other following subparagraphs, as applicable:</w:t>
      </w:r>
    </w:p>
    <w:p>
      <w:pPr>
        <w:spacing w:after="0" w:line="79"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in the Same Global Note</w:t>
      </w:r>
      <w:r>
        <w:rPr>
          <w:rFonts w:ascii="Times New Roman" w:cs="Times New Roman" w:eastAsia="Times New Roman" w:hAnsi="Times New Roman"/>
          <w:sz w:val="18"/>
          <w:szCs w:val="18"/>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prior to the expiration of the Restricted Period, transfers of beneficial interests in a Regulation S Global Note may not be made to a U.S. Person or for the account or benefit of a U.S. Person (other than an Initial Purchaser).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2.17(b)(i).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2" w:name="page43"/>
    <w:bookmarkEnd w:id="42"/>
    <w:p>
      <w:pPr>
        <w:ind w:firstLine="419"/>
        <w:spacing w:after="0" w:line="254" w:lineRule="auto"/>
        <w:tabs>
          <w:tab w:leader="none" w:pos="6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 of beneficial interests in any Global Note that is not subject to Section 2.17(b)(i), the transferor of such beneficial interest must deliver to the Registrar (1) a written order from an Agent Member given to the Common Depositary in accordance with the applicable rules and procedures of Euroclear and Clearstream directing the Common Depositary to credit or cause to be credited a beneficial interest in another Global Note in an amount equal to the beneficial interest to be transferred or exchanged and (2) instructions given in accordance with the applicable rules and procedures of Euroclear and Clearstream containing information regarding the Agent Member account to be credited with such increase. Upon satisfaction of all of the requirements for transfer or exchange of beneficial interests in Global Notes contained in this Indenture and the Notes or otherwise applicable under the Securities Act, the Registrar shall adjust the principal amount of the relevant Global Note(s) pursuant to Section 2.17(f).</w:t>
      </w:r>
    </w:p>
    <w:p>
      <w:pPr>
        <w:spacing w:after="0" w:line="83" w:lineRule="exact"/>
        <w:rPr>
          <w:rFonts w:ascii="Times New Roman" w:cs="Times New Roman" w:eastAsia="Times New Roman" w:hAnsi="Times New Roman"/>
          <w:sz w:val="18"/>
          <w:szCs w:val="18"/>
          <w:color w:val="auto"/>
        </w:rPr>
      </w:pPr>
    </w:p>
    <w:p>
      <w:pPr>
        <w:ind w:right="60" w:firstLine="419"/>
        <w:spacing w:after="0" w:line="266" w:lineRule="auto"/>
        <w:tabs>
          <w:tab w:leader="none" w:pos="7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to Another Restricted Global Note</w:t>
      </w:r>
      <w:r>
        <w:rPr>
          <w:rFonts w:ascii="Times New Roman" w:cs="Times New Roman" w:eastAsia="Times New Roman" w:hAnsi="Times New Roman"/>
          <w:sz w:val="18"/>
          <w:szCs w:val="18"/>
          <w:color w:val="auto"/>
        </w:rPr>
        <w:t>. A beneficial interest in a Restricted Global Note may be transferred to a Person who takes delivery thereof in the form of a beneficial interest in another Restricted Global Note if the transfer complies with the requirements of Section 2.17(b)(ii) above and the Registrar receives the following:</w:t>
      </w:r>
    </w:p>
    <w:p>
      <w:pPr>
        <w:spacing w:after="0" w:line="67" w:lineRule="exact"/>
        <w:rPr>
          <w:rFonts w:ascii="Times New Roman" w:cs="Times New Roman" w:eastAsia="Times New Roman" w:hAnsi="Times New Roman"/>
          <w:sz w:val="18"/>
          <w:szCs w:val="18"/>
          <w:color w:val="auto"/>
        </w:rPr>
      </w:pPr>
    </w:p>
    <w:p>
      <w:pPr>
        <w:ind w:left="540" w:right="480" w:firstLine="408"/>
        <w:spacing w:after="0" w:line="282" w:lineRule="auto"/>
        <w:tabs>
          <w:tab w:leader="none" w:pos="12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a Rule 144A Global Note,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 thereof; and</w:t>
      </w:r>
    </w:p>
    <w:p>
      <w:pPr>
        <w:spacing w:after="0" w:line="53"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2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7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18"/>
          <w:szCs w:val="18"/>
          <w:color w:val="auto"/>
        </w:rPr>
        <w:t>. A beneficial interest in a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2.17(b)(ii) above and the Registrar receives the following:</w:t>
      </w:r>
    </w:p>
    <w:p>
      <w:pPr>
        <w:spacing w:after="0" w:line="71" w:lineRule="exact"/>
        <w:rPr>
          <w:rFonts w:ascii="Times New Roman" w:cs="Times New Roman" w:eastAsia="Times New Roman" w:hAnsi="Times New Roman"/>
          <w:sz w:val="18"/>
          <w:szCs w:val="18"/>
          <w:color w:val="auto"/>
        </w:rPr>
      </w:pPr>
    </w:p>
    <w:p>
      <w:pPr>
        <w:ind w:left="540" w:right="60" w:firstLine="408"/>
        <w:spacing w:after="0" w:line="266" w:lineRule="auto"/>
        <w:tabs>
          <w:tab w:leader="none" w:pos="12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(1)(a) thereof; or</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20"/>
          </w:cols>
          <w:pgMar w:left="880" w:top="270" w:right="499" w:bottom="1440" w:gutter="0" w:footer="0" w:header="0"/>
        </w:sectPr>
      </w:pPr>
    </w:p>
    <w:bookmarkStart w:id="43" w:name="page44"/>
    <w:bookmarkEnd w:id="43"/>
    <w:p>
      <w:pPr>
        <w:jc w:val="both"/>
        <w:ind w:left="980" w:right="140" w:firstLine="408"/>
        <w:spacing w:after="0" w:line="266" w:lineRule="auto"/>
        <w:tabs>
          <w:tab w:leader="none" w:pos="16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(4) thereof,</w:t>
      </w:r>
    </w:p>
    <w:p>
      <w:pPr>
        <w:spacing w:after="0" w:line="68"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and, in each such case, if the Registrar so requests or if the applicable rules and procedures of the Euroclear and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If any such transfer or exchange is effected pursuant to this subparagraph (iv)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beneficial interests transferred or exchanged pursuant to this subparagraph (iv).</w:t>
      </w:r>
    </w:p>
    <w:p>
      <w:pPr>
        <w:spacing w:after="0" w:line="81" w:lineRule="exact"/>
        <w:rPr>
          <w:sz w:val="20"/>
          <w:szCs w:val="20"/>
          <w:color w:val="auto"/>
        </w:rPr>
      </w:pPr>
    </w:p>
    <w:p>
      <w:pPr>
        <w:ind w:left="440" w:right="160" w:firstLine="419"/>
        <w:spacing w:after="0" w:line="266"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an Unrestricted Global Note for Beneficial Interests in a Restricted Global Note</w:t>
      </w:r>
      <w:r>
        <w:rPr>
          <w:rFonts w:ascii="Times New Roman" w:cs="Times New Roman" w:eastAsia="Times New Roman" w:hAnsi="Times New Roman"/>
          <w:sz w:val="18"/>
          <w:szCs w:val="18"/>
          <w:color w:val="auto"/>
        </w:rPr>
        <w:t>. Beneficial interests in an Unrestricted Global Note cannot be exchanged for, or transferred to Persons who take delivery thereof in the form of, a beneficial interest in a Restricted Global Note.</w:t>
      </w:r>
    </w:p>
    <w:p>
      <w:pPr>
        <w:spacing w:after="0" w:line="175" w:lineRule="exact"/>
        <w:rPr>
          <w:rFonts w:ascii="Times New Roman" w:cs="Times New Roman" w:eastAsia="Times New Roman" w:hAnsi="Times New Roman"/>
          <w:sz w:val="18"/>
          <w:szCs w:val="18"/>
          <w:color w:val="auto"/>
        </w:rPr>
      </w:pPr>
    </w:p>
    <w:p>
      <w:pPr>
        <w:ind w:right="280" w:firstLine="987"/>
        <w:spacing w:after="0" w:line="266" w:lineRule="auto"/>
        <w:tabs>
          <w:tab w:leader="none" w:pos="12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Global Notes for Physical Notes</w:t>
      </w:r>
      <w:r>
        <w:rPr>
          <w:rFonts w:ascii="Times New Roman" w:cs="Times New Roman" w:eastAsia="Times New Roman" w:hAnsi="Times New Roman"/>
          <w:sz w:val="18"/>
          <w:szCs w:val="18"/>
          <w:color w:val="auto"/>
        </w:rPr>
        <w:t>. A beneficial interest in a Global Note may not be exchanged for a Physical Note except under the circumstances described in Section 2.16(b). A beneficial interest in a Global Note may not be transferred to a Person who takes delivery thereof in the form of a Physical Note except under the circumstances described in Section 2.16(b).</w:t>
      </w:r>
    </w:p>
    <w:p>
      <w:pPr>
        <w:spacing w:after="0" w:line="175"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Physical Notes for Beneficial Interests in Global Notes</w:t>
      </w:r>
      <w:r>
        <w:rPr>
          <w:rFonts w:ascii="Times New Roman" w:cs="Times New Roman" w:eastAsia="Times New Roman" w:hAnsi="Times New Roman"/>
          <w:sz w:val="18"/>
          <w:szCs w:val="18"/>
          <w:color w:val="auto"/>
        </w:rPr>
        <w:t>. Physical Notes shall be transferred or exchanged only for beneficial interests in Global Notes as described below:</w:t>
      </w:r>
    </w:p>
    <w:p>
      <w:pPr>
        <w:spacing w:after="0" w:line="54" w:lineRule="exact"/>
        <w:rPr>
          <w:sz w:val="20"/>
          <w:szCs w:val="20"/>
          <w:color w:val="auto"/>
        </w:rPr>
      </w:pPr>
    </w:p>
    <w:p>
      <w:pPr>
        <w:jc w:val="both"/>
        <w:ind w:left="440" w:right="420" w:firstLine="419"/>
        <w:spacing w:after="0" w:line="261" w:lineRule="auto"/>
        <w:tabs>
          <w:tab w:leader="none" w:pos="10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Beneficial Interests in Restricted Global Notes</w:t>
      </w:r>
      <w:r>
        <w:rPr>
          <w:rFonts w:ascii="Times New Roman" w:cs="Times New Roman" w:eastAsia="Times New Roman" w:hAnsi="Times New Roman"/>
          <w:sz w:val="18"/>
          <w:szCs w:val="18"/>
          <w:color w:val="auto"/>
        </w:rPr>
        <w:t>. If any Holder of a Restricted Physical Note proposes to exchange such Restricted Physical Note for a beneficial interest in a Restricted Global Note or to transfer such Restricted Physical Note to a Person who takes delivery thereof in the form of a beneficial interest in a Restricted Global Note, then, upon receipt by the Registrar of the following documentation: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4" w:name="page45"/>
    <w:bookmarkEnd w:id="44"/>
    <w:p>
      <w:pPr>
        <w:ind w:left="540" w:right="180" w:firstLine="408"/>
        <w:spacing w:after="0" w:line="282"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Restricted Physical Note proposes to exchange such Restricted Physical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(2)(a) thereof;</w:t>
      </w:r>
    </w:p>
    <w:p>
      <w:pPr>
        <w:spacing w:after="0" w:line="53" w:lineRule="exact"/>
        <w:rPr>
          <w:rFonts w:ascii="Times New Roman" w:cs="Times New Roman" w:eastAsia="Times New Roman" w:hAnsi="Times New Roman"/>
          <w:sz w:val="18"/>
          <w:szCs w:val="18"/>
          <w:color w:val="auto"/>
        </w:rPr>
      </w:pPr>
    </w:p>
    <w:p>
      <w:pPr>
        <w:ind w:left="540" w:right="180" w:firstLine="408"/>
        <w:spacing w:after="0" w:line="282" w:lineRule="auto"/>
        <w:tabs>
          <w:tab w:leader="none" w:pos="12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a Qualified Institutional Buyer in accordance with Rule 144A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firstLine="408"/>
        <w:spacing w:after="0" w:line="282" w:lineRule="auto"/>
        <w:tabs>
          <w:tab w:leader="none" w:pos="12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a Non-U.S. Person in an offshore transaction in accordance with Rule 903 or Rule 904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jc w:val="both"/>
        <w:ind w:left="540" w:right="680" w:firstLine="408"/>
        <w:spacing w:after="0" w:line="26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(3)(a) thereof;</w:t>
      </w:r>
    </w:p>
    <w:p>
      <w:pPr>
        <w:spacing w:after="0" w:line="67" w:lineRule="exact"/>
        <w:rPr>
          <w:rFonts w:ascii="Times New Roman" w:cs="Times New Roman" w:eastAsia="Times New Roman" w:hAnsi="Times New Roman"/>
          <w:sz w:val="18"/>
          <w:szCs w:val="18"/>
          <w:color w:val="auto"/>
        </w:rPr>
      </w:pPr>
    </w:p>
    <w:p>
      <w:pPr>
        <w:jc w:val="both"/>
        <w:ind w:left="540" w:right="40" w:firstLine="408"/>
        <w:spacing w:after="0" w:line="266" w:lineRule="auto"/>
        <w:tabs>
          <w:tab w:leader="none" w:pos="1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certificates and Opinion of Counsel required by item (3)(d) thereof, if applicable; or</w:t>
      </w:r>
    </w:p>
    <w:p>
      <w:pPr>
        <w:spacing w:after="0" w:line="67" w:lineRule="exact"/>
        <w:rPr>
          <w:rFonts w:ascii="Times New Roman" w:cs="Times New Roman" w:eastAsia="Times New Roman" w:hAnsi="Times New Roman"/>
          <w:sz w:val="18"/>
          <w:szCs w:val="18"/>
          <w:color w:val="auto"/>
        </w:rPr>
      </w:pPr>
    </w:p>
    <w:p>
      <w:pPr>
        <w:ind w:left="540" w:right="320" w:firstLine="408"/>
        <w:spacing w:after="0" w:line="282"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the Issuer or a Subsidiary thereof,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(3)(b) thereof,</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Trustee shall cancel the Restricted Physical Note, and increase or cause to be increased the aggregate principal amount of the appropriate Restricted Global Note.</w:t>
      </w:r>
    </w:p>
    <w:p>
      <w:pPr>
        <w:spacing w:after="0" w:line="54" w:lineRule="exact"/>
        <w:rPr>
          <w:sz w:val="20"/>
          <w:szCs w:val="20"/>
          <w:color w:val="auto"/>
        </w:rPr>
      </w:pPr>
    </w:p>
    <w:p>
      <w:pPr>
        <w:jc w:val="both"/>
        <w:ind w:right="240" w:firstLine="419"/>
        <w:spacing w:after="0" w:line="266" w:lineRule="auto"/>
        <w:tabs>
          <w:tab w:leader="none" w:pos="6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Beneficial Interests in Unrestricted Global Notes</w:t>
      </w:r>
      <w:r>
        <w:rPr>
          <w:rFonts w:ascii="Times New Roman" w:cs="Times New Roman" w:eastAsia="Times New Roman" w:hAnsi="Times New Roman"/>
          <w:sz w:val="18"/>
          <w:szCs w:val="18"/>
          <w:color w:val="auto"/>
        </w:rPr>
        <w:t>. A Holder of a Restricted Physical Note may exchange such Restricted Physical Note for a beneficial interest in an Unrestricted Global Note or transfer such Restricted Physical Note to a Person who takes delivery thereof in the form of a beneficial interest in an Unrestricted Global Note only if the Registrar receives the following:</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40"/>
          </w:cols>
          <w:pgMar w:left="880" w:top="270" w:right="479" w:bottom="1440" w:gutter="0" w:footer="0" w:header="0"/>
        </w:sectPr>
      </w:pPr>
    </w:p>
    <w:bookmarkStart w:id="45" w:name="page46"/>
    <w:bookmarkEnd w:id="45"/>
    <w:p>
      <w:pPr>
        <w:ind w:left="540" w:right="100" w:firstLine="408"/>
        <w:spacing w:after="0" w:line="282"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Restricted Physical Note proposes to exchange such Restricted Physical Note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(1)(b) thereof; or</w:t>
      </w:r>
    </w:p>
    <w:p>
      <w:pPr>
        <w:spacing w:after="0" w:line="53" w:lineRule="exact"/>
        <w:rPr>
          <w:rFonts w:ascii="Times New Roman" w:cs="Times New Roman" w:eastAsia="Times New Roman" w:hAnsi="Times New Roman"/>
          <w:sz w:val="18"/>
          <w:szCs w:val="18"/>
          <w:color w:val="auto"/>
        </w:rPr>
      </w:pPr>
    </w:p>
    <w:p>
      <w:pPr>
        <w:ind w:left="540" w:right="60" w:firstLine="408"/>
        <w:spacing w:after="0" w:line="266" w:lineRule="auto"/>
        <w:tabs>
          <w:tab w:leader="none" w:pos="12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Notes proposes to transfer such Restricted Physical Note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(4) thereof,</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and, in each such case, if the Registrar so requests or if the applicable rules and procedures of Euroclear or Clearstream, as applicable,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this subparagraph (ii), the Trustee shall cancel the Restricted Physical Notes and increase or cause to be increased the aggregate principal amount of the Unrestricted Global Note. If any such transfer or exchange is effected pursuant to this subparagraph (ii)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Restricted Physical Notes transferred or exchanged pursuant to this subparagraph (ii).</w:t>
      </w:r>
    </w:p>
    <w:p>
      <w:pPr>
        <w:spacing w:after="0" w:line="80" w:lineRule="exact"/>
        <w:rPr>
          <w:sz w:val="20"/>
          <w:szCs w:val="20"/>
          <w:color w:val="auto"/>
        </w:rPr>
      </w:pPr>
    </w:p>
    <w:p>
      <w:pPr>
        <w:ind w:firstLine="419"/>
        <w:spacing w:after="0" w:line="254" w:lineRule="auto"/>
        <w:tabs>
          <w:tab w:leader="none" w:pos="7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Physical Notes to Beneficial Interests in Unrestricted Global Notes</w:t>
      </w:r>
      <w:r>
        <w:rPr>
          <w:rFonts w:ascii="Times New Roman" w:cs="Times New Roman" w:eastAsia="Times New Roman" w:hAnsi="Times New Roman"/>
          <w:sz w:val="18"/>
          <w:szCs w:val="18"/>
          <w:color w:val="auto"/>
        </w:rPr>
        <w:t>. A Holder of an Unrestricted Physical Note may exchange such Unrestricted Physical Note for a beneficial interest in an Unrestricted Global Note or transfer such Unrestricted Physical Note to a Person who takes delivery thereof in the form of a beneficial interest in an Unrestricted Global Note at any time. Upon receipt of a request for such an exchange or transfer, the Trustee shall cancel the applicable Unrestricted Physical Note and increase or cause to be increased the aggregate principal amount of one of the Unrestricted Global Notes. If any such transfer or exchange is effected pursuant to this subparagraph (iii)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Unrestricted Physical Notes transferred or exchanged pursuant to this subparagraph (iii).</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80" w:top="270" w:right="459" w:bottom="1440" w:gutter="0" w:footer="0" w:header="0"/>
        </w:sectPr>
      </w:pPr>
    </w:p>
    <w:bookmarkStart w:id="46" w:name="page47"/>
    <w:bookmarkEnd w:id="46"/>
    <w:p>
      <w:pPr>
        <w:ind w:left="400" w:right="60" w:firstLine="419"/>
        <w:spacing w:after="0" w:line="282" w:lineRule="auto"/>
        <w:tabs>
          <w:tab w:leader="none" w:pos="11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Unrestricted Physical Notes to Beneficial Interests in Restricted Global Notes</w:t>
      </w:r>
      <w:r>
        <w:rPr>
          <w:rFonts w:ascii="Times New Roman" w:cs="Times New Roman" w:eastAsia="Times New Roman" w:hAnsi="Times New Roman"/>
          <w:sz w:val="18"/>
          <w:szCs w:val="18"/>
          <w:color w:val="auto"/>
        </w:rPr>
        <w:t>. An Unrestricted Physical Note cannot be exchanged for, or transferred to a Person who takes delivery thereof in the form of, a beneficial interest in a Restricted Global Note.</w:t>
      </w:r>
    </w:p>
    <w:p>
      <w:pPr>
        <w:spacing w:after="0" w:line="161" w:lineRule="exact"/>
        <w:rPr>
          <w:rFonts w:ascii="Times New Roman" w:cs="Times New Roman" w:eastAsia="Times New Roman" w:hAnsi="Times New Roman"/>
          <w:sz w:val="18"/>
          <w:szCs w:val="18"/>
          <w:color w:val="auto"/>
        </w:rPr>
      </w:pPr>
    </w:p>
    <w:p>
      <w:pPr>
        <w:ind w:left="-40" w:firstLine="987"/>
        <w:spacing w:after="0" w:line="256" w:lineRule="auto"/>
        <w:tabs>
          <w:tab w:leader="none" w:pos="119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Physical Notes for Physical Notes</w:t>
      </w:r>
      <w:r>
        <w:rPr>
          <w:rFonts w:ascii="Times New Roman" w:cs="Times New Roman" w:eastAsia="Times New Roman" w:hAnsi="Times New Roman"/>
          <w:sz w:val="18"/>
          <w:szCs w:val="18"/>
          <w:color w:val="auto"/>
        </w:rPr>
        <w:t>. Upon request by a Holder of Physical Notes and such Holder’s compliance with the provisions of this Section 2.17(e), the Registrar shall register the transfer or exchange of Physical Notes. Prior to such registration of transfer or exchange, the requesting Holder shall present or surrender to the Registrar the Physical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2.17(e).</w:t>
      </w:r>
    </w:p>
    <w:p>
      <w:pPr>
        <w:spacing w:after="0" w:line="79" w:lineRule="exact"/>
        <w:rPr>
          <w:sz w:val="20"/>
          <w:szCs w:val="20"/>
          <w:color w:val="auto"/>
        </w:rPr>
      </w:pPr>
    </w:p>
    <w:p>
      <w:pPr>
        <w:ind w:left="400" w:right="80" w:firstLine="419"/>
        <w:spacing w:after="0" w:line="282" w:lineRule="auto"/>
        <w:tabs>
          <w:tab w:leader="none" w:pos="10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Restricted Physical Notes</w:t>
      </w:r>
      <w:r>
        <w:rPr>
          <w:rFonts w:ascii="Times New Roman" w:cs="Times New Roman" w:eastAsia="Times New Roman" w:hAnsi="Times New Roman"/>
          <w:sz w:val="18"/>
          <w:szCs w:val="18"/>
          <w:color w:val="auto"/>
        </w:rPr>
        <w:t>. A Restricted Physical Note may be transferred to and registered in the name of a Person who takes delivery thereof in the form of a Restricted Physical Note if the Registrar receives the following:</w:t>
      </w:r>
    </w:p>
    <w:p>
      <w:pPr>
        <w:spacing w:after="0" w:line="53" w:lineRule="exact"/>
        <w:rPr>
          <w:rFonts w:ascii="Times New Roman" w:cs="Times New Roman" w:eastAsia="Times New Roman" w:hAnsi="Times New Roman"/>
          <w:sz w:val="18"/>
          <w:szCs w:val="18"/>
          <w:color w:val="auto"/>
        </w:rPr>
      </w:pPr>
    </w:p>
    <w:p>
      <w:pPr>
        <w:ind w:left="940" w:right="180" w:firstLine="408"/>
        <w:spacing w:after="0" w:line="282" w:lineRule="auto"/>
        <w:tabs>
          <w:tab w:leader="none" w:pos="163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under the Securities Act,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 thereof;</w:t>
      </w:r>
    </w:p>
    <w:p>
      <w:pPr>
        <w:spacing w:after="0" w:line="53" w:lineRule="exact"/>
        <w:rPr>
          <w:rFonts w:ascii="Times New Roman" w:cs="Times New Roman" w:eastAsia="Times New Roman" w:hAnsi="Times New Roman"/>
          <w:sz w:val="18"/>
          <w:szCs w:val="18"/>
          <w:color w:val="auto"/>
        </w:rPr>
      </w:pPr>
    </w:p>
    <w:p>
      <w:pPr>
        <w:ind w:left="940" w:right="640" w:firstLine="408"/>
        <w:spacing w:after="0" w:line="282" w:lineRule="auto"/>
        <w:tabs>
          <w:tab w:leader="none" w:pos="162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under the Securities Act,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ind w:left="940" w:right="40" w:firstLine="408"/>
        <w:spacing w:after="0" w:line="282" w:lineRule="auto"/>
        <w:tabs>
          <w:tab w:leader="none" w:pos="162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(3)(a) thereof;</w:t>
      </w:r>
    </w:p>
    <w:p>
      <w:pPr>
        <w:spacing w:after="0" w:line="53" w:lineRule="exact"/>
        <w:rPr>
          <w:rFonts w:ascii="Times New Roman" w:cs="Times New Roman" w:eastAsia="Times New Roman" w:hAnsi="Times New Roman"/>
          <w:sz w:val="18"/>
          <w:szCs w:val="18"/>
          <w:color w:val="auto"/>
        </w:rPr>
      </w:pPr>
    </w:p>
    <w:p>
      <w:pPr>
        <w:ind w:left="940" w:firstLine="408"/>
        <w:spacing w:after="0" w:line="266" w:lineRule="auto"/>
        <w:tabs>
          <w:tab w:leader="none" w:pos="163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to an Institutional Accredited Investor in reliance on an exemption from the registration requirements of the Securities Act other than those listed in subparagraphs (A) through (C) above,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certificates and Opinion of Counsel required by item (3)(d) thereof, if applicable; and</w:t>
      </w:r>
    </w:p>
    <w:p>
      <w:pPr>
        <w:spacing w:after="0" w:line="67" w:lineRule="exact"/>
        <w:rPr>
          <w:rFonts w:ascii="Times New Roman" w:cs="Times New Roman" w:eastAsia="Times New Roman" w:hAnsi="Times New Roman"/>
          <w:sz w:val="18"/>
          <w:szCs w:val="18"/>
          <w:color w:val="auto"/>
        </w:rPr>
      </w:pPr>
    </w:p>
    <w:p>
      <w:pPr>
        <w:ind w:left="940" w:right="220" w:firstLine="408"/>
        <w:spacing w:after="0" w:line="282" w:lineRule="auto"/>
        <w:tabs>
          <w:tab w:leader="none" w:pos="161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transfer will be made to the Issuer or a Subsidiary thereof,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(3)(b)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480" w:top="270" w:right="499" w:bottom="1440" w:gutter="0" w:footer="0" w:header="0"/>
        </w:sectPr>
      </w:pPr>
    </w:p>
    <w:bookmarkStart w:id="47" w:name="page48"/>
    <w:bookmarkEnd w:id="47"/>
    <w:p>
      <w:pPr>
        <w:ind w:left="320" w:right="20" w:firstLine="419"/>
        <w:spacing w:after="0" w:line="266" w:lineRule="auto"/>
        <w:tabs>
          <w:tab w:leader="none" w:pos="10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Physical Notes to Unrestricted Physical Notes</w:t>
      </w:r>
      <w:r>
        <w:rPr>
          <w:rFonts w:ascii="Times New Roman" w:cs="Times New Roman" w:eastAsia="Times New Roman" w:hAnsi="Times New Roman"/>
          <w:sz w:val="18"/>
          <w:szCs w:val="18"/>
          <w:color w:val="auto"/>
        </w:rPr>
        <w:t>. Any Restricted Physical Note may be exchanged by the Holder thereof for an Unrestricted Physical Note or transferred to a Person who takes delivery thereof in the form of an Unrestricted Physical Note if the Registrar receives the following:</w:t>
      </w:r>
    </w:p>
    <w:p>
      <w:pPr>
        <w:spacing w:after="0" w:line="67" w:lineRule="exact"/>
        <w:rPr>
          <w:rFonts w:ascii="Times New Roman" w:cs="Times New Roman" w:eastAsia="Times New Roman" w:hAnsi="Times New Roman"/>
          <w:sz w:val="18"/>
          <w:szCs w:val="18"/>
          <w:color w:val="auto"/>
        </w:rPr>
      </w:pPr>
    </w:p>
    <w:p>
      <w:pPr>
        <w:ind w:left="860" w:right="100" w:firstLine="408"/>
        <w:spacing w:after="0" w:line="282" w:lineRule="auto"/>
        <w:tabs>
          <w:tab w:leader="none" w:pos="1516"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an Unrestricted Physical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(1)(c) thereof; or</w:t>
      </w:r>
    </w:p>
    <w:p>
      <w:pPr>
        <w:spacing w:after="0" w:line="53" w:lineRule="exact"/>
        <w:rPr>
          <w:rFonts w:ascii="Times New Roman" w:cs="Times New Roman" w:eastAsia="Times New Roman" w:hAnsi="Times New Roman"/>
          <w:sz w:val="18"/>
          <w:szCs w:val="18"/>
          <w:color w:val="auto"/>
        </w:rPr>
      </w:pPr>
    </w:p>
    <w:p>
      <w:pPr>
        <w:ind w:left="860" w:right="80" w:firstLine="408"/>
        <w:spacing w:after="0" w:line="261" w:lineRule="auto"/>
        <w:tabs>
          <w:tab w:leader="none" w:pos="1516"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transfer such Notes to a Person who shall take delivery thereof in the form of an Unrestricted Physical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w:t>
      </w:r>
    </w:p>
    <w:p>
      <w:pPr>
        <w:ind w:left="1120" w:hanging="253"/>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9" w:lineRule="exact"/>
        <w:rPr>
          <w:sz w:val="20"/>
          <w:szCs w:val="20"/>
          <w:color w:val="auto"/>
        </w:rPr>
      </w:pPr>
    </w:p>
    <w:p>
      <w:pPr>
        <w:ind w:left="320" w:right="200"/>
        <w:spacing w:after="0" w:line="266" w:lineRule="auto"/>
        <w:rPr>
          <w:sz w:val="20"/>
          <w:szCs w:val="20"/>
          <w:color w:val="auto"/>
        </w:rPr>
      </w:pPr>
      <w:r>
        <w:rPr>
          <w:rFonts w:ascii="Times New Roman" w:cs="Times New Roman" w:eastAsia="Times New Roman" w:hAnsi="Times New Roman"/>
          <w:sz w:val="18"/>
          <w:szCs w:val="18"/>
          <w:color w:val="auto"/>
        </w:rPr>
        <w:t>and, in each such case, if the Registrar so requests,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8" w:lineRule="exact"/>
        <w:rPr>
          <w:sz w:val="20"/>
          <w:szCs w:val="20"/>
          <w:color w:val="auto"/>
        </w:rPr>
      </w:pPr>
    </w:p>
    <w:p>
      <w:pPr>
        <w:ind w:left="320" w:right="60" w:firstLine="419"/>
        <w:spacing w:after="0" w:line="289" w:lineRule="auto"/>
        <w:tabs>
          <w:tab w:leader="none" w:pos="105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Unrestricted Physical Notes to Unrestricted Physical Notes</w:t>
      </w:r>
      <w:r>
        <w:rPr>
          <w:rFonts w:ascii="Times New Roman" w:cs="Times New Roman" w:eastAsia="Times New Roman" w:hAnsi="Times New Roman"/>
          <w:sz w:val="17"/>
          <w:szCs w:val="17"/>
          <w:color w:val="auto"/>
        </w:rPr>
        <w:t>. A Holder of an Unrestricted Physical Note may transfer such Unrestricted Physical Notes to a Person who takes delivery thereof in the form of an Unrestricted Physical Note at any time. Upon receipt of a request to register such a transfer, the Registrar shall register the Unrestricted Physical Notes pursuant to the instructions from the Holder thereof.</w:t>
      </w:r>
    </w:p>
    <w:p>
      <w:pPr>
        <w:spacing w:after="0" w:line="49" w:lineRule="exact"/>
        <w:rPr>
          <w:rFonts w:ascii="Times New Roman" w:cs="Times New Roman" w:eastAsia="Times New Roman" w:hAnsi="Times New Roman"/>
          <w:sz w:val="17"/>
          <w:szCs w:val="17"/>
          <w:color w:val="auto"/>
        </w:rPr>
      </w:pPr>
    </w:p>
    <w:p>
      <w:pPr>
        <w:ind w:left="320" w:right="180" w:firstLine="419"/>
        <w:spacing w:after="0" w:line="282" w:lineRule="auto"/>
        <w:tabs>
          <w:tab w:leader="none" w:pos="10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Physical Notes to Restricted Physical Notes</w:t>
      </w:r>
      <w:r>
        <w:rPr>
          <w:rFonts w:ascii="Times New Roman" w:cs="Times New Roman" w:eastAsia="Times New Roman" w:hAnsi="Times New Roman"/>
          <w:sz w:val="18"/>
          <w:szCs w:val="18"/>
          <w:color w:val="auto"/>
        </w:rPr>
        <w:t>. An Unrestricted Physical Note cannot be exchanged for, or transferred to a Person who takes delivery thereof in the form of, a Restricted Physical Note.</w:t>
      </w:r>
    </w:p>
    <w:p>
      <w:pPr>
        <w:spacing w:after="0" w:line="161" w:lineRule="exact"/>
        <w:rPr>
          <w:rFonts w:ascii="Times New Roman" w:cs="Times New Roman" w:eastAsia="Times New Roman" w:hAnsi="Times New Roman"/>
          <w:sz w:val="18"/>
          <w:szCs w:val="18"/>
          <w:color w:val="auto"/>
        </w:rPr>
      </w:pPr>
    </w:p>
    <w:p>
      <w:pPr>
        <w:ind w:left="-120" w:firstLine="987"/>
        <w:spacing w:after="0" w:line="254" w:lineRule="auto"/>
        <w:tabs>
          <w:tab w:leader="none" w:pos="10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2.12.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Common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Common Depositary at the direction of the Trustee to reflect such increase.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80"/>
          </w:cols>
          <w:pgMar w:left="560" w:top="270" w:right="559" w:bottom="1440" w:gutter="0" w:footer="0" w:header="0"/>
        </w:sectPr>
      </w:pPr>
    </w:p>
    <w:bookmarkStart w:id="48" w:name="page49"/>
    <w:bookmarkEnd w:id="48"/>
    <w:p>
      <w:pPr>
        <w:ind w:firstLine="987"/>
        <w:spacing w:after="0" w:line="25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Private Placement Legend</w:t>
      </w:r>
      <w:r>
        <w:rPr>
          <w:rFonts w:ascii="Times New Roman" w:cs="Times New Roman" w:eastAsia="Times New Roman" w:hAnsi="Times New Roman"/>
          <w:sz w:val="18"/>
          <w:szCs w:val="18"/>
          <w:color w:val="auto"/>
        </w:rPr>
        <w:t>. Upon the registration of transfer, exchange or replacement of Notes not bearing the Private Placement Legend, the Registrar shall deliver Notes that do not bear the Private Placement Legend. Upon the registration of transfer, exchange or replacement of Notes bearing the Private Placement Legend, the Registrar shall deliver only Notes that bear the Private Placement Legend unless (i)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or (ii) such Note has been sold pursuant to an effective registration statement under the Securities Act and the Registrar has received an Officers’ Certificate from the Issuer to such effect.</w:t>
      </w:r>
    </w:p>
    <w:p>
      <w:pPr>
        <w:spacing w:after="0" w:line="187"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Global Notes and Physical Notes issued upon any registration of transfer or exchange of Global Notes or Physical Notes shall be the valid obligations of the Issuer, evidencing the same debt, and entitled to the same benefits under this Indenture, as the Global Notes or Physical Notes surrendered upon such registration of transfer or exchange.</w:t>
      </w:r>
    </w:p>
    <w:p>
      <w:pPr>
        <w:spacing w:after="0" w:line="176"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Registrar shall retain for a period of two years following receipt copies of all letters, notices and other written communications received pursuant to Section 2.16 or this Section 2.17. The Issuer shall have the right to inspect and make copies of all such letters, notices or other written communications at any reasonable time upon the giving of reasonable notice to the Registrar.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on the Notes shall be computed on the basis of a 360-day year of twelve 30-day months and actual days elapsed.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THREE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Election To Redeem; Notices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If the Issuer elects to redeem Notes pursuant to paragraph 5 or 6 of the Notes, at least 45 days prior to the Redemption Date (unless a shorter notice shall be agreed to in writing by the Trustee) but not more than 65 days before the Redemption Date, the Issuer shall notify the Trustee in writing of the Redemption Date, the principal amount of Notes to be redeemed and the redemption price(s), and deliver to the Trustee an Officers’ Certificate stating that such redemption will comply with the conditions contained in paragraph 5 or 6 of the Notes. Except as provided in Section 3.04, notice given to the Trustee pursuant to this Section 3.01 may not be revoked after the time that notice is given to Noteholders pursuant to Section 3.03.</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00"/>
          </w:cols>
          <w:pgMar w:left="440" w:top="270"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Selection by Trustee of Notes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such Notes are not so listed,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Notes with a principal amount of €100,000 or less shall be redeemed in part. For all purposes of this Indenture unless the context otherwise requires, provisions of this Indenture that apply to the Notes called for redemption also apply to portions of Notes called for redemption.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At least 30 days, and no more than 60 days, before a Redemption Date, the Issuer shall send, or cause to be sent, a notice of redemption electronically or by first-class mail to each Holder of Notes to be redeemed at his or her last address as the same appears on the registry books maintained by the Registrar pursuant to Section 2.06.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Notes to be redeemed (including the CUSIP, ISIN and/or Common Code numbers thereof) and shall state:</w:t>
      </w:r>
    </w:p>
    <w:p>
      <w:pPr>
        <w:spacing w:after="0" w:line="117" w:lineRule="exact"/>
        <w:rPr>
          <w:sz w:val="20"/>
          <w:szCs w:val="20"/>
          <w:color w:val="auto"/>
        </w:rPr>
      </w:pPr>
    </w:p>
    <w:p>
      <w:pPr>
        <w:ind w:left="1120" w:hanging="261"/>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the amount of premium and accrued interest to be paid;</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and upon surrender of such Note, a new Note or Notes in principal amount equal to the unredeemed portion will be issued;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the redemption payment, interest on Notes called for redemption ceases to accrue on and after the Redemption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50" w:name="page51"/>
    <w:bookmarkEnd w:id="50"/>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 that paragraph 5 or paragraph 6 of the Notes, as applicable, is the provision of the Notes pursuant to which the redemption is occurring;</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(8) the aggregate principal amount of such Notes that are being redeemed.</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At the Issuer’s written request made at least five Business Days prior to the date on which notice is to be given (or such shorter period acceptable to the Trustee), the Trustee shall give the notice of redemption in the Issuer’s name and at the Issuer’s sole expense.</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For Notes which are represented by global certificates held on behalf of Euroclear or Clearstream, notices may be given by delivery of the relevant notices to Euroclear or Clearstream for communication to entitled account holders in substitution for the aforesaid mailing. So long as any Notes are listed on the Official List of the Luxembourg Stock Exchange and admitted for trading on the Euro MTF Market, any such notice to the Holders of the relevant Notes shall also be published in a newspaper having a general circulation in Luxembourg or, to the extent and in the manner permitted by such rules, posted on the official website of the Luxembourg Stock Exchange and, in connection with any redemption, the Issuer will notify the Luxembourg Stock Exchange of any change in the principal amount of Notes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Once the notice of redemption described in Section 3.03 is sent and subject to the proviso to this sentence, Notes called for redemption become due and payable on the Redemption Date and at the redemption price, including any premium, plus interest accrued to the Redemption Date;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any redemption and notice thereof pursuant to this Indenture may, in the Issuer’s discretion, be subject to the satisfaction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more conditions precedent described in such notice and in which case if and/or to the extent such condition(s) precedent is/are not satisfied the Issuer shall have no obligation to redeem Notes on such Redemption Date. Upon surrender to the Paying Agent, such Notes shall be paid at the redemption price, including any premium, plus interest accrued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Redemption Date is after a regular record date and on or prior to the Interest Payment Date, the accrued interest shall be payable to the Holder of the redeemed Notes registered on the relevant record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 Redemption Date is a Legal Holiday, payment shall be made on the next succeeding Business Day and no interest shall accrue for the period from such Redemption Date to such succeeding Business Day.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Prior to 10:00 A.M., London time, one Business Day prior to each Redemption Date, the Issuer shall deposit with the Paying Agent Euros sufficient to pay the redemption price of, including premium, if any, and accrued interest on any and all Notes to be redeemed on that date (other than Notes or portions thereof called for redemption on that date which have been delivered by the Issuer to the Trustee for cancellation).</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40" w:top="270" w:right="519" w:bottom="1440" w:gutter="0" w:footer="0" w:header="0"/>
        </w:sectPr>
      </w:pPr>
    </w:p>
    <w:bookmarkStart w:id="51" w:name="page52"/>
    <w:bookmarkEnd w:id="51"/>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and after any Redemption Date, if money sufficient to pay the redemption price of, including premium, if any, and accrued interest on all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the second proviso in Section 3.04, accrued and unpaid interest on such Notes to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Notes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Upon surrender of a Note that is redeemed in part, the Issuer shall execute and, upon receipt of a written order of the Issuer in the form of an Officers’ Certificate in accordance with Section 2.01, the Trustee shall authenticate for the Holder thereof a new Note equal in principal amount to the unredeemed portion of the Note surrendered.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Except as provided in Section 4.08 or as contemplated by Article Six, the Issuer is not required to make any mandatory redemption of the Notes or any sinking fund payments with respect to the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FOUR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Issuer shall pay the principal of and interest on the Notes on the dates and in the manner provided in such Notes and this Indenture. An installment of principal or interest shall be considered paid on the date it is due if the Trustee or the Paying Agents hold on that date Euros designated for and sufficient to pay such installment.</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(including post-petition interest in a proceeding under any Bankruptcy Law), and overdue interest, to the extent lawful, at the rate specified in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2" w:name="page53"/>
    <w:bookmarkEnd w:id="5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6"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maintain in the Borough of Manhattan, The City of New York, and in Dublin, Ireland, an office or agency (which may be an office of the Trustee or Registrar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87"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Issuer of its obligation to maintain an office or agency in the Borough of Manhattan, The City of New York, and in Dublin, Ireland. The Issuer shall give prompt written notice to the Trustee of any such designation or rescission and of any change in the location of any such other office or agency.</w:t>
      </w:r>
    </w:p>
    <w:p>
      <w:pPr>
        <w:spacing w:after="0" w:line="183"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designates the Corporate Trust Office of the Trustee, or its Agent, in the Borough of Manhattan, The City of New York, and in Dublin, Ireland, in each case as such office or agency of the Issuer in accordance with Section 2.04.</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Legal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Except as permitted by Article Five, Parent shall do or cause to be done all things necessary to preserve and keep in full force and effect</w:t>
      </w:r>
    </w:p>
    <w:p>
      <w:pPr>
        <w:spacing w:after="0" w:line="27" w:lineRule="exact"/>
        <w:rPr>
          <w:sz w:val="20"/>
          <w:szCs w:val="20"/>
          <w:color w:val="auto"/>
        </w:rPr>
      </w:pPr>
    </w:p>
    <w:p>
      <w:pPr>
        <w:ind w:left="4" w:hanging="4"/>
        <w:spacing w:after="0" w:line="252"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legal existence, and the corporate, partnership or other existence of each Restricted Subsidiary, in accordance with the respective organizational documents (as the same may be amended from time to time) of Parent, Crown and the Issuer and each such Restricted Subsidiary and (ii) subject to applicable laws, the material rights (charter and statutory) and franchises of Parent, Crown and the Issuer and such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Crown and the Issuer shall not be required to preserve any such right, franchise, or the corporate, partnership or other existence of any of their Restricted Subsidiaries (other than Crown or the Issuer) if the Board of Directors of Parent, Crown or the Issuer, as applicable, shall determine that the preservation thereof is no longer desirable in the conduct of the business of Parent, Crown or the Issuer, as applicable and its Restricted Subsidiaries, taken as a whole, and that the loss thereof is not adverse in any material respect to the Holders.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4"/>
          </w:cols>
          <w:pgMar w:left="436" w:top="270"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4.04.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Parent shall, and shall cause each of its Restricted Subsidiaries to, comply with all statutes, laws, ordinances or government rules and regulations to which they are subject, non-compliance with which would materially adversely affect the business, financial condition or results of operations of Parent and its Restricted Subsidiaries, taken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Waiver of Stay, Extension or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The Issuer and each of the Guarantors covenants (to the extent that it may lawfully do so) that it shall not at any time insist upon, or plead (as a defense or otherwise) or in any manner whatsoever claim or take the benefit or advantage of, any stay or extension law or any usury law or other law which would prohibit or forgive the Issuer and any of the Guarantors from paying all or any portion of the principal of, premium, if any, and/or interest on the Notes as contemplated herein, wherever enacted, now or at any time hereafter in force, or which may affect the covenants or the performance of this Indenture; and (to the extent that they may lawfully do so) the Issuer and each of the Guarantors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6"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an Officers’ Certificate (as enumerated by Section 314(a)(4) of the TIA) stating that each Officer has conducted or supervised a review of the activities of Parent and its Restricted Subsidiaries and Parent’s and its Restricted Subsidiaries’ performance under this Indenture during such Fiscal Year, and further stating, as to each such Officer signing such certificate, that, to the best of such Officers’ knowledge, based upon such review, Parent and Issuer have fulfilled all obligations under this Indenture or, if there has been a Default under this Indenture that is continuing, a description of the event and what action Parent and its Restricted Subsidiaries are taking or propose to take with respect thereto.</w:t>
      </w:r>
    </w:p>
    <w:p>
      <w:pPr>
        <w:spacing w:after="0" w:line="187"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five Business Days after an Officer becomes aware of a Default or Event of Default, a statement specifying such Default or Event of Default. The Trustee may withhold from the Holders notice of any continuing Default or Event of Default (except a Default or Event of Default relating to the payment of principal or interest) if it determines that withholding notice is in the Holders’ interest of which such Officer is aware, its status and what action Parent and its Restricted Subsidiaries are taking or propose to take with respect to such Default or Event of Default (except a Default or Event of Default relating to the payment of principal or interest) if it determines that withholding notice is in the Holders’ interest.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4" w:name="page55"/>
    <w:bookmarkEnd w:id="54"/>
    <w:p>
      <w:pPr>
        <w:ind w:left="1240" w:hanging="253"/>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provide written notice to the Trustee of any change in Parent’s or Issuer’s Fiscal Year.</w:t>
      </w:r>
    </w:p>
    <w:p>
      <w:pPr>
        <w:spacing w:after="0" w:line="223" w:lineRule="exact"/>
        <w:rPr>
          <w:rFonts w:ascii="Times New Roman" w:cs="Times New Roman" w:eastAsia="Times New Roman" w:hAnsi="Times New Roman"/>
          <w:sz w:val="18"/>
          <w:szCs w:val="18"/>
          <w:color w:val="auto"/>
        </w:rPr>
      </w:pPr>
    </w:p>
    <w:p>
      <w:pPr>
        <w:ind w:right="40" w:firstLine="987"/>
        <w:spacing w:after="0" w:line="284"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promptly notify the Trustee, in writing, the first time the Notes are rated Investment Grade Rating;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to deliver such notice shall in no event be deemed a Default or an Event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Parent shall, and shall cause each of its Restricted Subsidiaries to, pay prior to delinquency (i) all material taxes, assessments, and governmental levies and (ii) all lawful material claims for labor, materials and supplies which, in each case, if unpaid, might by law become a Lien upon the property of Parent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Parent nor any of its Subsidiaries shall be required to pay or discharge or cause to be paid or discharged any such tax, assessment, charge or claim whose amount, applicability or validity is being contested in good faith by appropriate proceedings and for which disputed amounts adequate reserves have been made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Repurchase at the Option of Holders upon Change of Control Repurchase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1" w:lineRule="auto"/>
        <w:tabs>
          <w:tab w:leader="none" w:pos="12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Repurchase Event, each Holder of Notes shall have the right to require the Issuer to repurchase all or any part (equal to €100,000 or an integral multiple of €1,000 in excess thereof) of such Holder’s Notes pursuant to the offer described below (the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at an offer price in cash equal to 101% of such Holder’s aggregate principal amount of Notes, plus accrued and unpaid interest, if any, thereon to the date of purchase (the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Repurchase Event or, at the Issuer’s option, prior to the consummation of such Change of Control Repurchase Event but after the public announcement thereof, the Issuer shall send, or at the Issuer’s written request and expense the Trustee shall send, electronically or by first-class mail, postage prepaid, a notice to each Holder of such Notes at its last registered address, which notice shall govern the terms of the Change of Control Offer. The notice shall describe the transaction or transactions that constitute the Change of Control Repurchase Event and offer to repurchase Notes on the purchase date specified in such notice (which must be no earlier than 30 days nor later than 60 days from the date such notice is sent, other than as may be required by law) (the “</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pursuant to the procedures required by this Indenture and described in such notice. Such obligation will not continue after a discharge of the Issuer or defeasance from its obligations with respect to the Notes. The notice to the Holders shall contain all instructions and materials necessary to enable such Holders to tender Notes pursuant to the Change of Control Offer. Such notice shall state:</w:t>
      </w:r>
    </w:p>
    <w:p>
      <w:pPr>
        <w:spacing w:after="0" w:line="80"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4.08 and that all Notes validly tendered and not validly withdrawn will be accepted for payment;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55" w:name="page56"/>
    <w:bookmarkEnd w:id="55"/>
    <w:p>
      <w:pPr>
        <w:ind w:right="140" w:firstLine="419"/>
        <w:spacing w:after="0" w:line="28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Change of Control Payment and the Change of Control Payment Date (which shall be no earlier than 30 days nor later than 60 days from the date such notice is sent, other than as may be required by law);</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will continue to accrue interest;</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payment therefor, any Note accepted for payment pursuant to the Change of Control Offer shall cease to accrue interest after the Change of Control Payment Date;</w:t>
      </w:r>
    </w:p>
    <w:p>
      <w:pPr>
        <w:spacing w:after="0" w:line="53"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the Change of Control Offer will be required to surrender the Note, with the form entitled “Option of Holder to Elect Purchase” on the reverse of such Note completed, to the Paying Agent and Registrar for such Note at the address specified in the notice prior to the close of business on the Business Day prior to the Change of Control Payment Date;</w:t>
      </w:r>
    </w:p>
    <w:p>
      <w:pPr>
        <w:spacing w:after="0" w:line="67" w:lineRule="exact"/>
        <w:rPr>
          <w:rFonts w:ascii="Times New Roman" w:cs="Times New Roman" w:eastAsia="Times New Roman" w:hAnsi="Times New Roman"/>
          <w:sz w:val="18"/>
          <w:szCs w:val="18"/>
          <w:color w:val="auto"/>
        </w:rPr>
      </w:pPr>
    </w:p>
    <w:p>
      <w:pPr>
        <w:ind w:right="240" w:firstLine="419"/>
        <w:spacing w:after="0" w:line="261"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will be entitled to withdraw their election if the Paying Agent receives, not later than the third Business Day prior to the Change of Control Payment Date, a telegram, telex, .pdf attachment, facsimile transmission or letter setting forth the name of the Holder, the principal amount of the Notes the Holder delivered for purchase and a statement that such Holder is withdrawing its election to have such Note purchased;</w:t>
      </w:r>
    </w:p>
    <w:p>
      <w:pPr>
        <w:spacing w:after="0" w:line="71" w:lineRule="exact"/>
        <w:rPr>
          <w:rFonts w:ascii="Times New Roman" w:cs="Times New Roman" w:eastAsia="Times New Roman" w:hAnsi="Times New Roman"/>
          <w:sz w:val="18"/>
          <w:szCs w:val="18"/>
          <w:color w:val="auto"/>
        </w:rPr>
      </w:pPr>
    </w:p>
    <w:p>
      <w:pPr>
        <w:ind w:right="80" w:firstLine="419"/>
        <w:spacing w:after="0" w:line="266"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whose Notes are purchased only in part will be issued new Notes in a principal amount equal to the unpurchased portion of the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Note purchased and each new Note issued shall be in a principal amount of €100,000 or integral multiples of €1,000 in excess thereof; and</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and relevant facts regarding such Change of Control Repurchase Event.</w:t>
      </w:r>
    </w:p>
    <w:p>
      <w:pPr>
        <w:spacing w:after="0" w:line="225"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Issuer shall, to the extent lawful:</w:t>
      </w:r>
    </w:p>
    <w:p>
      <w:pPr>
        <w:spacing w:after="0" w:line="117" w:lineRule="exact"/>
        <w:rPr>
          <w:sz w:val="20"/>
          <w:szCs w:val="20"/>
          <w:color w:val="auto"/>
        </w:rPr>
      </w:pPr>
    </w:p>
    <w:p>
      <w:pPr>
        <w:ind w:right="160" w:firstLine="419"/>
        <w:spacing w:after="0" w:line="282"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(in minimum amounts of €100,000 or an integral multiple of €1,000 in excess thereof) validly tendered and not validly withdrawn pursuant to the Change of Control Offer;</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40"/>
          </w:cols>
          <w:pgMar w:left="880" w:top="270" w:right="479" w:bottom="1440" w:gutter="0" w:footer="0" w:header="0"/>
        </w:sectPr>
      </w:pPr>
    </w:p>
    <w:bookmarkStart w:id="56" w:name="page57"/>
    <w:bookmarkEnd w:id="56"/>
    <w:p>
      <w:pPr>
        <w:ind w:left="440" w:right="300" w:firstLine="419"/>
        <w:spacing w:after="0" w:line="282"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with the Paying Agent an amount in Euros equal to the Change of Control Payment in respect of all Notes or portions thereof properly tendered; and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all Notes so accepted together with an Officers’ Certificate stating the aggregate principal amount of Notes (or portions thereof) being purchased by the Issuer.</w:t>
      </w:r>
    </w:p>
    <w:p>
      <w:pPr>
        <w:spacing w:after="0" w:line="16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 xml:space="preserve">Upon receipt by the Paying Agent of the monies specified in clause (2) above and the Officers’ Certificate specified in clause (3) above, such Paying Agent shall promptly mail or deliver through Euroclear or Clearstream to each Holder of Notes so tendered the Change of Control Payment for such Notes, and the Issuer shall execute and, upon receipt of a written order of the Issuer in the form of an Officers’ Certificate in accordance with Section 2.01, the Trustee shall promptly authenticate and send (or cause to be transferred by book entry) to each Holder of Notes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Note shall be in a principal amount of</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€100,000 or an integral multiple of €1,000 in excess thereof. The Issuer shall publicly announce the results of the Change of Control Offer on or as soon as practicable after the Change of Control Payment Date.</w:t>
      </w:r>
    </w:p>
    <w:p>
      <w:pPr>
        <w:spacing w:after="0" w:line="181" w:lineRule="exact"/>
        <w:rPr>
          <w:sz w:val="20"/>
          <w:szCs w:val="20"/>
          <w:color w:val="auto"/>
        </w:rPr>
      </w:pPr>
    </w:p>
    <w:p>
      <w:pPr>
        <w:ind w:right="400" w:firstLine="987"/>
        <w:spacing w:after="0" w:line="282"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payment of the Change of Control Payment, the Trustee shall, subject to the provisions of Section 2.16, return the Notes purchased to the Issuer for cancellation. The Trustee may act as the Paying Agent for purposes of any Change of Control Offer.</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be required to make a Change of Control Offer upon a Change of Control Repurchase Event if (1) a third party makes the Change of Control Offer in a manner, at the times and otherwise in compliance with the requirements set forth in this Section 4.08 with respect to a Change of Control Offer made by the Issuer and purchases all Notes validly tendered and not withdrawn under such Change of Control Offer or (2) notice of redemption has been given pursuant to this Indenture as described in Article Three,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91" w:lineRule="exact"/>
        <w:rPr>
          <w:rFonts w:ascii="Times New Roman" w:cs="Times New Roman" w:eastAsia="Times New Roman" w:hAnsi="Times New Roman"/>
          <w:sz w:val="18"/>
          <w:szCs w:val="18"/>
          <w:color w:val="auto"/>
        </w:rPr>
      </w:pPr>
    </w:p>
    <w:p>
      <w:pPr>
        <w:ind w:right="360" w:firstLine="987"/>
        <w:spacing w:after="0" w:line="258"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shall comply with the applicable securities laws and regulations and shall not be deemed to have breached its obligations under this paragraph by virtue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7" w:name="page58"/>
    <w:bookmarkEnd w:id="57"/>
    <w:p>
      <w:pPr>
        <w:ind w:right="160" w:firstLine="987"/>
        <w:spacing w:after="0" w:line="282"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and for so long as the Notes are listed on the Official List of the Luxembourg Stock Exchange and admitted for trading on the Euro MTF Market, the Issuer will publish notices relating to the Change of Control Offer in accordance with the rules of the Euro MTF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4.10.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Parent shall not, nor shall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Section 4.11 shall be automatically released and discharged at the same time as the release of the Lien that gave rise to the obligation to secure the Notes under this Section 4.11.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4.12.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4.13.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4.14.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Limitation on Sale and Leaseback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987"/>
        <w:spacing w:after="0" w:line="258"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nor shall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In addition, the following Sale and Leaseback Transactions are not subject to the limitation above and the provisions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4.11:</w:t>
      </w:r>
    </w:p>
    <w:p>
      <w:pPr>
        <w:spacing w:after="0" w:line="99" w:lineRule="exact"/>
        <w:rPr>
          <w:sz w:val="20"/>
          <w:szCs w:val="20"/>
          <w:color w:val="auto"/>
        </w:rPr>
      </w:pPr>
    </w:p>
    <w:p>
      <w:pPr>
        <w:ind w:left="1080" w:hanging="221"/>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including renewals at the option of the lessee, of not more than three years;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between only Parent and a Restricted Subsidiary of Parent or only between Restricted Subsidiaries of Parent;</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lieu of applying such amount to the retirement of long-term Indebtedness, Parent may deliver Notes to the trustee for cancellation; and</w:t>
      </w:r>
    </w:p>
    <w:p>
      <w:pPr>
        <w:spacing w:after="0" w:line="75"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1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Reports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87"/>
        <w:spacing w:after="0" w:line="282" w:lineRule="auto"/>
        <w:tabs>
          <w:tab w:leader="none" w:pos="123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rules and regulations of the Commission, so long as any Notes are outstanding hereunder, the Issuer shall furnish to the Trustee and Holders thereof the following:</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financial information of Parent that would be required to be contained in a filing with the Commission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Commission on Form 8-K if Parent were required to file such reports,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each case, within the time periods specified in the Commission’s rules and regulations. The Issuer may satisfy its obligation to deliver the information and reports referred to in clauses (1) and (2) above by filing the same with the Commission.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59" w:name="page60"/>
    <w:bookmarkEnd w:id="59"/>
    <w:p>
      <w:pPr>
        <w:ind w:firstLine="987"/>
        <w:spacing w:after="0" w:line="256"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whether or not required by the rules and regulations of the Commission, Parent shall file a copy of all such information and reports with the Commission for public availability within the time periods specified in the Commission’s rules and regulations (unless the Commission will not accept such a filing) and make such information available to securities analysts and prospective investors upon request. In addition, the Issuer and the Guarantors shall,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TIA § 314(a).</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also make available copies of all reports required by clauses (1) and (2) of the first paragraph of this covenant, if and so long as the Notes are listed on the Official List of the Luxembourg Stock Exchange and admitted for trading on the Euro MTF Market and the rules of the exchange so require, at the offices of the listing agent in Luxembourg or, to the extent and in the manner permitted by such rules, post such reports on the official website of the Issuer (www.crowncork.com).</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this Indenture as to which the Trustee is entitled to rely exclusively on an Officers’ Certificate).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Additional Note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87"/>
        <w:spacing w:after="0" w:line="266"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not create, acquire or suffer to exist, and shall not permit any of its Restricted Subsidiaries to create, acquire or suffer to exist, any Subsidiary other than a Restricted Subsidiary existing as of the Issue Date or that is acquired or created after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w:t>
      </w:r>
    </w:p>
    <w:p>
      <w:pPr>
        <w:spacing w:after="0" w:line="67"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Subsidiary and each other Subsidiary of the Parent organized in Canada, Germany, the United Kingdom, France, Luxembourg, Mexico, the Netherlands or Switzerland that from time to time is an obligor under the Existing Credit Facility or directly or indirectly (by way of the pledge of any intercompany note or otherwise) Guarantees or in any other manner becomes liable with respect to any Indebtedness of the Issuer, Parent or any other Guarantor (including, without limitation, the Existing Credit Facility), and</w:t>
      </w:r>
    </w:p>
    <w:p>
      <w:pPr>
        <w:spacing w:after="0" w:line="71" w:lineRule="exact"/>
        <w:rPr>
          <w:rFonts w:ascii="Times New Roman" w:cs="Times New Roman" w:eastAsia="Times New Roman" w:hAnsi="Times New Roman"/>
          <w:sz w:val="18"/>
          <w:szCs w:val="18"/>
          <w:color w:val="auto"/>
        </w:rPr>
      </w:pPr>
    </w:p>
    <w:p>
      <w:pPr>
        <w:ind w:left="980" w:right="20" w:firstLine="408"/>
        <w:spacing w:after="0" w:line="289" w:lineRule="auto"/>
        <w:tabs>
          <w:tab w:leader="none" w:pos="1666"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Subsidiary of the Issuer that directly or indirectly (by way of the pledge of any intercompany note or otherwise) Guarantees or in any other manner becomes liable with respect to any Indebtedness of the Issuer, Parent or any other Guarantor (including, without limitation, Indebtedness under the Existing Credit Facility) or is otherwise an obligor under the Existing Credit Facility,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0" w:name="page61"/>
    <w:bookmarkEnd w:id="60"/>
    <w:p>
      <w:pPr>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Restricted Subsidiary will become a Guarantor (unless, in each case, the incurrence of such Note Guarantee is prohibited under the laws of its jurisdiction of incorporation (as evidenced by an Opinion of Counsel)).</w:t>
      </w:r>
    </w:p>
    <w:p>
      <w:pPr>
        <w:spacing w:after="0" w:line="180" w:lineRule="exact"/>
        <w:rPr>
          <w:sz w:val="20"/>
          <w:szCs w:val="20"/>
          <w:color w:val="auto"/>
        </w:rPr>
      </w:pPr>
    </w:p>
    <w:p>
      <w:pPr>
        <w:ind w:right="2000" w:firstLine="987"/>
        <w:spacing w:after="0" w:line="500"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Guarantee of any Guarantor shall be subject to release and discharge as provided under Article Ten. SECTION 4.18. [Reserved]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Maintenance of Listing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 xml:space="preserve">The Issuer will use its commercially reasonable efforts to maintain the listing of the Notes on the Official List of the Luxembourg Stock Exchange for so long as such Notes are outstanding;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at any time the Issuer determines that it will not maintain such listing, it will obtain, prior to the delisting of the Notes from the Official List of the Luxembourg Stock Exchange, and thereafter use its commercially reasonable efforts to maintain, a listing of such Notes on another “recognised stock exchange” as defined in Section 1005 of the Income Tax Act 2007 (United Kingdom).</w:t>
      </w:r>
    </w:p>
    <w:p>
      <w:pPr>
        <w:spacing w:after="0" w:line="164"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So long as the Notes are listed on the Official List of the Luxembourg Stock Exchange and admitted to trading on the Euro MTF Market and the rules of such exchange so require, notices to be given to Holders shall be made in accordance with the rules of the Euro MTF Market or, to the extent and in the manner permitted by such rules, posted on the official website of the Luxembourg Stock Exchange (www.luxse.com).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Payment of Additional Amounts</w:t>
      </w:r>
    </w:p>
    <w:p>
      <w:pPr>
        <w:spacing w:after="0" w:line="225" w:lineRule="exact"/>
        <w:rPr>
          <w:sz w:val="20"/>
          <w:szCs w:val="20"/>
          <w:color w:val="auto"/>
        </w:rPr>
      </w:pPr>
    </w:p>
    <w:p>
      <w:pPr>
        <w:ind w:right="180" w:firstLine="987"/>
        <w:spacing w:after="0" w:line="256"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or on behalf of the Issuer under or with respect to a Note, or a Guarantor under or with respect to a Note Guarantee, shall be made free and clear of and without withholding or deduction for or on account of any present or future tax, duty, levy, impost, assessment or other governmental charge (including penalties, interest and other liabilities related thereto) (hereinafter,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unless the Issuer or such Guarantor is required to withhold or deduct any such Taxes by law, including by the official interpretation or administration thereof by a relevant taxing authority. If any Taxes imposed or levied by or on behalf of the government of France or any other jurisdiction in which the Issuer or any Guarantor (or any successor Person) is organized or is a resident or does business for tax</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61" w:name="page62"/>
    <w:bookmarkEnd w:id="6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purposes or within or through which payment is made or any political subdivision or taxing authority or agency thereof or therein (any of the aforementioned being a “</w:t>
      </w:r>
      <w:r>
        <w:rPr>
          <w:rFonts w:ascii="Times New Roman" w:cs="Times New Roman" w:eastAsia="Times New Roman" w:hAnsi="Times New Roman"/>
          <w:sz w:val="18"/>
          <w:szCs w:val="18"/>
          <w:u w:val="single" w:color="auto"/>
          <w:color w:val="auto"/>
        </w:rPr>
        <w:t>Taxing Jurisdiction</w:t>
      </w:r>
      <w:r>
        <w:rPr>
          <w:rFonts w:ascii="Times New Roman" w:cs="Times New Roman" w:eastAsia="Times New Roman" w:hAnsi="Times New Roman"/>
          <w:sz w:val="18"/>
          <w:szCs w:val="18"/>
          <w:color w:val="auto"/>
        </w:rPr>
        <w:t>”), will at any time be required to be withheld or deducted from any payment made under or with respect to a Note or a Note Guarantee, or if a Holder actually pays any such Taxes where the Issuer or Guarantor or applicable withholding agent has failed to withhold or deduct Taxes required to be withheld or deducted from any payment made under or with respect to a Note or a Note Guarantee, the Issuer or the relevant Guarantor, as applicable, shall, pay such additional amounts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xml:space="preserve">”) as may be necessary so that the net amount received by the holder of such Note (including Additional Amounts) after such withholding or deduction by the applicable withholding agent of such Taxes (including any such Taxes on such Additional Amounts) shall not be less than the amount such holder would have received if such Taxes had not been required to be withheld or deducted;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Additional Amounts will not be paid:</w:t>
      </w:r>
    </w:p>
    <w:p>
      <w:pPr>
        <w:spacing w:after="0" w:line="84" w:lineRule="exact"/>
        <w:rPr>
          <w:sz w:val="20"/>
          <w:szCs w:val="20"/>
          <w:color w:val="auto"/>
        </w:rPr>
      </w:pPr>
    </w:p>
    <w:p>
      <w:pPr>
        <w:ind w:left="440" w:right="40" w:firstLine="419"/>
        <w:spacing w:after="0" w:line="258"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Taxes giving rise to such Additional Amounts would not have been imposed, deducted or withheld but for the existence of any present or former connection between the Holder or beneficial owner of a Note (or between a fiduciary, settlor, beneficiary, member or shareholder of, or possessor of power over, the Holder or beneficial owner of such Note, if the Holder or beneficial owner is an estate, nominee, trust, partnership or corporation) and the relevant Taxing Jurisdiction (other than the receipt of such payment or the acquisition, ownership, holding or disposition of, or the execution, delivery, registration or enforcement of, such Note or Note Guarantee);</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(e) of this Section 4.20, with respect to any estate, inheritance, gift, sales, transfer or similar tax;</w:t>
      </w:r>
    </w:p>
    <w:p>
      <w:pPr>
        <w:spacing w:after="0" w:line="117"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(e) of this Section 4.20, with respect to any Taxes payable otherwise than by deduction or withholding from payments under or with respect to such Note;</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Taxes would not have been imposed, deducted or withheld if the Holder or beneficial owner of the Note or beneficial owner of any payment on such Note had (i) made a declaration of non-residence, or any other claim or filing for exemption, to which it is entitled or (ii) complied with (to the extent legally eligible to do so) any certification, identification, information, documentation or other reporting requirement concerning the nationality, residence, identity or connection with the relevant Taxing Jurisdiction of such Holder or beneficial owner of such Note or any payment on such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declaration of nonresidence or other claim or filing for exemption or such compliance is required by the applicable law of the Taxing Jurisdiction as a precondition to exemption from, or reduction in the rate of the imposition, deduction or withholding of, such Taxes and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62" w:name="page63"/>
    <w:bookmarkEnd w:id="62"/>
    <w:p>
      <w:pPr>
        <w:ind w:left="440" w:hanging="4"/>
        <w:spacing w:after="0" w:line="261"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least 30 days prior to the first payment date with respect to which such declaration of nonresidence or other claim or filing for exemption or such compliance is required under the applicable law of the Taxing Jurisdiction, the relevant Holder at that time has been notified in writing by the Issuer, any Guarantor or any other Person through whom payment may be made that a declaration of non-residence or other claim or filing for exemption or such compliance is required to be made);</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Taxes would not have been imposed, deducted or withheld if the Note had been presented for payment (where presentation is required) within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under or with respect to a Note to any Holder that is a fiduciary or partnership or any person other than the sole beneficial owner of such payment or Note, to the extent that a beneficiary or settlor with respect to such fiduciary, a member of such a partnership or the beneficial owner of such payment or Note would not have been entitled to the Additional Amounts had such beneficiary, settlor, member or beneficial owner been the actual Holder of such Note;</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58" w:lineRule="auto"/>
        <w:tabs>
          <w:tab w:leader="none" w:pos="11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Taxes are imposed or withheld pursuant to Section 1471 through 1474 of the Internal Revenue Code, as of the Issue Date (or any amended or successor version of such sections that are substantively comparable and not materially more onerous to comply with), any regulations promulgated thereunder, any official interpretations thereof, any similar law or regulation adopted pursuant to an intergovernmental agreement between a non-U.S. jurisdiction and the United States implementing the foregoing or any agreements entered into pursuant to Section 1471(b)(1) of the Code as of the Issue Date (or any amended or successor version described above); and</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(7) above.</w:t>
      </w:r>
    </w:p>
    <w:p>
      <w:pPr>
        <w:spacing w:after="0" w:line="223"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The foregoing provisions shall survive any termination or discharge of this Indenture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Taxing Jurisdiction with respect to any successor Person to the Issuer or a Guarantor.</w:t>
      </w:r>
    </w:p>
    <w:p>
      <w:pPr>
        <w:spacing w:after="0" w:line="160" w:lineRule="exact"/>
        <w:rPr>
          <w:sz w:val="20"/>
          <w:szCs w:val="20"/>
          <w:color w:val="auto"/>
        </w:rPr>
      </w:pPr>
    </w:p>
    <w:p>
      <w:pPr>
        <w:ind w:right="20" w:firstLine="987"/>
        <w:spacing w:after="0" w:line="256"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the applicable Guarantor, if it is the applicable withholding agent, will make any applicable withholding or deduction required by law and remit the full amount deducted or withheld to the relevant authority in accordance with applicable law. The Issuer or the applicable Guarantor will furnish to the Trustee, within 30 days after the date the payment of any Taxes deducted or withheld is due pursuant to applicable law, certified copies of tax receipts or, if such tax receipts are not reasonably available to the Issuer or such Guarantor, such other documentation that provides reasonable evidence of such payment by the Issuer or such Guarantor. Copies of such receipts or other documentation will be made available to the Holders or the Paying Agent, as applicable, upon request.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3" w:name="page64"/>
    <w:bookmarkEnd w:id="63"/>
    <w:p>
      <w:pPr>
        <w:ind w:right="160" w:firstLine="987"/>
        <w:spacing w:after="0" w:line="239"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least 30 days prior to each date on which any payment under or with respect to any Notes is due and payable, if the Issuer or any Guarantor will be obligated to pay Additional Amounts with respect to such payment, the Issuer or such Guarantor will deliver to the Trustee and the Paying Agent an Officers’ Certificate stating the fact that such Additional Amounts will be payable and the amounts so payable and will set forth such other information necessary to enable such Trustee and Paying Agents to pay such Additional Amounts to Holders of such Notes on the payment date. Notwithstanding the foregoing, if the obligation to pay Additional Amounts arises after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any such date, the Issuer or the applicable Guarantor will deliver to the Trustee and the Paying Agent an Officers’ Certificate as described in the preceding sentence and will pay such Additional Amounts promptly after such obligation arises. The Trustee and the Paying Agent shall be entitled but shall not be obligated to rely on each Officers’ Certificate until receipt of a further Officers’ Certificate addressing such matters.</w:t>
      </w:r>
    </w:p>
    <w:p>
      <w:pPr>
        <w:spacing w:after="0" w:line="203"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this Indenture or the Notes there is mentioned, in any context, the payment of principal, premium, if any, interest or of any other amount payable under or with respect to any Note, such mention shall be deemed to include mention of the payment of Additional Amounts to the extent that, in such context, Additional Amounts are, were or would be payable in respect thereof.</w:t>
      </w:r>
    </w:p>
    <w:p>
      <w:pPr>
        <w:spacing w:after="0" w:line="175"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the Issuer and the Guarantors will pay any present or future stamp, court or documentary Taxes or any other excise, property or similar Taxes that arise in any Taxing Jurisdiction from the execution, issue, delivery, enforcement or registration of the Notes, the Indenture, any Guarantee or any other document or instrument in relation thereto, and the Issuer and the Guarantors will indemnify the Holders of the Notes for any such Taxes paid by such 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FIVE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Consolidation, Merger and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6"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Parent nor the Issuer shall consolidate or merge with or into any other Person or Transfer all or substantially all of the properties or assets of Parent and its Subsidiaries, taken as a whole and (ii) neither Parent nor the Issuer shall permit any of its Subsidiaries to, in a single transaction or a series of related transactions, Transfer all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70"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substantially all of the properties or assets of Parent and its Subsidiaries, taken as a whole, in each case, to another Person unless:</w:t>
      </w:r>
    </w:p>
    <w:p>
      <w:pPr>
        <w:spacing w:after="0" w:line="117" w:lineRule="exact"/>
        <w:rPr>
          <w:sz w:val="20"/>
          <w:szCs w:val="20"/>
          <w:color w:val="auto"/>
        </w:rPr>
      </w:pPr>
    </w:p>
    <w:p>
      <w:pPr>
        <w:ind w:left="440" w:right="100" w:firstLine="419"/>
        <w:spacing w:after="0" w:line="266"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Kingdom, the United States, any State thereof or the District of Columbia, and</w:t>
      </w:r>
    </w:p>
    <w:p>
      <w:pPr>
        <w:spacing w:after="0" w:line="68" w:lineRule="exact"/>
        <w:rPr>
          <w:sz w:val="20"/>
          <w:szCs w:val="20"/>
          <w:color w:val="auto"/>
        </w:rPr>
      </w:pPr>
    </w:p>
    <w:p>
      <w:pPr>
        <w:ind w:left="440" w:right="280" w:firstLine="419"/>
        <w:spacing w:after="0" w:line="261" w:lineRule="auto"/>
        <w:tabs>
          <w:tab w:leader="none" w:pos="11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consolidation or Transfer involving the Issuer, the Issuer is the surviving Person or the Person formed by or surviving any such consolidation or merger (if other than the Issuer) or to which such Transfer has been made is a corporation organized or existing under the laws of a member state of the European Union (as it existed on December 31, 2003), Switzerland, the United Kingdom, the United States, any State thereof or the District of Columbia;</w:t>
      </w:r>
    </w:p>
    <w:p>
      <w:pPr>
        <w:spacing w:after="0" w:line="72" w:lineRule="exact"/>
        <w:rPr>
          <w:sz w:val="20"/>
          <w:szCs w:val="20"/>
          <w:color w:val="auto"/>
        </w:rPr>
      </w:pPr>
    </w:p>
    <w:p>
      <w:pPr>
        <w:ind w:left="440" w:firstLine="419"/>
        <w:spacing w:after="0" w:line="266"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Parent or the Issuer, as the case may be) or the Person to which such Transfer has been made assumes all the obligations of Parent, the Issuer or such Subsidiary under the Notes, the Note Guarantees and this Indenture pursuant to a supplemental indenture or amendment of the relevant documents;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none of the following shall be permitted:</w:t>
      </w:r>
    </w:p>
    <w:p>
      <w:pPr>
        <w:spacing w:after="0" w:line="117" w:lineRule="exact"/>
        <w:rPr>
          <w:sz w:val="20"/>
          <w:szCs w:val="20"/>
          <w:color w:val="auto"/>
        </w:rPr>
      </w:pPr>
    </w:p>
    <w:p>
      <w:pPr>
        <w:ind w:left="440" w:right="340" w:firstLine="419"/>
        <w:spacing w:after="0" w:line="282"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property or assets of Crown and its Subsidiaries, taken as a whole, to Crown, other than any Transfer to a Subsidiary of Crown; and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20"/>
          </w:cols>
          <w:pgMar w:left="440" w:top="270" w:right="539" w:bottom="1440" w:gutter="0" w:footer="0" w:header="0"/>
        </w:sectPr>
      </w:pPr>
    </w:p>
    <w:bookmarkStart w:id="65" w:name="page66"/>
    <w:bookmarkEnd w:id="65"/>
    <w:p>
      <w:pPr>
        <w:ind w:left="1240" w:hanging="253"/>
        <w:spacing w:after="0"/>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Section 5.01 shall not prohibit: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the Issuer and a Guarantor other than Crown;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Guarantor and any other Guarantor other than Crown;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Subsidiary (other than the Issuer) that is not a Guarantor and any other Subsidiary other than</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of Parent with or into an Affiliate for the purposes of reincorporating Parent in another jurisdiction;</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properties or assets of a Guarantor to the Issuer and/or any other Guarantor other than Crown; or</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properties or assets of a Subsidiary (other than the Issuer) that is not a Guarantor to any other Subsidiary other than Crown;</w:t>
      </w:r>
    </w:p>
    <w:p>
      <w:pPr>
        <w:spacing w:after="0" w:line="16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involving the Issuer or a Guarantor, if the Issuer or such Guarantor is not the surviving entity of such transaction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to which such Transfer is made, the surviving entity or the Person to which such Transfer is made shall comply with subsection (a)(2) of this Section 5.01.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Successor Person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Upon any consolidation, combination or merger of Parent, the Issuer or any other Guarantor, or any Transfer of all or substantially all of the assets of Parent or the Issuer in accordance with the foregoing provisions of Section 5.01,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this Indenture, the Notes and the Note Guarantees with the same effect as if such surviving entity had been named therein as Parent, the Issuer or such Guarantor, as the case may be, and, except in the case of a Transfer to Parent or any of its Subsidiaries, Parent, the Issuer or such Guarantor, as the case may be, shall be released from the obligation to pay the principal of and interest on the Notes or in respect of its Note Guarantee, as the case may be, and all of Parent’s, the Issuer’s or such Guarantor’s, as the case may be, other obligations and covenants under the Notes, this Indenture and its Note Guarantee, if applicable.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SIX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the following constitutes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with respect to the Notes:</w:t>
      </w:r>
    </w:p>
    <w:p>
      <w:pPr>
        <w:spacing w:after="0" w:line="117" w:lineRule="exact"/>
        <w:rPr>
          <w:sz w:val="20"/>
          <w:szCs w:val="20"/>
          <w:color w:val="auto"/>
        </w:rPr>
      </w:pPr>
    </w:p>
    <w:p>
      <w:pPr>
        <w:ind w:left="1120" w:hanging="261"/>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with respect to the Notes;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principal or premium, if any, on the Notes at maturity, upon redemption or otherwise;</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Subsidiary for 30 days after receipt of notice from the Trustee or Holders of at least 25% in principal amount of Notes then outstanding under this Indenture to comply with any of the provisions under Section 4.08;</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Subsidiary of Parent for 60 days after receipt of notice from the Trustee or the Holders of at least 25% in principal amount of Notes then outstanding under this Indenture to comply with any covenant or agreement contained in this Indenture (other than the covenants and agreements specified in clauses (1) through (3) of this Section 6.01);</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4"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which default (a) is caused by a failure to pay when due at final stated maturity (giving effect to any grace period related thereto) principal of such Indebtedness (a “</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$75,000,000 or more and, in each case, Parent has received notice specifying the default from the Trustee or Holders of at least 25% of the aggregate principal amount of Notes then outstanding and does not cure the default within 30 days;</w:t>
      </w:r>
    </w:p>
    <w:p>
      <w:pPr>
        <w:spacing w:after="0" w:line="8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of its Subsidiaries to pay final judgments (net of any amounts covered by insurance and as to which such insurer has not denied responsibility or coverage in writing) aggregating $75,000,000 or more, which judgments are not paid, discharged, bonded or stayed within 60 days after their entry;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67" w:name="page68"/>
    <w:bookmarkEnd w:id="67"/>
    <w:p>
      <w:pPr>
        <w:ind w:left="440" w:firstLine="419"/>
        <w:spacing w:after="0" w:line="252"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a court having jurisdiction over Parent, the Issuer or any other Subsidiary of Parent enters (x) a decree or order for relief in respect of Parent, the Issuer or any Subsidiary of Parent that is a Significant Subsidiary or group of Subsidiaries of Parent that, taken together, would constitute a Significant Subsidiary in an involuntary case or proceeding under any Bankruptcy Law or (y) a decree or order adjudging Parent, the Issuer or any Subsidiary of Parent that is a Significant Subsidiary or group of Subsidiaries of Parent that, taken together, would constitute a Significant Subsidiary as bankrupt or insolvent, or approving as properly filed a petition seeking reorganization, arrangement, adjustment or composition of or in respect of Parent, the Issuer or any such Subsidiary or group of Subsidiaries under any Bankruptcy Law, or appointing a custodian, receiver, liquidator, assignee, trustee, sequestrator or other similar official of Parent, the Issuer or any such Subsidiary or group of Subsidiaries or of any substantial part of its property, or ordering the winding up or liquidation of its affairs, and the continuance of any such decree or order for relief or any such other decree or order unstayed and in effect for a period of 60 consecutive days or (B) Parent, the Issuer or any Subsidiary of Parent that is a Significant Subsidiary or group of Subsidiaries of Parent that, taken together, would constitute a Significant Subsidiary (i) commences a voluntary case under any Bankruptcy Law or consents to the entry of an order for relief in an involuntary case under any Bankruptcy Law, (ii) consents to the appointment of or taking possession by a receiver, liquidator, assignee, custodian, trustee, sequestrator or similar official of Parent, the Issuer or any such Subsidiary or group of Subsidiaries or for all or substantially all the property and assets of Parent, the Issuer or any such Subsidiary or group of Subsidiaries, (iii) effects any general assignment for the benefit of creditors or (iv) generally is not paying its debts as they become due; and</w:t>
      </w:r>
    </w:p>
    <w:p>
      <w:pPr>
        <w:spacing w:after="0" w:line="88"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of any Guarantor that is a Significant Subsidiary ceases to be in full force and effect (other than in accordance with the terms of such Note Guarantee and this Indenture) or is declared null and void and unenforceable or found to be invalid or any Guarantor denies its liability under its Note Guarantee (other than by reason of release of a Guarantor from its Note Guarantee in accordance with the terms of this Indenture and such Note Guarantee).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Acceleration of Maturity; Rescission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occurs and is continuing under this Indenture, either the Trustee, by notice in writing to the Issuer, or the Holders of at least 25% in aggregate principal amount of the Notes then outstanding may, by notice in writing to the Issuer and the Trustee, specifying the respective Event of Default and that it is a “notice of acceleration”, declare the principal of and premium, if any, and accrued interest, if any, on the Notes to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68" w:name="page69"/>
    <w:bookmarkEnd w:id="6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outstanding Notes may rescind and annul such acceleration if:</w:t>
      </w:r>
    </w:p>
    <w:p>
      <w:pPr>
        <w:spacing w:after="0" w:line="99" w:lineRule="exact"/>
        <w:rPr>
          <w:sz w:val="20"/>
          <w:szCs w:val="20"/>
          <w:color w:val="auto"/>
        </w:rPr>
      </w:pPr>
    </w:p>
    <w:p>
      <w:pPr>
        <w:ind w:left="440" w:right="620" w:firstLine="419"/>
        <w:spacing w:after="0" w:line="282"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indemnities and advances; and</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by proceeding at law or in equity to collect the payment of principal of, or premium, if any, and interest on the Notes or to enforce the performance of any provision of the Notes or this Indenture and may take any necessary action requested by the Holders of a majority of the principal amount outstanding of the Notes to settle, compromise, adjust or otherwise conclude any proceedings to which it is a party.</w:t>
      </w:r>
    </w:p>
    <w:p>
      <w:pPr>
        <w:spacing w:after="0" w:line="180"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Any costs associated with actions taken by the Trustee under this Section 6.03 shall be reimbursed to the Trustee by the Issuer and the Guarantors.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60"/>
          </w:cols>
          <w:pgMar w:left="440" w:top="270"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Waiver of Existing Defaults and 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8" w:lineRule="auto"/>
        <w:tabs>
          <w:tab w:leader="none" w:pos="123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Sections 2.10, 6.02, 6.08 and 8.02, the Holders of a majority in principal amount of the Notes then outstanding shall have the right to waive past Defaults under this Indenture </w:t>
      </w:r>
      <w:r>
        <w:rPr>
          <w:rFonts w:ascii="Times New Roman" w:cs="Times New Roman" w:eastAsia="Times New Roman" w:hAnsi="Times New Roman"/>
          <w:sz w:val="17"/>
          <w:szCs w:val="17"/>
          <w:i w:val="1"/>
          <w:iCs w:val="1"/>
          <w:color w:val="auto"/>
        </w:rPr>
        <w:t>except</w:t>
      </w:r>
      <w:r>
        <w:rPr>
          <w:rFonts w:ascii="Times New Roman" w:cs="Times New Roman" w:eastAsia="Times New Roman" w:hAnsi="Times New Roman"/>
          <w:sz w:val="17"/>
          <w:szCs w:val="17"/>
          <w:color w:val="auto"/>
        </w:rPr>
        <w:t xml:space="preserve"> a Default in the payment of the principal of, or interest or premium, if any, on any Note as specified in clauses (1) and (2) of Section 6.01 or in respect of a covenant or a provision which cannot be modified or amended without the consent of all Holders as provided for in Section 8.02. The Issuer shall deliver to the Trustee an Officers’ Certificate stating that the requisite percentage of Holders have consented to such waiver and attaching copies of such consents. In case of any such waiver, the Issuer, the Trustee and the Holders shall be restored to their former positions and rights hereunder and under the Notes, respectively. This subsection (a) of this Section 6.04 shall be in lieu of TIA § 316(a)</w:t>
      </w:r>
    </w:p>
    <w:p>
      <w:pPr>
        <w:spacing w:after="0" w:line="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(1)(B), and TIA § 316(a)(1)(B) is hereby expressly excluded from this Indenture and the Notes, as permitted by the TIA.</w:t>
      </w:r>
    </w:p>
    <w:p>
      <w:pPr>
        <w:spacing w:after="0" w:line="206" w:lineRule="exact"/>
        <w:rPr>
          <w:rFonts w:ascii="Times New Roman" w:cs="Times New Roman" w:eastAsia="Times New Roman" w:hAnsi="Times New Roman"/>
          <w:sz w:val="17"/>
          <w:szCs w:val="17"/>
          <w:color w:val="auto"/>
        </w:rPr>
      </w:pPr>
    </w:p>
    <w:p>
      <w:pPr>
        <w:ind w:right="340" w:firstLine="987"/>
        <w:spacing w:after="0" w:line="266"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Sections 2.10 and 7.01, the Holders of a majority in principal amount of the outstanding Notes have the right to direct the time, method and place of conducting any proceeding for exercising any remedy available to the Trustee or exercising any trust or power conferred on the Trustee by this Indenture. The Trustee, however, may refuse to follow any direction that conflicts with law or this Indenture or that the Trustee determines may be unduly prejudicial to the rights of another Holder not taking part in such direction, and the Trustee shall have the right to decline to follow any such direction if the Trustee, being advised by counsel, determines that the action so directed may not lawfully be taken or if the Trustee in good faith shall, by a Responsible Officer, determine that the proceedings so directed may involve it in personal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may take any other action deemed proper by the Trustee which is not inconsistent with such direction. In the event the Trustee takes any action or follows any direction pursuant to this Indenture, the Trustee shall be entitled to indemnification reasonably satisfactory to it against any loss or expense caused by taking such action or following such direction. This Section 6.05 shall be in lieu of TIA § 316(a)(1)(A), and TIA § 316(a)(1)(A) is hereby expressly excluded from this Indenture and the Notes, as permitted by the TIA.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Section 6.08, a Holder may not pursue any remedy with respect to this Indenture or the Notes unless:</w:t>
      </w:r>
    </w:p>
    <w:p>
      <w:pPr>
        <w:spacing w:after="0" w:line="117" w:lineRule="exact"/>
        <w:rPr>
          <w:sz w:val="20"/>
          <w:szCs w:val="20"/>
          <w:color w:val="auto"/>
        </w:rPr>
      </w:pPr>
    </w:p>
    <w:p>
      <w:pPr>
        <w:ind w:left="1120" w:hanging="261"/>
        <w:spacing w:after="0"/>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principal amount of the Notes then outstanding make a written request to the Trustee to pursue the remedy;</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the Trustee indemnity satisfactory to the Trustee against any costs, liability or expense;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the outstanding Notes do not give the Trustee a direction that is inconsistent with the request.</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 Noteholder may not use any provision of this Indenture to disturb or prejudice the rights of another Noteholder or to obtain a preference or priority over another Noteholder.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6.07. No Personal Liability of Directors, Officers, Employees and </w:t>
      </w: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No director, officer, employee, incorporator or stockholder of Parent or of any Subsidiary of Parent, as such, shall have any liability for any obligations of the Issuer or the Guarantors under the Notes, this Indenture, or the Note Guarantees or for any claim based on, in respect of, or by reason of, such obligations or their creation. Each Holder of Notes by accepting a Note waives and releases all such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Rights of Holders To Receive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Notwithstanding any other provision of this Indenture, the right of any Holder of a Note to receive payment of the principal of or premium, if any, or interest, if any, on such Note on or after the respective due dates expressed in such Note, or to bring suit for the enforcement of any such payment, on or after such respective due dates, is absolute and unconditional and shall not be impaired or affected without the consent of the Holder.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6.09.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recover judgment in its own name and as trustee of an express trust against the Issuer or any Guarantor (or any other obligor on the Notes) for the whole amount of unpaid principal and accrued interest remaining unpaid, together with interest on overdue principal and, to the extent that payment of such interest is lawful, interest on overdue installments of interest, in each case at the rate set forth in the Notes, and such further amounts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Noteholders allowed in any judicial proceedings relative to the Issuer or any Guarantor (or any other obligor upon the Notes), its creditors or its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Section 7.07.</w:t>
      </w:r>
    </w:p>
    <w:p>
      <w:pPr>
        <w:spacing w:after="0" w:line="188" w:lineRule="exact"/>
        <w:rPr>
          <w:sz w:val="20"/>
          <w:szCs w:val="20"/>
          <w:color w:val="auto"/>
        </w:rPr>
      </w:pPr>
    </w:p>
    <w:p>
      <w:pPr>
        <w:ind w:right="62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Noteholder any plan or reorganization, arrangement, adjustment or composition affecting the Notes or the rights of any Noteholder thereof, or to authorize the Trustee to vote in respect of the claim of any Noteholder in any such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Six, it shall pay out the money in the following order:</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FIRST: to the Trustee for amounts due under Section 7.07;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70" w:right="439" w:bottom="1440" w:gutter="0" w:footer="0" w:header="0"/>
        </w:sectPr>
      </w:pPr>
    </w:p>
    <w:bookmarkStart w:id="72" w:name="page73"/>
    <w:bookmarkEnd w:id="72"/>
    <w:p>
      <w:pPr>
        <w:ind w:left="440" w:right="1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to Noteholders for amounts due and unpaid on the Notes for principal, premium, if any, and interest, ratably, without preference or priority of any kind, according to the amounts due and payable on the Notes; and</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THIRD: to the Issuer or, to the extent the Trustee collects any amount from any Guarantor, to such Guarantor.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Noteholders pursuant to this Section 6.11.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Noteholder pursuant to Section 6.08 or a suit by Holders of more than 10% in aggregate principal amount of the outstanding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SEVEN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6"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or Event of Default actually known to a Responsible Officer of the Trustee has occurred and is continuing, the Trustee shall exercise such of the rights and powers vested in it by this Indenture and use the same degree of care and skill in their exercise as a prudent person would exercise or use under the same circumstances.</w:t>
      </w:r>
    </w:p>
    <w:p>
      <w:pPr>
        <w:spacing w:after="0" w:line="176"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The Trustee shall not be deemed to have actual knowledge of any Default or Event of Default unless written notice of any event which is in fact such a default is received by the Trustee at the Corporate Trust Office of the Trustee, and such notice references the Notes and this Indenture.</w:t>
      </w:r>
    </w:p>
    <w:p>
      <w:pPr>
        <w:spacing w:after="0" w:line="140" w:lineRule="exact"/>
        <w:rPr>
          <w:sz w:val="20"/>
          <w:szCs w:val="20"/>
          <w:color w:val="auto"/>
        </w:rPr>
      </w:pPr>
    </w:p>
    <w:p>
      <w:pPr>
        <w:ind w:left="1240" w:hanging="253"/>
        <w:spacing w:after="0"/>
        <w:tabs>
          <w:tab w:leader="none" w:pos="12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 Default or an Event of Default of which a Responsible Officer of the Trustee has actual knowledge: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expressly set forth in this Indenture and no others.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3" w:name="page74"/>
    <w:bookmarkEnd w:id="73"/>
    <w:p>
      <w:pPr>
        <w:ind w:left="420" w:firstLine="419"/>
        <w:spacing w:after="0" w:line="254" w:lineRule="auto"/>
        <w:tabs>
          <w:tab w:leader="none" w:pos="109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subject to the requirement in the preceding sentence, if applicable.</w:t>
      </w:r>
    </w:p>
    <w:p>
      <w:pPr>
        <w:spacing w:after="0" w:line="191" w:lineRule="exact"/>
        <w:rPr>
          <w:rFonts w:ascii="Times New Roman" w:cs="Times New Roman" w:eastAsia="Times New Roman" w:hAnsi="Times New Roman"/>
          <w:sz w:val="18"/>
          <w:szCs w:val="18"/>
          <w:color w:val="auto"/>
        </w:rPr>
      </w:pPr>
    </w:p>
    <w:p>
      <w:pPr>
        <w:ind w:left="-20" w:right="780" w:firstLine="987"/>
        <w:spacing w:after="0" w:line="282" w:lineRule="auto"/>
        <w:tabs>
          <w:tab w:leader="none" w:pos="121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4" w:lineRule="exact"/>
        <w:rPr>
          <w:sz w:val="20"/>
          <w:szCs w:val="20"/>
          <w:color w:val="auto"/>
        </w:rPr>
      </w:pPr>
    </w:p>
    <w:p>
      <w:pPr>
        <w:ind w:left="1100" w:hanging="261"/>
        <w:spacing w:after="0"/>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subsection (b) of this Section 7.01.</w:t>
      </w:r>
    </w:p>
    <w:p>
      <w:pPr>
        <w:spacing w:after="0" w:line="117" w:lineRule="exact"/>
        <w:rPr>
          <w:rFonts w:ascii="Times New Roman" w:cs="Times New Roman" w:eastAsia="Times New Roman" w:hAnsi="Times New Roman"/>
          <w:sz w:val="18"/>
          <w:szCs w:val="18"/>
          <w:color w:val="auto"/>
        </w:rPr>
      </w:pPr>
    </w:p>
    <w:p>
      <w:pPr>
        <w:ind w:left="420" w:right="40" w:firstLine="419"/>
        <w:spacing w:after="0" w:line="282" w:lineRule="auto"/>
        <w:tabs>
          <w:tab w:leader="none" w:pos="10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420" w:right="20" w:firstLine="419"/>
        <w:spacing w:after="0" w:line="282" w:lineRule="auto"/>
        <w:tabs>
          <w:tab w:leader="none" w:pos="10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the terms of this Indenture.</w:t>
      </w:r>
    </w:p>
    <w:p>
      <w:pPr>
        <w:spacing w:after="0" w:line="53" w:lineRule="exact"/>
        <w:rPr>
          <w:rFonts w:ascii="Times New Roman" w:cs="Times New Roman" w:eastAsia="Times New Roman" w:hAnsi="Times New Roman"/>
          <w:sz w:val="18"/>
          <w:szCs w:val="18"/>
          <w:color w:val="auto"/>
        </w:rPr>
      </w:pPr>
    </w:p>
    <w:p>
      <w:pPr>
        <w:ind w:left="420" w:right="240" w:firstLine="419"/>
        <w:spacing w:after="0" w:line="282" w:lineRule="auto"/>
        <w:tabs>
          <w:tab w:leader="none" w:pos="10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rights, powers or duties.</w:t>
      </w:r>
    </w:p>
    <w:p>
      <w:pPr>
        <w:spacing w:after="0" w:line="161" w:lineRule="exact"/>
        <w:rPr>
          <w:rFonts w:ascii="Times New Roman" w:cs="Times New Roman" w:eastAsia="Times New Roman" w:hAnsi="Times New Roman"/>
          <w:sz w:val="18"/>
          <w:szCs w:val="18"/>
          <w:color w:val="auto"/>
        </w:rPr>
      </w:pPr>
    </w:p>
    <w:p>
      <w:pPr>
        <w:ind w:left="-20" w:right="140" w:firstLine="987"/>
        <w:spacing w:after="0" w:line="282" w:lineRule="auto"/>
        <w:tabs>
          <w:tab w:leader="none" w:pos="122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subsections (a), (b), (c) and (e) of this Section 7.01 shall govern every provision of this Indenture that in any way relates to the Trustee.</w:t>
      </w:r>
    </w:p>
    <w:p>
      <w:pPr>
        <w:spacing w:after="0" w:line="161" w:lineRule="exact"/>
        <w:rPr>
          <w:rFonts w:ascii="Times New Roman" w:cs="Times New Roman" w:eastAsia="Times New Roman" w:hAnsi="Times New Roman"/>
          <w:sz w:val="18"/>
          <w:szCs w:val="18"/>
          <w:color w:val="auto"/>
        </w:rPr>
      </w:pPr>
    </w:p>
    <w:p>
      <w:pPr>
        <w:ind w:left="-20" w:right="60" w:firstLine="987"/>
        <w:spacing w:after="0" w:line="261" w:lineRule="auto"/>
        <w:tabs>
          <w:tab w:leader="none" w:pos="121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fully indemnified the Trustee to the satisfaction of the Trustee, against the costs, expenses and liabilities which might be incurred by it in compliance with such request or direction (including, but not limited to, the fees and disbursements of agents and attorneys).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60"/>
          </w:cols>
          <w:pgMar w:left="460" w:top="270" w:right="479" w:bottom="1440" w:gutter="0" w:footer="0" w:header="0"/>
        </w:sectPr>
      </w:pPr>
    </w:p>
    <w:bookmarkStart w:id="74" w:name="page75"/>
    <w:bookmarkEnd w:id="74"/>
    <w:p>
      <w:pPr>
        <w:ind w:firstLine="987"/>
        <w:spacing w:after="0" w:line="282" w:lineRule="auto"/>
        <w:tabs>
          <w:tab w:leader="none" w:pos="12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liable for interest on any money received by it except as the Trustee may agree in writing with the Issuer or any Guarantor. Money held in trust by the Trustee need not be segregated from other funds except to the extent required by the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Subject to Section 7.01:</w:t>
      </w:r>
    </w:p>
    <w:p>
      <w:pPr>
        <w:spacing w:after="0" w:line="117" w:lineRule="exact"/>
        <w:rPr>
          <w:sz w:val="20"/>
          <w:szCs w:val="20"/>
          <w:color w:val="auto"/>
        </w:rPr>
      </w:pPr>
    </w:p>
    <w:p>
      <w:pPr>
        <w:ind w:left="440" w:right="160" w:firstLine="419"/>
        <w:spacing w:after="0" w:line="258"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facsimile, .pdf attachment or other electronically transmitted form) believed by it to be genuine and to have been signed or presented by the proper party or parties, whether such document is in original, facsimile, .pdf attachment or other electronically transmitted form; even if it has a monetary limit.</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56"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sole and absolute discretion, may make such further inquiry or investigation into such facts or matters as it may see fit at the sole cost of the Issuer and shall incur no liability or additional liability of any kind by reason of such inquiry or investigation except for liability resulting from the Trustee’s negligence or willful misconduct, and, if the Trustee shall determine to make such further inquiry or investigation, it shall be entitled to examine the books, records and premises of the Issuer, personally or by agent or attorney.</w:t>
      </w:r>
    </w:p>
    <w:p>
      <w:pPr>
        <w:spacing w:after="0" w:line="79"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which shall conform to the provisions of Section 11.05. The Trustee shall be protected and shall not be liable for any action it takes or omits to take in good faith in reliance on such certificate or opinion.</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shall not be responsible for the misconduct or negligence of any attorney or agent appointed by it with due care.</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liable for any action it takes or omits to take in good faith which it reasonably believes to be authorized or within its rights or powers;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Trustee’s conduct does not constitute negligence or willful misconduct.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5" w:name="page76"/>
    <w:bookmarkEnd w:id="75"/>
    <w:p>
      <w:pPr>
        <w:ind w:right="300" w:firstLine="419"/>
        <w:spacing w:after="0" w:line="266" w:lineRule="auto"/>
        <w:tabs>
          <w:tab w:leader="none" w:pos="6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67" w:lineRule="exact"/>
        <w:rPr>
          <w:rFonts w:ascii="Times New Roman" w:cs="Times New Roman" w:eastAsia="Times New Roman" w:hAnsi="Times New Roman"/>
          <w:sz w:val="18"/>
          <w:szCs w:val="18"/>
          <w:color w:val="auto"/>
        </w:rPr>
      </w:pPr>
    </w:p>
    <w:p>
      <w:pPr>
        <w:jc w:val="both"/>
        <w:ind w:firstLine="419"/>
        <w:spacing w:after="0" w:line="266" w:lineRule="auto"/>
        <w:tabs>
          <w:tab w:leader="none" w:pos="6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(including but not limited to as Registrar and as Paying Agent), and each agent, custodian and other person employed to act hereunder.</w:t>
      </w:r>
    </w:p>
    <w:p>
      <w:pPr>
        <w:spacing w:after="0" w:line="67"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Trustee to perform any discretionary act enumerated in this Indenture shall not be construed as a duty, and the Trustee shall not be answerable for other than its own negligence or willful misconduct in the performance of such act.</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from time to time request that the Issuer deliver an Officers’ Certificate setting forth the names of individuals and/or titles of officers authorized at such time to take specified actions pursuant to the Indenture, which Officers’ Certificate may be signed by any persons authorized to sign an Officers’ Certificate, including any person specified as so authorized in any such certificate previously delivered and not superseded.</w:t>
      </w:r>
    </w:p>
    <w:p>
      <w:pPr>
        <w:spacing w:after="0" w:line="7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inquire as to the performance of the covenants of the Issuer.</w:t>
      </w:r>
    </w:p>
    <w:p>
      <w:pPr>
        <w:spacing w:after="0" w:line="117" w:lineRule="exact"/>
        <w:rPr>
          <w:rFonts w:ascii="Times New Roman" w:cs="Times New Roman" w:eastAsia="Times New Roman" w:hAnsi="Times New Roman"/>
          <w:sz w:val="18"/>
          <w:szCs w:val="18"/>
          <w:color w:val="auto"/>
        </w:rPr>
      </w:pPr>
    </w:p>
    <w:p>
      <w:pPr>
        <w:ind w:right="100" w:firstLine="419"/>
        <w:spacing w:after="0" w:line="258" w:lineRule="auto"/>
        <w:tabs>
          <w:tab w:leader="none" w:pos="76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it being understood that the Trustee shall use reasonable best efforts which are consistent with accepted practices in the banking industry to resume performance as soon as practicable under the circumstances.</w:t>
      </w:r>
    </w:p>
    <w:p>
      <w:pPr>
        <w:spacing w:after="0" w:line="75" w:lineRule="exact"/>
        <w:rPr>
          <w:rFonts w:ascii="Times New Roman" w:cs="Times New Roman" w:eastAsia="Times New Roman" w:hAnsi="Times New Roman"/>
          <w:sz w:val="18"/>
          <w:szCs w:val="18"/>
          <w:color w:val="auto"/>
        </w:rPr>
      </w:pPr>
    </w:p>
    <w:p>
      <w:pPr>
        <w:ind w:right="440" w:firstLine="419"/>
        <w:spacing w:after="0" w:line="282" w:lineRule="auto"/>
        <w:tabs>
          <w:tab w:leader="none" w:pos="7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entitled to assume without enquiry, that the Issuer has performed in accordance with all of the provisions in the Indenture, unless notified to the contrary.</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will the Trustee be liable to the Issuer for any consequential loss (being loss of business, goodwill, opportunity or profit), even if advised of the possibility of such loss or damage.</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40"/>
          </w:cols>
          <w:pgMar w:left="880" w:top="270" w:right="479" w:bottom="1440" w:gutter="0" w:footer="0" w:header="0"/>
        </w:sectPr>
      </w:pPr>
    </w:p>
    <w:bookmarkStart w:id="76" w:name="page77"/>
    <w:bookmarkEnd w:id="7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991"/>
        <w:spacing w:after="0" w:line="258"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make loans to, accept deposits from, perform services for or otherwise deal with either the Issuer or any Guarantor, or any Affiliates thereof, with the same rights it would have if it were not Trustee. However, in the event that the Trustee acquires any conflicting interest, it must eliminate such conflict within 90 days, apply to the Commission for permission to continue as Trustee or resign. Any Agent may do the same with like rights. The Trustee shall also be subject to Sections 7.10 and 7.11.</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the Notes or any Note Guarantee, it shall not be accountable for the Issuer’s or any Guarantor’s use of the proceeds from the sale of Notes, it will not be responsible for the use or application of any money received by any Paying Agent (other than itself as Paying Agent) or any money paid to the Issuer or any Guarantor pursuant to the terms of this Indenture and it shall not be responsible for any statement in the Notes, the Note Guarantees or this Indenture other than its certificate of authentication.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and if it is known to a Responsible Officer of the Trustee, the Trustee shall give to each Noteholder a notice of the Default or Event of Default within 90 days after it occurs in the manner and to the extent provided in the TIA and otherwise as provided in this Indenture. Except in the case of a Default or an Event of Default relating to the payment of the principal of or interest on any Note (including payments pursuant to a redemption or repurchase of the Notes pursuant to the provisions of this Indenture) or relating to Article Five of this Indenture, the Trustee may withhold the notice if and so long as a Responsible Officer in good faith determines that withholding the notice is in the interests of Holders.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91"/>
        <w:spacing w:after="0" w:line="276" w:lineRule="auto"/>
        <w:rPr>
          <w:sz w:val="20"/>
          <w:szCs w:val="20"/>
          <w:color w:val="auto"/>
        </w:rPr>
      </w:pPr>
      <w:r>
        <w:rPr>
          <w:rFonts w:ascii="Times New Roman" w:cs="Times New Roman" w:eastAsia="Times New Roman" w:hAnsi="Times New Roman"/>
          <w:sz w:val="17"/>
          <w:szCs w:val="17"/>
          <w:color w:val="auto"/>
        </w:rPr>
        <w:t>If required by TIA § 313(a), within 60 days after March 1 of any year, commencing on the March 1 following the date of this Indenture, the Trustee shall mail to each Noteholder a brief report dated as of such date that complies with TIA § 313(a). The Trustee also shall comply with TIA</w:t>
      </w:r>
    </w:p>
    <w:p>
      <w:pPr>
        <w:spacing w:after="0" w:line="1" w:lineRule="exact"/>
        <w:rPr>
          <w:sz w:val="20"/>
          <w:szCs w:val="20"/>
          <w:color w:val="auto"/>
        </w:rPr>
      </w:pPr>
    </w:p>
    <w:p>
      <w:pPr>
        <w:ind w:left="5364" w:right="3100" w:hanging="5364"/>
        <w:spacing w:after="0" w:line="433" w:lineRule="auto"/>
        <w:tabs>
          <w:tab w:leader="none" w:pos="14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313(b)(2). The Trustee shall also transmit by mail all reports as required by TIA § 313(c) and TIA § 313(d). -66-</w:t>
      </w:r>
    </w:p>
    <w:p>
      <w:pPr>
        <w:sectPr>
          <w:pgSz w:w="11900" w:h="16838" w:orient="portrait"/>
          <w:cols w:equalWidth="0" w:num="1">
            <w:col w:w="11004"/>
          </w:cols>
          <w:pgMar w:left="436" w:top="270" w:right="459" w:bottom="1440" w:gutter="0" w:footer="0" w:header="0"/>
        </w:sectPr>
      </w:pPr>
    </w:p>
    <w:bookmarkStart w:id="77" w:name="page78"/>
    <w:bookmarkEnd w:id="77"/>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Reports pursuant to this Section 7.06 shall be transmitted by mail:</w:t>
      </w:r>
    </w:p>
    <w:p>
      <w:pPr>
        <w:spacing w:after="0" w:line="117" w:lineRule="exact"/>
        <w:rPr>
          <w:sz w:val="20"/>
          <w:szCs w:val="20"/>
          <w:color w:val="auto"/>
        </w:rPr>
      </w:pPr>
    </w:p>
    <w:p>
      <w:pPr>
        <w:ind w:left="1120" w:hanging="261"/>
        <w:spacing w:after="0"/>
        <w:tabs>
          <w:tab w:leader="none" w:pos="1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 Holders of Notes, as the names and addresses of such Holders appear on the Registrar’s books;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Holders of Notes as have, within the two years preceding such transmission, filed their names and addresses with the Trustee for that purpose.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 copy of each report at the time of its mailing to Holders shall be filed with the Commission and each stock exchange on which the Notes are listed. The Issuer shall promptly notify the Trustee, in writing, when the Notes are listed on any stock exchange or delisted therefrom.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Issuer and the Guarantors shall pay to the Trustee from time to time reasonable compensation as agreed upon for its services hereunder (which compensation shall not be limited by any provision of law in regard to the compensation of a trustee of an express trust). The Issuer and the Guarantors shall reimburse the Trustee upon request for all reasonable out-of-pocket disbursements, expenses and advances incurred or made by it in connection with the Trustee’s duties under this Indenture, including, but not limited to, the reasonable compensation, disbursements and expenses of the Trustee’s agents and external counsel and such additional fees as may be applicable in the event of a potential Event of Default, an Event of Default or in relation to the exceptional duties.</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Issuer and the Guarantors, jointly and severally, shall indemnify each of the Trustee and its agents, employees, stockholders, directors and officers and any predecessor Trustee for, and hold each of them harmless against, any and all loss, damage, claim, liability or expense, including without limitation taxes (other than taxes based on the income of the Trustee) and reasonable attorneys’ fees and expenses incurred by each of them in connection with the acceptance or performance of its duties under this Indenture and including the reasonable costs and expenses of defending itself against any claim or liability in connection with the exercise or performance of any of its powers or duties hereunder (including, without limitation, settlement costs). The Trustee shall notify the Issuer and the Guarantors in writing promptly of any claim of which a Responsible Officer of the Trustee has actual knowledge asserted against the Trustee for which it may seek indemnity;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by the Trustee to so notify the Issuer and the Guarantors shall not relieve the Issuer and Guarantors of their obligations hereunder except to the extent the Issuer and the Guarantors are actually prejudiced thereby. In the event that a conflict of interest exists, the Trustee may have separate counsel and the Issuer shall pay the reasonable fees and expenses of such counsel.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8" w:name="page79"/>
    <w:bookmarkEnd w:id="78"/>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the Issuer and the Guarantors need not reimburse the Trustee for any expense or indemnify it against any loss or liability to have been incurred by the Trustee through its own negligence, bad faith or willful misconduct.</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To secure the payment obligations of the Issuer and the Guarantors in this Section 7.07, the Trustee shall have a lien prior to the Notes on all money or property held or collected by the Trustee except for such money or property held in trust to pay principal of and interest on particular Notes. Such lien shall survive the satisfaction and discharge of this Indenture.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obligations of the Issuer and the Guarantors under this Section 7.07 to compensate and indemnify the Trustee and each predecessor Trustee and to pay or reimburse the Trustee and each predecessor Trustee for expenses, disbursements and advances shall be joint and several liabilities of the Issuer and each of the Guarantors and shall survive the resignation or removal of the Trustee and the satisfaction, discharge or other termination of this Indenture, including any termination or rejection hereof under any Bankruptcy Law.</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 (7) occurs, the expenses and the compensation for the services are intended to constitute expenses of administration under any applicable Bankruptcy Law.</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Section 7.07, the term “Trustee” shall include any trustee appointed pursuant to this Article Seven. The provisions of this Section 7.07 shall apply to Trustee in its capacity as Paying Agent, Transfer Agent or Registrar and any other Agent under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this Section 7.07 shall survive the satisfaction and discharge of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Trustee may resign at any time by so notifying the Issuer and the Guarantors in writing. The Holders of a majority in principal amount of the outstanding Notes may remove the Trustee by notifying the Issuer and the removed Trustee in writing and may appoint a successor Trustee with the Issuer’s written consent, which consent shall not be unreasonably withheld. The Issuer may remove the Trustee at their election if:</w:t>
      </w:r>
    </w:p>
    <w:p>
      <w:pPr>
        <w:spacing w:after="0" w:line="68" w:lineRule="exact"/>
        <w:rPr>
          <w:sz w:val="20"/>
          <w:szCs w:val="20"/>
          <w:color w:val="auto"/>
        </w:rPr>
      </w:pPr>
    </w:p>
    <w:p>
      <w:pPr>
        <w:ind w:left="1120" w:hanging="261"/>
        <w:spacing w:after="0"/>
        <w:tabs>
          <w:tab w:leader="none" w:pos="11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5360" w:right="40" w:hanging="4501"/>
        <w:spacing w:after="0" w:line="454" w:lineRule="auto"/>
        <w:tabs>
          <w:tab w:leader="none" w:pos="11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 -68-</w:t>
      </w:r>
    </w:p>
    <w:p>
      <w:pPr>
        <w:sectPr>
          <w:pgSz w:w="11900" w:h="16838" w:orient="portrait"/>
          <w:cols w:equalWidth="0" w:num="1">
            <w:col w:w="11000"/>
          </w:cols>
          <w:pgMar w:left="440" w:top="270" w:right="459" w:bottom="1440" w:gutter="0" w:footer="0" w:header="0"/>
        </w:sectPr>
      </w:pPr>
    </w:p>
    <w:bookmarkStart w:id="79" w:name="page80"/>
    <w:bookmarkEnd w:id="79"/>
    <w:p>
      <w:pPr>
        <w:ind w:left="1120" w:hanging="261"/>
        <w:spacing w:after="0"/>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receiver or other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shall promptly appoint a successor Trustee.</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If a successor Trustee does not take office within 60 days after the retiring Trustee resigns or is removed, the retiring Trustee, the Issuer or the Holders of a majority in principal amount of the outstanding Notes may petition at the expense of the Issuer any court of competent jurisdiction for the appointment of a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retiring Trustee resigns and a court has not appointed a successor within 60 days, such retiring Trustee may appoint a successor that meets the eligibility requirements of Section 7.10.</w:t>
      </w:r>
    </w:p>
    <w:p>
      <w:pPr>
        <w:spacing w:after="0" w:line="18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If the Trustee fails to comply with Section 7.10, Noteholders holding at least 10% in principal amount of the Notes may petition any court of competent jurisdiction for the removal of the Trustee and the appointment of a successor Trustee.</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Issuer. Immediately following such delivery, the retiring Trustee shall, subject to its rights under Section 7.07,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Noteholder. Notwithstanding replacement of the Trustee pursuant to this Section 7.08, the Issuer’s obligations under Section 7.07 shall continue for the benefit of the retiring Trustee.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Successor Trustee by Consolidation,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any corporation with which the Trustee may be consolidated, or any corporation resulting from any merger, conversion or consolidation to which the Trustee shall be a party, or any corporation, including affiliated corporations, to which the Trustee shall sell or otherwise transfer: (a) all or substantially all of its assets or (b) all or substantially all of its corporate trust business shall, on the date when the merger, conversion, consolidation or transfer becomes effective and to the extent permitted by any applicable laws and subject to the requirements set forth in Section 7.10 of this Indenture become the successor Trustee under this Indenture without the execution or filing of any paper or any further act on the part of the parties to this Indenture, unless otherwise required by the Issuer, and after the said effective date all references in this Indenture to the Trustee shall be deemed to be references to such successor corporation. Written notice of any such merger, conversion, consolidation or transfer shall immediately be given to the Issuer by the Trustee.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This Indenture shall always have a Trustee who satisfies the requirements of TIA § 310(a)(1) and (2) in every respect. The Trustee shall have a combined capital and surplus of at least $100,000,000 as set forth in the most recent applicable published annual report of condition. The Trustee shall comply with TIA § 310(b);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shall be excluded from the operation of TIA § 310(b)(1) any indenture or indentures under which other securities or certificates of interest or participation in other securities of the Issuer are outstanding if the requirements for such exclusion set forth in TIA § 310(b)(1) are met.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Trustee is subject to and shall comply with TIA § 311(a), excluding any creditor relationship listed in TIA § 311(b). A Trustee who has resigned or been removed shall be subject to TIA § 311(a) to the extent indicated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shall cause each Paying Agent other than the Trustee or other parties to this Indenture to execute and deliver to it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 instrument in which such Paying Agent shall agree with the Trustee, subject to the provisions of this Section 7.12:</w:t>
      </w:r>
    </w:p>
    <w:p>
      <w:pPr>
        <w:spacing w:after="0" w:line="99" w:lineRule="exact"/>
        <w:rPr>
          <w:sz w:val="20"/>
          <w:szCs w:val="20"/>
          <w:color w:val="auto"/>
        </w:rPr>
      </w:pPr>
    </w:p>
    <w:p>
      <w:pPr>
        <w:ind w:left="440" w:right="120" w:firstLine="419"/>
        <w:spacing w:after="0" w:line="282" w:lineRule="auto"/>
        <w:tabs>
          <w:tab w:leader="none" w:pos="115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agent for the payment of principal of, or premium, if any, or interest on, the Notes (whether such sums have been paid to it by the Issuer or by any obligor on the Notes) in trust for the benefit of Holders of the Notes or the Trustee;</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4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4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written notice within three Business Days of any failure of the Issuer (or by any obligor on the Notes) in the payment of any installment of the principal of, premium, if any, or interest on, the Notes when the same shall be due and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In no event shall the Agent or any other entity of U.S. Bank Trust Company, National Association be liable for any Losses arising to the Agent or any other entity of U.S. Bank Trust Company, National Association receiving or transmitting any data from any Issuer, any Authorized Person or any party to the transaction via any non-secure method of transmission or communication, such as, but without limitation, by facsimile or email.</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40"/>
          </w:cols>
          <w:pgMar w:left="440" w:top="270" w:right="519" w:bottom="1440" w:gutter="0" w:footer="0" w:header="0"/>
        </w:sectPr>
      </w:pPr>
    </w:p>
    <w:bookmarkStart w:id="81" w:name="page82"/>
    <w:bookmarkEnd w:id="81"/>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accept that some methods of communication are not secure and the Agent or any other entity of U.S. Bank Trust Company, National Association shall incur no liability for receiving instructions via any such non-secure method. Agent and Trustee shall have the right to accept and act upon any notice, instruction, or other communication, including any funds transfer instruction, (each, a “Notice”) received pursuant to this Indenture by electronic transmission (including by e-mail, facsimile transmission, web portal or other electronic methods), and shall not have any duty to confirm that the person sending such Notice is, in fact, a person authorized to do so. Electronic signatures believed by Agent or Trustee to comply with the ESIGN Act of 2000 or other applicable law (including electronic images of handwritten signatures and digital signatures provided by DocuSign, Orbit, Adobe Sign or any other digital signature provider identified by any other party hereto and acceptable to Agent or Trustee) shall be deemed original signatures for all purposes. Each other party to this Indenture assumes all risks arising out of the use of electronic signatures and electronic methods to send Notices to Agent and Trustee, including without limitation the risk of Agent or Trustee acting on an unauthorized Notice and the risk of interception or misuse by third parties. Notwithstanding the foregoing, Agent or Trustee may in any instance and in its sole discretion require that a Notice in the form of an original document bearing a manual signature be delivered to Agent or Trustee in lieu of, or in addition to, any such electronic Notice.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EIGHT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Without Consent of Noteholders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Notwithstanding Section 8.02, the Issuer and Trustee may modify and amend this Indenture, the Notes or the Note Guarantees without the consent of any Holder for any of the following purposes:</w:t>
      </w:r>
    </w:p>
    <w:p>
      <w:pPr>
        <w:spacing w:after="0" w:line="54" w:lineRule="exact"/>
        <w:rPr>
          <w:sz w:val="20"/>
          <w:szCs w:val="20"/>
          <w:color w:val="auto"/>
        </w:rPr>
      </w:pPr>
    </w:p>
    <w:p>
      <w:pPr>
        <w:ind w:left="1120" w:hanging="261"/>
        <w:spacing w:after="0"/>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Physical Notes;</w:t>
      </w:r>
    </w:p>
    <w:p>
      <w:pPr>
        <w:spacing w:after="0" w:line="117" w:lineRule="exact"/>
        <w:rPr>
          <w:rFonts w:ascii="Times New Roman" w:cs="Times New Roman" w:eastAsia="Times New Roman" w:hAnsi="Times New Roman"/>
          <w:sz w:val="18"/>
          <w:szCs w:val="18"/>
          <w:color w:val="auto"/>
        </w:rPr>
      </w:pPr>
    </w:p>
    <w:p>
      <w:pPr>
        <w:ind w:left="440" w:right="820" w:firstLine="419"/>
        <w:spacing w:after="0" w:line="282"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any Guarantor’s obligations to the Holders of Notes in the case of a merger or consolidation or sale of all or substantially all of the Issuer’s or such Guarantor’s assets;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60"/>
          </w:cols>
          <w:pgMar w:left="440" w:top="270" w:right="499" w:bottom="1440" w:gutter="0" w:footer="0" w:header="0"/>
        </w:sectPr>
      </w:pPr>
    </w:p>
    <w:bookmarkStart w:id="82" w:name="page83"/>
    <w:bookmarkEnd w:id="82"/>
    <w:p>
      <w:pPr>
        <w:ind w:left="440" w:right="20" w:firstLine="419"/>
        <w:spacing w:after="0" w:line="266"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conform the text of the Indenture, Note Guarantees or the Notes to any provision of the “Description of the Notes” contained in the Offering Memorandum to the extent that such provision in the “Description of the Notes” contained in the Offering Memorandum was intended to be a verbatim recitation of a provision of this Indenture, Note Guarantees or the Notes;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Guarantor or release any Guarantor from its Note Guarantee if such release is in accordance with the terms of this Indenture;</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Issuer and the Guarantors for the benefit of the Holders of the Notes or to surrender any right or power conferred upon the Issuer and the Guarantors;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confirm the issuance of Additional Notes;</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or that does not adversely affect the rights under this Indenture of any Holder in any material respect; or</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this Indenture under the TIA.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With Consent of Noteholders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provided in Section 8.01 and subsection (b) of this Section 8.02, this Indenture, the Notes or the Note Guarantees may be amended with the consent of the Holders of at least a majority in principal amount of the then outstanding Notes voting as a single class (including, without limitation, consents obtained in connection with a purchase of, tender offer or exchange offer for Notes), and any existing Default or compliance with any provision of this Indenture, the Notes or the Note Guarantees may be waived with the consent of the Holders of at least a majority in principal amount of the then outstanding Notes voting as a single class (including, without limitation, consents obtained in connection with a purchase of, tender offer or exchange offer for Notes).</w:t>
      </w:r>
    </w:p>
    <w:p>
      <w:pPr>
        <w:spacing w:after="0" w:line="187"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8.02, without the consent of each Holder of Notes issued under this Indenture, an amendment or waiver may not (with respect to any Note held by a non-consenting Holder):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issued under this Indenture whose Holders must consent to an amendment, supplement or waiver;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3" w:name="page84"/>
    <w:bookmarkEnd w:id="83"/>
    <w:p>
      <w:pPr>
        <w:ind w:left="440" w:right="60" w:firstLine="419"/>
        <w:spacing w:after="0" w:line="281" w:lineRule="auto"/>
        <w:tabs>
          <w:tab w:leader="none" w:pos="111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reduce the principal amount of or change the Maturity Date of any Notes, or alter the provisions with respect to the redemption of any such Notes other than, except as set forth in clause (7) below, the provisions of Section 4.08 of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56"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currency other than that stated in such Note;</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of this Indenture relating to the waiver of past Defaults or the rights of Holders of the Notes issued hereunder to receive payments of principal of or interest and Additional Amounts, if any, on the Notes;</w:t>
      </w:r>
    </w:p>
    <w:p>
      <w:pPr>
        <w:spacing w:after="0" w:line="53" w:lineRule="exact"/>
        <w:rPr>
          <w:rFonts w:ascii="Times New Roman" w:cs="Times New Roman" w:eastAsia="Times New Roman" w:hAnsi="Times New Roman"/>
          <w:sz w:val="18"/>
          <w:szCs w:val="18"/>
          <w:color w:val="auto"/>
        </w:rPr>
      </w:pPr>
    </w:p>
    <w:p>
      <w:pPr>
        <w:jc w:val="both"/>
        <w:ind w:left="440" w:right="260" w:firstLine="419"/>
        <w:spacing w:after="0" w:line="266"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Issuer’s obligation to purchase Notes arises hereunder, amend, change or modify in any material respect the obligation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Parent, Crown or any other Guarantor that is a Significant Subsidiary from any of its obligations under its Note Guarantee or this Indenture otherwise than in accordance with the terms of this Indenture; or</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change any provision of this Indenture affecting the ranking of the Notes or Note Guarantees in a manner adverse to the Holders of Notes.</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the consent of the Holders of Notes under this Section 8.02 to approve the particular form of any proposed amendment, supplement or waiver, but it shall be sufficient if such consent approves the substance thereof.</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or waiver under Section 8.01 or this Section 8.02 becomes effective, the Issuer shall send to the Holders affected thereby a notice briefly describing the amendment, supplement or waiver. The Issuer may elect in its sole discretion to have the Trustee mail such notice prepared by the Issuer on the Issuer’s behalf and at the Issuer’s sole expense. Any failure of the Issuer to send such notice, or any defect therein, shall not, however, in any way impair or affect the validity of any such amendment, supplement or waiver.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Every amendment or supplement to this Indenture, the Notes or the Note Guarantees shall comply with the TIA as then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87"/>
        <w:spacing w:after="0" w:line="266"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Noteholders at such record date (or their duly designated proxies), and only such Persons, shall be entitled to consent to such amendment, supplement, or waiver or to revoke any consent previously given, whether or not such Persons continue to be Noteholders after such record date. No such consent shall be valid or effective for more than 90 days after such record date unless the consent of the requisite number of Noteholders has been obtained.</w:t>
      </w:r>
    </w:p>
    <w:p>
      <w:pPr>
        <w:spacing w:after="0" w:line="183"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waiver or other action under Section 8.01 or Section 8.02 becomes effective, it shall bind every Noteholder, unless it makes a change described in any of clauses (1) through (9) of Section 8.02(b). In that case the amendment, supplement, waiver or other action shall bind each Noteholder who has consented to it and every subsequent Noteholder or portion of a Note that evidences the same debt as the consenting Holder’s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Noteholder. Alternatively, if the Issuer or the Trustee so determines, the Issuer in exchange for the Note shall issue, the Guarantors shall endorse and, upon receipt of a written order of the Issuer in the form of an Officers’ Certificate in accordance with Section 2.01, the Trustee shall authenticate a new Note that reflects the changed terms. Failure to make the appropriate notation or issue a new Note shall not affect the validity and effect of such amendment, supplement or waiver.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8.06. </w:t>
      </w:r>
      <w:r>
        <w:rPr>
          <w:rFonts w:ascii="Times New Roman" w:cs="Times New Roman" w:eastAsia="Times New Roman" w:hAnsi="Times New Roman"/>
          <w:sz w:val="18"/>
          <w:szCs w:val="18"/>
          <w:u w:val="single" w:color="auto"/>
          <w:color w:val="auto"/>
        </w:rPr>
        <w:t>Trustee To Sign Amendments,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Trustee shall sign any amendment, supplement or waiver authorized pursuant to this Article Eight if the amendment, supplement or waiver does not affect the rights, duties, liabilities or immunities of the Trustee. If it does affect the rights, duties, liabilities or immunities of the Trustee, the Trustee may, but need not, sign such amendment, supplement or waiver. Notwithstanding anything herein to the contrary, in signing or refusing to sign an amendment, supplement or waiver the Trustee shall be entitled to receive and, subject to Section 7.01, shall be fully protected in relying upon an Officers’ Certificate and an Opinion of Counsel stating, in addition to the matters required by Section 11.04, that such amendment, supplement or waiver is authorized or permitted by this Indenture and is a legal, valid and binding obligation of the Issuer and the Guarantors, enforceable against the Issuer and the Guarantors in accordance with its terms (subject to customary exceptions).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NINE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DISCHARGE OF INDENTURE; DEFEASANCE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the Notes and the Note Guarantees, and the Trustee, at the expense of the Issuer, will execute proper instruments acknowledging satisfaction and discharge of this Indenture, the Notes and the Note Guarantees, when all amounts due to the Trustee shall have been paid and either:</w:t>
      </w:r>
    </w:p>
    <w:p>
      <w:pPr>
        <w:spacing w:after="0" w:line="68" w:lineRule="exact"/>
        <w:rPr>
          <w:sz w:val="20"/>
          <w:szCs w:val="20"/>
          <w:color w:val="auto"/>
        </w:rPr>
      </w:pPr>
    </w:p>
    <w:p>
      <w:pPr>
        <w:ind w:left="440" w:right="160" w:firstLine="419"/>
        <w:spacing w:after="0" w:line="282"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delivers to the Trustee all outstanding Notes issued under this Indenture (other than Notes which have been replaced because of mutilation, loss, destruction or wrongful taking as provided in Section 2.08 hereof) for cancellation; or</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Notes outstanding under this Indenture (I) have become due and payable, whether at maturity or as a result of the sending of a notice of redemption,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Euro, EU Government Obligations or a combination thereof in such amounts as will be sufficient, in the opinion of a nationally recognized firm of independent public accountants, to pay the principal of, premium, if any, and interest on the Notes outstanding under this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6" w:name="page87"/>
    <w:bookmarkEnd w:id="86"/>
    <w:p>
      <w:pPr>
        <w:ind w:left="44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on the maturity date or on the applicable optional redemption date, as the case may be; (b) no Default or Event of Default shall have occurred and be continuing on the date of such deposit or shall occur as a result of such deposit and such deposit shall not result in a breach or violation of, or constitute a default under, any other instrument to which the Issuer or any Guarantor is a party or by which the Issuer or any Guarantor is bound; (c) the Issuer or any Guarantor has paid or caused to be paid all sums payable by the Issuer or any Guarantor under this Indenture; and (d) the Issuer has delivered (I) irrevocable instructions to the Trustee under this Indenture to apply the deposited money toward the payment of the Notes at maturity or the redemption date, as the case may be, and (II) an Officers’ Certificate and an Opinion of Counsel each stating that all conditions precedent herein provided for relating to the satisfaction and discharge of this Indenture have been complied with and that such satisfaction and discharge does not result in a default under any agreement or instrument then known to such counsel which binds or affects the Issuer.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shall acknowledge satisfaction and discharge of this Indenture on demand of and at the expense of the Issuer.</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Issuer in Article Two and in Sections 4.01, 4.02, 7.07, 9.05 and 9.06 shall survive such satisfaction and discharge.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Issuer may, at its option and at any time, elect to have its obligations and the obligations of the Guarantors discharged with respect to the outstanding Notes on a date the conditions set forth in Section 9.04 are satisfied (hereinafter,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For this purpose, such Legal Defeasance means that the Issuer will be deemed to have paid and discharged the entire indebtedness represented by the outstanding Notes and to have satisfied all their other obligations under such Notes and this Indenture insofar as such Notes are concerned (and the Trustee, at the expense of the Issuer, shall, subject to Section 9.06, execute instruments in form and substance reasonably satisfactory to the Trustee and the Issuer acknowledging the same), except for the following which shall survive until otherwise terminated or discharged hereunder: (1) the rights of Holders of outstanding Notes to receive solely from the trust funds described in Section 9.04 and as more fully set forth in Section 9.04, payments in respect of the principal of, premium, if any, and interest on such Notes when such payments are due, (2) the Issuer’s obligations with respect to such Notes under Article Two and Sections 4.02, 4.03 and 4.05, (3) the rights, powers, trusts, duties, and immunities of the Trustee hereunder (including claims of, or payments to, the Trustee under or pursuant to Section 7.07) and the Issuer’s obligations in connection therewith and (4) this Article Nine.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7" w:name="page88"/>
    <w:bookmarkEnd w:id="87"/>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Concurrently with any Legal Defeasance, the Issuer may, at its further option, cause to be terminated, as of the date on which such Legal Defeasance occurs, all of the obligations under any or all of the Note Guarantees, if any, then existing and obtain the release of the Note Guarantees of any or all Guarantors. In order to exercise such option regarding a Note Guarantee, the Issuer shall provide the Trustee with written notice of its desire to terminate such Note Guarantee prior to the delivery of the Opinions of Counsel referred to in Section 9.04.</w:t>
      </w:r>
    </w:p>
    <w:p>
      <w:pPr>
        <w:spacing w:after="0" w:line="180"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Nine, the Issuer may exercise its option under this Section 9.02 with respect to the Notes notwithstanding the prior exercise of its option under Section 9.03 below with respect to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Issuer may, at its option and at any time, elect to have their obligations and the obligations of the Guarantors under Sections 4.08, 4.11, 4.15, 4.16 and 4.17 (except for obligations mandated by the TIA) and clause (3) of Section 5.01(a) released with respect to the outstanding Notes on a date the conditions set forth in Section 9.04 are satisfied (hereinafter,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For this purpose, Covenant Defeasance means that, with respect to the outstanding Notes, the Issuer may fail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the Notes and the Note Guarantees shall be unaffected thereby. In addition, upon the Issuer’s exercise of the option in this Section 9.03, subject to the satisfaction of the conditions set forth in Section 9.04, Sections 6.01(3), (4), (5) and (6) shall not constitute Events of Default.</w:t>
      </w:r>
    </w:p>
    <w:p>
      <w:pPr>
        <w:spacing w:after="0" w:line="188"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discharge or release of any obligations under this Indenture pursuant to Section 9.02 or this Section 9.03, the Issuer’s obligations in Article Two and Sections 7.07, 9.05, 9.06, 9.07 and 9.08 shall survive until such time as the Notes have been paid in full. Thereafter, the Issuer’s obligations in Sections 7.07, 9.05, 9.07 and 9.08 shall survive.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shall be the conditions to application of Section 9.02 or Section 9.03 to the outstanding Notes:</w:t>
      </w:r>
    </w:p>
    <w:p>
      <w:pPr>
        <w:spacing w:after="0" w:line="117" w:lineRule="exact"/>
        <w:rPr>
          <w:sz w:val="20"/>
          <w:szCs w:val="20"/>
          <w:color w:val="auto"/>
        </w:rPr>
      </w:pPr>
    </w:p>
    <w:p>
      <w:pPr>
        <w:ind w:left="440" w:right="60" w:firstLine="419"/>
        <w:spacing w:after="0" w:line="256"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of the Notes issued under this Indenture, cash in Euros, EU Government Obligations or a combination thereof in such amounts as will be sufficient, in the opinion of a nationally recognized firm of independent public accountants (such opinion shall be addressed and delivered to the Trustee, and upon which the Trustee shall have no liability in relying), to pay the principal, premium, if any, and interest on the Notes outstanding under this Indenture on the stated maturity date or on the applicable optional redemption date, as the case may be, and the Issuer must specify whether such Notes are being defeased to maturity or to a particular redemption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8" w:name="page89"/>
    <w:bookmarkEnd w:id="88"/>
    <w:p>
      <w:pPr>
        <w:ind w:firstLine="419"/>
        <w:spacing w:after="0" w:line="255" w:lineRule="auto"/>
        <w:tabs>
          <w:tab w:leader="none" w:pos="6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Legal Defeasance, the Issuer shall have delivered to the Trustee an Opinion of Counsel in the United States (upon which the Trustee shall have no liability in relying) confirming that (a) the Issuer has received from, or there has been published by, the Internal Revenue Service a ruling or (b) since the date of this Indenture, there has been a change in the applicable U.S. federal income tax law, in either case to the effect that, and based thereon such Opinion of Counsel shall confirm that, the beneficial owners of the Notes outstanding under this Indenture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80" w:lineRule="exact"/>
        <w:rPr>
          <w:rFonts w:ascii="Times New Roman" w:cs="Times New Roman" w:eastAsia="Times New Roman" w:hAnsi="Times New Roman"/>
          <w:sz w:val="18"/>
          <w:szCs w:val="18"/>
          <w:color w:val="auto"/>
        </w:rPr>
      </w:pPr>
    </w:p>
    <w:p>
      <w:pPr>
        <w:ind w:right="220" w:firstLine="419"/>
        <w:spacing w:after="0" w:line="258" w:lineRule="auto"/>
        <w:tabs>
          <w:tab w:leader="none" w:pos="6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shall have delivered to the Trustee an Opinion of Counsel in the United States (upon which the Trustee shall have no liability in relying) confirming that the beneficial owners of the Notes outstanding under this Indenture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75"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right="400" w:firstLine="419"/>
        <w:spacing w:after="0" w:line="266" w:lineRule="auto"/>
        <w:tabs>
          <w:tab w:leader="none" w:pos="6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to which Parent or any of its Subsidiaries is a party or by which Parent or any of its Subsidiaries is bound;</w:t>
      </w:r>
    </w:p>
    <w:p>
      <w:pPr>
        <w:spacing w:after="0" w:line="67" w:lineRule="exact"/>
        <w:rPr>
          <w:rFonts w:ascii="Times New Roman" w:cs="Times New Roman" w:eastAsia="Times New Roman" w:hAnsi="Times New Roman"/>
          <w:sz w:val="18"/>
          <w:szCs w:val="18"/>
          <w:color w:val="auto"/>
        </w:rPr>
      </w:pPr>
    </w:p>
    <w:p>
      <w:pPr>
        <w:ind w:right="140" w:firstLine="419"/>
        <w:spacing w:after="0" w:line="261" w:lineRule="auto"/>
        <w:tabs>
          <w:tab w:leader="none" w:pos="6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applicable Bankruptcy Law;</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40"/>
          </w:cols>
          <w:pgMar w:left="880" w:top="270" w:right="479" w:bottom="1440" w:gutter="0" w:footer="0" w:header="0"/>
        </w:sectPr>
      </w:pPr>
    </w:p>
    <w:bookmarkStart w:id="89" w:name="page90"/>
    <w:bookmarkEnd w:id="89"/>
    <w:p>
      <w:pPr>
        <w:ind w:left="440" w:right="220" w:firstLine="419"/>
        <w:spacing w:after="0" w:line="266" w:lineRule="auto"/>
        <w:tabs>
          <w:tab w:leader="none" w:pos="11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must deliver to the Trustee an Officers’ Certificate (upon which the Trustee shall have no liability in relying) stating that the deposit was not made by the Issuer with the intent of preferring the Holders of Notes issued under this Indenture over the other creditors of the Issuer with the intent of defeating, hindering, delaying or defrauding creditors of the Issuer or others; and</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Deposited Money and EU Government Obligations To Be Held in Trust.</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All money and EU Government Obligations (including the proceeds thereof) deposited with the Trustee pursuant to Sections 9.01 and 9.04 in respect of the outstanding Notes shall be held in trust and applied by the Trustee, in accordance with the provisions of such Notes and this Indenture, to the payment, either directly or through any Paying Agents, to the Holders of such Notes, of all sums due and to become due thereon in respect of principal, premium, if any, and accrued interest, but such money need not be segregated from other funds except to the extent required by law.</w:t>
      </w:r>
    </w:p>
    <w:p>
      <w:pPr>
        <w:spacing w:after="0" w:line="164" w:lineRule="exact"/>
        <w:rPr>
          <w:sz w:val="20"/>
          <w:szCs w:val="20"/>
          <w:color w:val="auto"/>
        </w:rPr>
      </w:pPr>
    </w:p>
    <w:p>
      <w:pPr>
        <w:ind w:right="140" w:firstLine="991"/>
        <w:spacing w:after="0" w:line="289" w:lineRule="auto"/>
        <w:rPr>
          <w:sz w:val="20"/>
          <w:szCs w:val="20"/>
          <w:color w:val="auto"/>
        </w:rPr>
      </w:pPr>
      <w:r>
        <w:rPr>
          <w:rFonts w:ascii="Times New Roman" w:cs="Times New Roman" w:eastAsia="Times New Roman" w:hAnsi="Times New Roman"/>
          <w:sz w:val="17"/>
          <w:szCs w:val="17"/>
          <w:color w:val="auto"/>
        </w:rPr>
        <w:t>The Issuer and the Guarantors shall (on a joint and several basis) pay and indemnify the Trustee against any tax, fee or other charge imposed on or assessed against the EU Government Obligations deposited pursuant to Sections 9.01 and 9.04 or the principal, premium, if any, and interest received in respect thereof other than any such tax, fee or other charge which by law is for the account of the Holders of the outstanding Notes.</w:t>
      </w:r>
    </w:p>
    <w:p>
      <w:pPr>
        <w:spacing w:after="0" w:line="158" w:lineRule="exact"/>
        <w:rPr>
          <w:sz w:val="20"/>
          <w:szCs w:val="20"/>
          <w:color w:val="auto"/>
        </w:rPr>
      </w:pPr>
    </w:p>
    <w:p>
      <w:pPr>
        <w:ind w:right="280" w:firstLine="991"/>
        <w:spacing w:after="0" w:line="281" w:lineRule="auto"/>
        <w:rPr>
          <w:sz w:val="20"/>
          <w:szCs w:val="20"/>
          <w:color w:val="auto"/>
        </w:rPr>
      </w:pPr>
      <w:r>
        <w:rPr>
          <w:rFonts w:ascii="Times New Roman" w:cs="Times New Roman" w:eastAsia="Times New Roman" w:hAnsi="Times New Roman"/>
          <w:sz w:val="17"/>
          <w:szCs w:val="17"/>
          <w:color w:val="auto"/>
        </w:rPr>
        <w:t>Anything in this Article Nine to the contrary notwithstanding, the Trustee shall deliver or pay to the Issuer from time to time upon a request of the Issuer any money or EU Government Obligations held by it as provided in Sections 9.01 and 9.04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Legal Defeasance or Covenant Defeasance.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any Paying Agent is unable to apply any money or EU Government Obligations in accordance with Section 9.01, 9.02 or 9.03 by reason of any legal proceeding or by reason of any order or judgment of any court or governmental authority enjoining, restraining or otherwise prohibiting such application, the Issuer’s and each Guarantor’s obligations under this Indenture, the Notes and the Note Guarantees shall be revived and reinstated as though no deposit had occurred pursuant to this Article Nine until such time as the Trustee or such Paying Agent is permitted to apply all such money or EU Government Obligations in accordance with Section 9.01, 9.02 or 9.03;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or the Guarantors have made any payment of principal of, premium, if any, or accrued interest on any Notes because of the reinstatement of their obligations, the Issuer or the Guarantors, as the case may be, shall be subrogated to the rights of the Holders of such Notes to receive such payment from the money or EU Government Obligations held by the Trustee or any Paying Agent.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Moneys Held by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and EU Government Obligations then held by any Paying Agent under the provisions of this Indenture shall, upon written demand of the Issuer, be paid or delivered to the Trustee, or if sufficient moneys and EU Government Obligations have been deposited pursuant to Section 9.04, to the Issuer upon a request of the Issuer (or, if such moneys and EU Government Obligations had been deposited by the Guarantors, to such Guarantors), and thereupon such Paying Agent shall be released from all further liability with respect to such moneys.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Moneys Held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Any moneys and EU Government Obligations deposited with the Trustee or any Paying Agent or then held by the Issuer or the Guarantors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or returned to the Issuer (or, if appropriate, the Guarantors) upon a request of the Issuer, or if such moneys and EU Government Obligations are then held by the Issuer or the Guarantors in trust, such moneys and EU Government Obligations shall be released from such trust; and the Holder of such Note entitled to receive such payment shall thereafter, as an unsecured general creditor, look only to the Issuer and the Guarantors for the payment thereof, and all liability of the Trustee or such Paying Agent with respect to such trust moneys and EU Government Obligations shall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or any such Paying Agent, before being required to make any such repayment, may, at the expense of the Issuer and the Guarantors, either mail to each Noteholder affected, at the address shown in the register of the Notes maintained by the Registrar pursuant to</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1" w:name="page92"/>
    <w:bookmarkEnd w:id="9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2.06, or cause to be published once a week for two successive weeks, in one newspaper published in the English language, customarily published each Business Day and of general circulation in The City of New York, the State of New York, and in one newspaper published in the English language, customarily published each Business Day and of general circulation in London, England, a notice that such moneys and EU Government Obligations remains unclaimed and that, after a date specified therein, which shall not be less than 30 days from the date of such mailing or publication, any unclaimed balance of such moneys and EU Government Obligations then remaining will be repaid or returned to the Issuer. After payment or return to the Issuer or the Guarantors or the release of any moneys and EU Government Obligations held in trust by the Issuer or any Guarantors, as the case may be, Holders entitled thereto must look only to the Issuer and the Guarantors for payment as general creditors unless applicable abandoned property law designates another Person.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TEN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GUARANTEE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Subject to the provisions of this Article Ten, the Guarantors, by execution of this Indenture, jointly and severally, unconditionally guarantee to each Holder (i) the due and punctual payment of the principal of, premium, if any, and interest on each Note, when and as the same shall become due and payable, whether at maturity, by acceleration or otherwise, the due and punctual payment of interest on the overdue principal of and interest on the Notes, to the extent lawful, and the due and punctual payment of all other obligations and due and punctual performance of all obligations of the Issuer to the Holders or the Trustee all in accordance with the terms of such Note and this Indenture and (ii) in the case of any extension of time of payment or renewal of any Notes or any of such other obligations, that the same will be promptly paid in full when due or performed in accordance with the terms of the extension or renewal, at stated maturity, by acceleration or otherwise. Each Guarantor, by execution of this Indenture, agrees that, subject only to the applicable provisions, if any, of Section 10.06, its obligations hereunder shall be absolute and unconditional, irrespective of, and shall be unaffected by, any invalidity, irregularity or unenforceability of any such Note or this Indenture, any failure to enforce the provisions of any such Note or this Indenture, any waiver, modification or indulgence granted to the Issuer with respect thereto by the Holder of such Note, or any other circumstances which may otherwise constitute a legal or equitable discharge of a surety or such Guarantor.</w:t>
      </w:r>
    </w:p>
    <w:p>
      <w:pPr>
        <w:spacing w:after="0" w:line="19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Each Guarantor hereby waives diligence, presentment, demand for payment, filing of claims with a court in the event of merger or bankruptcy of the Issuer, any right to require a proceeding first against the Issuer, protest or notice with respect to any such Note or the Indebtedness evidenced thereby and all demands whatsoever, and covenants that this Guarantee will not be discharged as to any such Note except by payment in full of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2" w:name="page93"/>
    <w:bookmarkEnd w:id="9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thereof and interest thereon. Each Guarantor hereby agrees that, as between such Guarantor, on the one hand, and the Holders and the Trustee, on the other hand, (i) the maturity of the obligations guaranteed hereby may be accelerated as provided in Article Six for the purposes of this Guarantee, notwithstanding any stay, injunction or other prohibition preventing such acceleration in respect of the obligations guaranteed hereby, and (ii) in the event of any declaration of acceleration of such obligations as provided in Article Six, such obligations (whether or not due and payable) shall forthwith become due and payable by each Guarantor for the purpose of this Guarantee.</w:t>
      </w:r>
    </w:p>
    <w:p>
      <w:pPr>
        <w:spacing w:after="0" w:line="183"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Guarantors shall have the right to seek contribution from any non-paying Guarantor so long as the exercise of such right does not impair the rights of any Holder under the Note Guarantees.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Execution and Delivery of Note 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To further evidence the Note Guarantee set forth in Section 10.01, each Guarantor hereby agrees that a notation of such Note Guarantee, substantially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shall be endorsed on each Note authenticated and delivered by the Trustee and such Note Guarantee shall be executed by either manual, facsimile, .pdf attachment or other electronically transmitted signature of an Officer of each Guarantor. The validity and enforceability of any Note Guarantee shall not be affected by the fact that it is not affixed to any particular Note.</w:t>
      </w:r>
    </w:p>
    <w:p>
      <w:pPr>
        <w:spacing w:after="0" w:line="18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Each of the Guarantors hereby agrees that its Note Guarantee set forth in Section 10.01 shall be in full force and effect notwithstanding any failure to endorse on each Note a notation of such Note Guarantee.</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an Officer of a Guarantor whose signature is on this Indenture or a Note Guarantee no longer holds that office at the time the Trustee authenticates the Note on which such Note Guarantee is endorsed or at any time thereafter, such Guarantor’s Guarantee of such Note shall be valid nevertheless.</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shall constitute due delivery of any Note Guarantee set forth in this Indenture on behalf of the Guarantor.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Release of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Guarantee of a Guarantor (other than Parent) will be unconditionally released and discharged upon any of the following:</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60"/>
          </w:cols>
          <w:pgMar w:left="440" w:top="270" w:right="499" w:bottom="1440" w:gutter="0" w:footer="0" w:header="0"/>
        </w:sectPr>
      </w:pPr>
    </w:p>
    <w:bookmarkStart w:id="93" w:name="page94"/>
    <w:bookmarkEnd w:id="93"/>
    <w:p>
      <w:pPr>
        <w:jc w:val="both"/>
        <w:ind w:left="420" w:right="80" w:firstLine="419"/>
        <w:spacing w:after="0" w:line="261" w:lineRule="auto"/>
        <w:tabs>
          <w:tab w:leader="none" w:pos="109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Guarantor is also released from all of its obligations in respect of Indebtedness under each Credit Facility;</w:t>
      </w:r>
    </w:p>
    <w:p>
      <w:pPr>
        <w:spacing w:after="0" w:line="71" w:lineRule="exact"/>
        <w:rPr>
          <w:rFonts w:ascii="Times New Roman" w:cs="Times New Roman" w:eastAsia="Times New Roman" w:hAnsi="Times New Roman"/>
          <w:sz w:val="18"/>
          <w:szCs w:val="18"/>
          <w:color w:val="auto"/>
        </w:rPr>
      </w:pPr>
    </w:p>
    <w:p>
      <w:pPr>
        <w:ind w:left="420" w:right="120" w:firstLine="419"/>
        <w:spacing w:after="0" w:line="282" w:lineRule="auto"/>
        <w:tabs>
          <w:tab w:leader="none" w:pos="109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all obligations of such Guarantor in respect of Indebtedness under each Credit Facility, except to the extent such Guarantor is otherwise required to provide a Guarantee pursuant to Section 4.17; or</w:t>
      </w:r>
    </w:p>
    <w:p>
      <w:pPr>
        <w:spacing w:after="0" w:line="53" w:lineRule="exact"/>
        <w:rPr>
          <w:rFonts w:ascii="Times New Roman" w:cs="Times New Roman" w:eastAsia="Times New Roman" w:hAnsi="Times New Roman"/>
          <w:sz w:val="18"/>
          <w:szCs w:val="18"/>
          <w:color w:val="auto"/>
        </w:rPr>
      </w:pPr>
    </w:p>
    <w:p>
      <w:pPr>
        <w:ind w:left="420" w:right="460" w:firstLine="419"/>
        <w:spacing w:after="0" w:line="282" w:lineRule="auto"/>
        <w:tabs>
          <w:tab w:leader="none" w:pos="109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contemporaneous release or discharge of all Guarantees by such Guarantor which would have required such Guarantor to guarantee the Notes pursuant to Section 4.17.</w:t>
      </w:r>
    </w:p>
    <w:p>
      <w:pPr>
        <w:spacing w:after="0" w:line="161" w:lineRule="exact"/>
        <w:rPr>
          <w:rFonts w:ascii="Times New Roman" w:cs="Times New Roman" w:eastAsia="Times New Roman" w:hAnsi="Times New Roman"/>
          <w:sz w:val="18"/>
          <w:szCs w:val="18"/>
          <w:color w:val="auto"/>
        </w:rPr>
      </w:pPr>
    </w:p>
    <w:p>
      <w:pPr>
        <w:ind w:left="-20" w:right="460" w:firstLine="987"/>
        <w:spacing w:after="0" w:line="282" w:lineRule="auto"/>
        <w:tabs>
          <w:tab w:leader="none" w:pos="122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under Article Five, a Note Guarantee of Parent may be released and discharged only with the consent of each Holder of Notes to which such Note Guarantee relates.</w:t>
      </w:r>
    </w:p>
    <w:p>
      <w:pPr>
        <w:spacing w:after="0" w:line="161"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release or discharge of a Note Guarantee of a Guarantor shall be effective against the Trustee or the Holders of Notes to which such Note Guarantee relates (i) if a Default or Event of Default shall have occurred and be continuing under this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this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this Indenture relating to such transactions have been complied with and that such release and discharge is authorized and permitted under this Indenture.</w:t>
      </w:r>
    </w:p>
    <w:p>
      <w:pPr>
        <w:spacing w:after="0" w:line="191" w:lineRule="exact"/>
        <w:rPr>
          <w:rFonts w:ascii="Times New Roman" w:cs="Times New Roman" w:eastAsia="Times New Roman" w:hAnsi="Times New Roman"/>
          <w:sz w:val="18"/>
          <w:szCs w:val="18"/>
          <w:color w:val="auto"/>
        </w:rPr>
      </w:pPr>
    </w:p>
    <w:p>
      <w:pPr>
        <w:ind w:left="-20" w:right="220" w:firstLine="987"/>
        <w:spacing w:after="0" w:line="282" w:lineRule="auto"/>
        <w:tabs>
          <w:tab w:leader="none" w:pos="122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execute any documents reasonably requested by either the Issuer or a Guarantor in order to evidence the release of such Guarantor from its obligations under its Guarantee endorsed on the Notes and under this Article Ten.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60"/>
          </w:cols>
          <w:pgMar w:left="460" w:top="270"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10.04.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Each Guarantor hereby irrevocably waives any claim or other rights which it may now or hereafter acquire against the Issuer that arise from the existence, payment, performance or enforcement of such Guarantor’s obligations under its Note Guarantee and this Indenture, including, without limitation, any right of subrogation, reimbursement, exoneration, indemnification, and any right to participate in any claim or remedy of any Holder of Notes against the Issuer, whether or not such claim, remedy or right arises in equity, or under contract, statute or common law, including, without limitation, the right to take or receive from the Issuer, directly or indirectly, in cash or other property or by set-off or in any other manner, payment or Note on account of such claim or other rights. If any amount shall be paid to any Guarantor in violation of the preceding sentence and the Notes shall not have been paid in full, such amount shall have been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 Each Guarantor acknowledges that it will receive direct and indirect benefits from the financing arrangements contemplated by this Indenture and that the waiver set forth in this Section 10.04 is knowingly made in contemplation of such benefits.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Issuer or any Guarantor shall give prompt written notice to the Trustee of any fact known to the Issuer or any such Guarantor which would prohibit the making of any payment to or by the Trustee at its Corporate Trust Office in respect of the Note Guarantees. Notwithstanding the provisions of this Article Ten or any other provision of this Indenture, the Trustee shall not be charged with knowledge of the existence of any facts which would prohibit the making of any payment to or by the Trustee in respect of the Note Guarantees, unless and until a Responsible Officer of the Trustee shall have received written notice thereof from the Issuer no later than one Business Day prior to such payment; and, prior to the receipt of any such written notice, the Trustee, subject to the provisions of this Section 10.05, and subject to the provisions of Sections 7.01 and 7.02, shall be entitled in all respects to assume that no such facts exist;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Trustee shall not have received the notice referred to in this Section 10.05 at least one Business Day prior to the date upon which by the terms hereof any such payment may become payable for any purpose under this Indenture (including, without limitation, the payment of the principal of, premium, if any, or interest on any Note),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less than one Business Day prior to such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70"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10.06. </w:t>
      </w:r>
      <w:r>
        <w:rPr>
          <w:rFonts w:ascii="Times New Roman" w:cs="Times New Roman" w:eastAsia="Times New Roman" w:hAnsi="Times New Roman"/>
          <w:sz w:val="18"/>
          <w:szCs w:val="18"/>
          <w:u w:val="single" w:color="auto"/>
          <w:color w:val="auto"/>
        </w:rPr>
        <w:t>Limitation on Guarantor’s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 Guarantor’s liability in respect of its Note Guarantee shall be limited to the extent set forth below:</w:t>
      </w:r>
    </w:p>
    <w:p>
      <w:pPr>
        <w:spacing w:after="0" w:line="117"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U.S. Guarantors</w:t>
      </w:r>
      <w:r>
        <w:rPr>
          <w:rFonts w:ascii="Times New Roman" w:cs="Times New Roman" w:eastAsia="Times New Roman" w:hAnsi="Times New Roman"/>
          <w:sz w:val="18"/>
          <w:szCs w:val="18"/>
          <w:color w:val="auto"/>
        </w:rPr>
        <w:t>. Each Guarantor that is incorporated, organized or formed, as the case may be, under the laws of the United States, any State thereof or the District of Columbia (a “</w:t>
      </w:r>
      <w:r>
        <w:rPr>
          <w:rFonts w:ascii="Times New Roman" w:cs="Times New Roman" w:eastAsia="Times New Roman" w:hAnsi="Times New Roman"/>
          <w:sz w:val="18"/>
          <w:szCs w:val="18"/>
          <w:u w:val="single" w:color="auto"/>
          <w:color w:val="auto"/>
        </w:rPr>
        <w:t>U.S. Guarantor</w:t>
      </w:r>
      <w:r>
        <w:rPr>
          <w:rFonts w:ascii="Times New Roman" w:cs="Times New Roman" w:eastAsia="Times New Roman" w:hAnsi="Times New Roman"/>
          <w:sz w:val="18"/>
          <w:szCs w:val="18"/>
          <w:color w:val="auto"/>
        </w:rPr>
        <w:t>”), and by its acceptance hereof, each Holder, hereby confirm that it is the intention of all such parties that the Guarantee of a U.S. Guarantor does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each Holder and each U.S. Guarantor hereby irrevocably agree that the obligations of a U.S. Guarantor under its Note Guarantee shall be limited to the maximum amount as will, after giving effect to all other contingent and fixed liabilities of such U.S. Guarantor result in the obligations of such U.S. Guarantor not constituting such a fraudulent transfer or conveyance.</w:t>
      </w:r>
    </w:p>
    <w:p>
      <w:pPr>
        <w:spacing w:after="0" w:line="8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German Guarantors</w:t>
      </w:r>
      <w:r>
        <w:rPr>
          <w:rFonts w:ascii="Times New Roman" w:cs="Times New Roman" w:eastAsia="Times New Roman" w:hAnsi="Times New Roman"/>
          <w:sz w:val="18"/>
          <w:szCs w:val="18"/>
          <w:color w:val="auto"/>
        </w:rPr>
        <w:t>. Each Guarantor incorporated, organized or formed, as the case may be, in Germany (a</w:t>
      </w:r>
    </w:p>
    <w:p>
      <w:pPr>
        <w:spacing w:after="0" w:line="27" w:lineRule="exact"/>
        <w:rPr>
          <w:sz w:val="20"/>
          <w:szCs w:val="20"/>
          <w:color w:val="auto"/>
        </w:rPr>
      </w:pPr>
    </w:p>
    <w:p>
      <w:pPr>
        <w:ind w:left="440"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Guarantor</w:t>
      </w:r>
      <w:r>
        <w:rPr>
          <w:rFonts w:ascii="Times New Roman" w:cs="Times New Roman" w:eastAsia="Times New Roman" w:hAnsi="Times New Roman"/>
          <w:sz w:val="18"/>
          <w:szCs w:val="18"/>
          <w:color w:val="auto"/>
        </w:rPr>
        <w:t xml:space="preserve">”), and by its acceptance hereof, each Holder, hereby confirm that the liability of such German Guarantor shall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its contribution obligations under this Indenture, result in the obligations of such Guarantor under its Note Guarantee not constituting a fraudulent conveyance or fraudulent transfer under applicable law. Each German Guarantor that makes a payment or distribution under its Note Guarantee shall be entitled to a contribution from each other Guarantor in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amount based on the Adjusted Net Assets of each Guarantor. The obligation of any German Guarantor under this Article Ten will be binding only to the extent that it would not result in a prohibited repayment to such Guarantor’s shareholders of assets necessary to maintain the nominal registered capital of such German Guarantor (Section 30 et seq. GmbH Act).</w:t>
      </w:r>
    </w:p>
    <w:p>
      <w:pPr>
        <w:spacing w:after="0" w:line="85" w:lineRule="exact"/>
        <w:rPr>
          <w:sz w:val="20"/>
          <w:szCs w:val="20"/>
          <w:color w:val="auto"/>
        </w:rPr>
      </w:pPr>
    </w:p>
    <w:p>
      <w:pPr>
        <w:ind w:left="440" w:right="220" w:firstLine="419"/>
        <w:spacing w:after="0" w:line="266"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Swiss Guarantors</w:t>
      </w:r>
      <w:r>
        <w:rPr>
          <w:rFonts w:ascii="Times New Roman" w:cs="Times New Roman" w:eastAsia="Times New Roman" w:hAnsi="Times New Roman"/>
          <w:sz w:val="18"/>
          <w:szCs w:val="18"/>
          <w:color w:val="auto"/>
        </w:rPr>
        <w:t>. Each Guarantor incorporated, organized or formed, as the case may be, in Switzerland (a “</w:t>
      </w:r>
      <w:r>
        <w:rPr>
          <w:rFonts w:ascii="Times New Roman" w:cs="Times New Roman" w:eastAsia="Times New Roman" w:hAnsi="Times New Roman"/>
          <w:sz w:val="18"/>
          <w:szCs w:val="18"/>
          <w:u w:val="single" w:color="auto"/>
          <w:color w:val="auto"/>
        </w:rPr>
        <w:t>Swiss Guarantor</w:t>
      </w:r>
      <w:r>
        <w:rPr>
          <w:rFonts w:ascii="Times New Roman" w:cs="Times New Roman" w:eastAsia="Times New Roman" w:hAnsi="Times New Roman"/>
          <w:sz w:val="18"/>
          <w:szCs w:val="18"/>
          <w:color w:val="auto"/>
        </w:rPr>
        <w:t>”) and by its acceptance hereof, each Holder, hereby confirm that the liability of such Swiss Guarantor shall be limited to the maximum amount as will, after giving effect to all other contingent and fixed liabilities of such Swiss Guarantor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440" w:top="270" w:right="479" w:bottom="1440" w:gutter="0" w:footer="0" w:header="0"/>
        </w:sectPr>
      </w:pPr>
    </w:p>
    <w:bookmarkStart w:id="96" w:name="page97"/>
    <w:bookmarkEnd w:id="96"/>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after giving effect to any collections from or payments made by or on behalf of any other Guarantor, result in the obligations of such Swiss Guarantor under its Note Guarantee not constituting a fraudulent conveyance or fraudulent transfer under applicable law. The obligations of any Swiss Guarantor under its Note Guarantee shall be limited so that they do not result in a prohibited repayment of the share capital of such Swiss Guarantor (Section 680 of the Swiss Code of Obligations), and infringe the mandatory provisions on reserves (Sections 671 to 674 of the Swiss Code of Obligations).</w:t>
      </w:r>
    </w:p>
    <w:p>
      <w:pPr>
        <w:spacing w:after="0" w:line="75" w:lineRule="exact"/>
        <w:rPr>
          <w:sz w:val="20"/>
          <w:szCs w:val="20"/>
          <w:color w:val="auto"/>
        </w:rPr>
      </w:pPr>
    </w:p>
    <w:p>
      <w:pPr>
        <w:ind w:firstLine="419"/>
        <w:spacing w:after="0" w:line="252" w:lineRule="auto"/>
        <w:tabs>
          <w:tab w:leader="none" w:pos="67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French Guarantors</w:t>
      </w:r>
      <w:r>
        <w:rPr>
          <w:rFonts w:ascii="Times New Roman" w:cs="Times New Roman" w:eastAsia="Times New Roman" w:hAnsi="Times New Roman"/>
          <w:sz w:val="18"/>
          <w:szCs w:val="18"/>
          <w:color w:val="auto"/>
        </w:rPr>
        <w:t>. Each Guarantor incorporated, organized or formed, as the case may be, under the laws of France (a “</w:t>
      </w:r>
      <w:r>
        <w:rPr>
          <w:rFonts w:ascii="Times New Roman" w:cs="Times New Roman" w:eastAsia="Times New Roman" w:hAnsi="Times New Roman"/>
          <w:sz w:val="18"/>
          <w:szCs w:val="18"/>
          <w:u w:val="single" w:color="auto"/>
          <w:color w:val="auto"/>
        </w:rPr>
        <w:t>French Guarantor</w:t>
      </w:r>
      <w:r>
        <w:rPr>
          <w:rFonts w:ascii="Times New Roman" w:cs="Times New Roman" w:eastAsia="Times New Roman" w:hAnsi="Times New Roman"/>
          <w:sz w:val="18"/>
          <w:szCs w:val="18"/>
          <w:color w:val="auto"/>
        </w:rPr>
        <w:t>”), and by its acceptance hereof, each Holder, hereby confirm that the obligation and liability of such French Guarantor or its subsidiaries (a) will not include any obligation or liability which, if incurred, would constitute a violation to its corporate benefit or interest (</w:t>
      </w:r>
      <w:r>
        <w:rPr>
          <w:rFonts w:ascii="Times New Roman" w:cs="Times New Roman" w:eastAsia="Times New Roman" w:hAnsi="Times New Roman"/>
          <w:sz w:val="18"/>
          <w:szCs w:val="18"/>
          <w:i w:val="1"/>
          <w:iCs w:val="1"/>
          <w:color w:val="auto"/>
        </w:rPr>
        <w:t>intérêt social</w:t>
      </w:r>
      <w:r>
        <w:rPr>
          <w:rFonts w:ascii="Times New Roman" w:cs="Times New Roman" w:eastAsia="Times New Roman" w:hAnsi="Times New Roman"/>
          <w:sz w:val="18"/>
          <w:szCs w:val="18"/>
          <w:color w:val="auto"/>
        </w:rPr>
        <w:t xml:space="preserve">) in particular within the meaning of Articles L.241-3 or L. 242-6 of the French Commercial Code (such articles are applicable to </w:t>
      </w:r>
      <w:r>
        <w:rPr>
          <w:rFonts w:ascii="Times New Roman" w:cs="Times New Roman" w:eastAsia="Times New Roman" w:hAnsi="Times New Roman"/>
          <w:sz w:val="18"/>
          <w:szCs w:val="18"/>
          <w:i w:val="1"/>
          <w:iCs w:val="1"/>
          <w:color w:val="auto"/>
        </w:rPr>
        <w:t>sociétés en commandite par actions</w:t>
      </w:r>
      <w:r>
        <w:rPr>
          <w:rFonts w:ascii="Times New Roman" w:cs="Times New Roman" w:eastAsia="Times New Roman" w:hAnsi="Times New Roman"/>
          <w:sz w:val="18"/>
          <w:szCs w:val="18"/>
          <w:color w:val="auto"/>
        </w:rPr>
        <w:t xml:space="preserve"> and to </w:t>
      </w:r>
      <w:r>
        <w:rPr>
          <w:rFonts w:ascii="Times New Roman" w:cs="Times New Roman" w:eastAsia="Times New Roman" w:hAnsi="Times New Roman"/>
          <w:sz w:val="18"/>
          <w:szCs w:val="18"/>
          <w:i w:val="1"/>
          <w:iCs w:val="1"/>
          <w:color w:val="auto"/>
        </w:rPr>
        <w:t>sociétés par actions simplifiées</w:t>
      </w:r>
      <w:r>
        <w:rPr>
          <w:rFonts w:ascii="Times New Roman" w:cs="Times New Roman" w:eastAsia="Times New Roman" w:hAnsi="Times New Roman"/>
          <w:sz w:val="18"/>
          <w:szCs w:val="18"/>
          <w:color w:val="auto"/>
        </w:rPr>
        <w:t xml:space="preserve"> pursuant to Articles L. 243-1 and L. 244-1 of the French Commercial Code) and/or would constitute prohibited financial assistance within the meaning of Article L. 225-216 of the French Commercial Code and/or would constitute a misuse of corporate assets (</w:t>
      </w:r>
      <w:r>
        <w:rPr>
          <w:rFonts w:ascii="Times New Roman" w:cs="Times New Roman" w:eastAsia="Times New Roman" w:hAnsi="Times New Roman"/>
          <w:sz w:val="18"/>
          <w:szCs w:val="18"/>
          <w:i w:val="1"/>
          <w:iCs w:val="1"/>
          <w:color w:val="auto"/>
        </w:rPr>
        <w:t>abus de bien sociaux</w:t>
      </w:r>
      <w:r>
        <w:rPr>
          <w:rFonts w:ascii="Times New Roman" w:cs="Times New Roman" w:eastAsia="Times New Roman" w:hAnsi="Times New Roman"/>
          <w:sz w:val="18"/>
          <w:szCs w:val="18"/>
          <w:color w:val="auto"/>
        </w:rPr>
        <w:t xml:space="preserve">) within the meaning of Articles L. 241-3 or L. 242-6 of the French Commercial Code (such articles are applicable to </w:t>
      </w:r>
      <w:r>
        <w:rPr>
          <w:rFonts w:ascii="Times New Roman" w:cs="Times New Roman" w:eastAsia="Times New Roman" w:hAnsi="Times New Roman"/>
          <w:sz w:val="18"/>
          <w:szCs w:val="18"/>
          <w:i w:val="1"/>
          <w:iCs w:val="1"/>
          <w:color w:val="auto"/>
        </w:rPr>
        <w:t>sociétés en commandite par actions</w:t>
      </w:r>
      <w:r>
        <w:rPr>
          <w:rFonts w:ascii="Times New Roman" w:cs="Times New Roman" w:eastAsia="Times New Roman" w:hAnsi="Times New Roman"/>
          <w:sz w:val="18"/>
          <w:szCs w:val="18"/>
          <w:color w:val="auto"/>
        </w:rPr>
        <w:t xml:space="preserve"> and to </w:t>
      </w:r>
      <w:r>
        <w:rPr>
          <w:rFonts w:ascii="Times New Roman" w:cs="Times New Roman" w:eastAsia="Times New Roman" w:hAnsi="Times New Roman"/>
          <w:sz w:val="18"/>
          <w:szCs w:val="18"/>
          <w:i w:val="1"/>
          <w:iCs w:val="1"/>
          <w:color w:val="auto"/>
        </w:rPr>
        <w:t>sociétés par actions simplifiées</w:t>
      </w:r>
      <w:r>
        <w:rPr>
          <w:rFonts w:ascii="Times New Roman" w:cs="Times New Roman" w:eastAsia="Times New Roman" w:hAnsi="Times New Roman"/>
          <w:sz w:val="18"/>
          <w:szCs w:val="18"/>
          <w:color w:val="auto"/>
        </w:rPr>
        <w:t xml:space="preserve"> pursuant to Articles L. 243-1 and L. 244-1 of the French Commercial Code); and (b) shall be limited to the extent required by applicable law to the maximum amount any such French Guarantor can pay without exceeding its financial capacity or otherwise resulting in insolvency of such French Guarantor, as of the date the Note Guarantee is subscribed or, if later further amended, restated or reaffirmed, as of such later date, and the Note Guarantee given by any of (i) Crown Bevcan France SAS, (ii) Crown Developpement, (iii) Crown Europe SAS, (iv) Société Civile Immobilière des Baquets, (v) Société Civile Immobilière Rousseau Ivry, (vi) SPG France Holdings and (vii) Signode France SAS and each other Subsidiary Guarantor incorporated, organized or formed, as the case may be, under the laws of France (each, a “</w:t>
      </w:r>
      <w:r>
        <w:rPr>
          <w:rFonts w:ascii="Times New Roman" w:cs="Times New Roman" w:eastAsia="Times New Roman" w:hAnsi="Times New Roman"/>
          <w:sz w:val="18"/>
          <w:szCs w:val="18"/>
          <w:u w:val="single" w:color="auto"/>
          <w:color w:val="auto"/>
        </w:rPr>
        <w:t>French Subsidiary Guarantor</w:t>
      </w:r>
      <w:r>
        <w:rPr>
          <w:rFonts w:ascii="Times New Roman" w:cs="Times New Roman" w:eastAsia="Times New Roman" w:hAnsi="Times New Roman"/>
          <w:sz w:val="18"/>
          <w:szCs w:val="18"/>
          <w:color w:val="auto"/>
        </w:rPr>
        <w:t>”) will in addition be limited as to each French Subsidiary Guarantor or its subsidiaries, to the extent required by French law, to an amount that represents either (i) the amount of such proceeds made available to such French Subsidiary Guarantor via intragroup loans or otherwise or (ii) the equivalent in Euros of the portion of the proceeds of the Notes used directly or indirectly to repay or refinance obligations of or obligations guaranteed (to the extent permitted under French law) by, such French Subsidiary Guarantor or its subsidiaries, or to fund or refinance (directly or indirectly) advances or loans to such French Subsidiary Guarantor from time to time.</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560"/>
          </w:cols>
          <w:pgMar w:left="880" w:top="270" w:right="459" w:bottom="1440" w:gutter="0" w:footer="0" w:header="0"/>
        </w:sectPr>
      </w:pPr>
    </w:p>
    <w:bookmarkStart w:id="97" w:name="page98"/>
    <w:bookmarkEnd w:id="97"/>
    <w:p>
      <w:pPr>
        <w:jc w:val="center"/>
        <w:ind w:left="4" w:right="40" w:firstLine="419"/>
        <w:spacing w:after="0" w:line="272" w:lineRule="auto"/>
        <w:tabs>
          <w:tab w:leader="none" w:pos="681"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w:t>
      </w:r>
      <w:r>
        <w:rPr>
          <w:rFonts w:ascii="Times New Roman" w:cs="Times New Roman" w:eastAsia="Times New Roman" w:hAnsi="Times New Roman"/>
          <w:sz w:val="17"/>
          <w:szCs w:val="17"/>
          <w:u w:val="single" w:color="auto"/>
          <w:color w:val="auto"/>
        </w:rPr>
        <w:t>imitations Applicable to the Dutch Guarantors</w:t>
      </w:r>
      <w:r>
        <w:rPr>
          <w:rFonts w:ascii="Times New Roman" w:cs="Times New Roman" w:eastAsia="Times New Roman" w:hAnsi="Times New Roman"/>
          <w:sz w:val="17"/>
          <w:szCs w:val="17"/>
          <w:color w:val="auto"/>
        </w:rPr>
        <w:t>. Each Guarantor incorporated, organized or formed, as the case may be, in the Netherlands (a “</w:t>
      </w:r>
      <w:r>
        <w:rPr>
          <w:rFonts w:ascii="Times New Roman" w:cs="Times New Roman" w:eastAsia="Times New Roman" w:hAnsi="Times New Roman"/>
          <w:sz w:val="17"/>
          <w:szCs w:val="17"/>
          <w:u w:val="single" w:color="auto"/>
          <w:color w:val="auto"/>
        </w:rPr>
        <w:t>Dutch Guarantor</w:t>
      </w:r>
      <w:r>
        <w:rPr>
          <w:rFonts w:ascii="Times New Roman" w:cs="Times New Roman" w:eastAsia="Times New Roman" w:hAnsi="Times New Roman"/>
          <w:sz w:val="17"/>
          <w:szCs w:val="17"/>
          <w:color w:val="auto"/>
        </w:rPr>
        <w:t>”) and, by its acceptance hereof, each Holder, hereby confirm that the Dutch Guarantors shall not be liable under its Note Guarantee to the extent that, if it were so liable, its entry into its Note Guarantee would violate (a) section 2:98c of the Dutch Civil Code,</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interest or (c) section 3:45 of the Dutch Civil Code or sections 42 or 43 of the Dutch Bankruptcy Act (</w:t>
      </w:r>
      <w:r>
        <w:rPr>
          <w:rFonts w:ascii="Times New Roman" w:cs="Times New Roman" w:eastAsia="Times New Roman" w:hAnsi="Times New Roman"/>
          <w:sz w:val="18"/>
          <w:szCs w:val="18"/>
          <w:i w:val="1"/>
          <w:iCs w:val="1"/>
          <w:color w:val="auto"/>
        </w:rPr>
        <w:t>Faillissementswet</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4" w:firstLine="419"/>
        <w:spacing w:after="0" w:line="252" w:lineRule="auto"/>
        <w:tabs>
          <w:tab w:leader="none" w:pos="68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the Luxembourg Guarantors</w:t>
      </w:r>
      <w:r>
        <w:rPr>
          <w:rFonts w:ascii="Times New Roman" w:cs="Times New Roman" w:eastAsia="Times New Roman" w:hAnsi="Times New Roman"/>
          <w:sz w:val="18"/>
          <w:szCs w:val="18"/>
          <w:color w:val="auto"/>
        </w:rPr>
        <w:t>. Each Guarantor incorporated, organized or formed, as the case may be, in Luxembourg or which may be incorporated, organized or formed in the future, as the case may be, in Luxembourg (a “</w:t>
      </w:r>
      <w:r>
        <w:rPr>
          <w:rFonts w:ascii="Times New Roman" w:cs="Times New Roman" w:eastAsia="Times New Roman" w:hAnsi="Times New Roman"/>
          <w:sz w:val="18"/>
          <w:szCs w:val="18"/>
          <w:u w:val="single" w:color="auto"/>
          <w:color w:val="auto"/>
        </w:rPr>
        <w:t>Luxembourg Guarantor</w:t>
      </w:r>
      <w:r>
        <w:rPr>
          <w:rFonts w:ascii="Times New Roman" w:cs="Times New Roman" w:eastAsia="Times New Roman" w:hAnsi="Times New Roman"/>
          <w:sz w:val="18"/>
          <w:szCs w:val="18"/>
          <w:color w:val="auto"/>
        </w:rPr>
        <w:t>”) and, by its acceptance hereof, each Holder, hereby confirm that all liabilities and obligations of such Luxembourg Guarantor arising under any Guarantee, including, without limitation, under any Note Guarantee, shall (a) not in any circumstances include any obligation or liability which, if incurred, would constitute a misuse of corporate assets under article 1500-11 of the Luxembourg law on commercial companies dated 10 August 1915, as amended from time to time (the “</w:t>
      </w:r>
      <w:r>
        <w:rPr>
          <w:rFonts w:ascii="Times New Roman" w:cs="Times New Roman" w:eastAsia="Times New Roman" w:hAnsi="Times New Roman"/>
          <w:sz w:val="18"/>
          <w:szCs w:val="18"/>
          <w:u w:val="single" w:color="auto"/>
          <w:color w:val="auto"/>
        </w:rPr>
        <w:t>1915 Law</w:t>
      </w:r>
      <w:r>
        <w:rPr>
          <w:rFonts w:ascii="Times New Roman" w:cs="Times New Roman" w:eastAsia="Times New Roman" w:hAnsi="Times New Roman"/>
          <w:sz w:val="18"/>
          <w:szCs w:val="18"/>
          <w:color w:val="auto"/>
        </w:rPr>
        <w:t>”) and (b) be limited, at all times, to an aggregate amount that does not exceed eighty percent (80%) of (i) the sum of such Luxembourg Guarantor’s “</w:t>
      </w:r>
      <w:r>
        <w:rPr>
          <w:rFonts w:ascii="Times New Roman" w:cs="Times New Roman" w:eastAsia="Times New Roman" w:hAnsi="Times New Roman"/>
          <w:sz w:val="18"/>
          <w:szCs w:val="18"/>
          <w:i w:val="1"/>
          <w:iCs w:val="1"/>
          <w:color w:val="auto"/>
        </w:rPr>
        <w:t>capitaux propres</w:t>
      </w:r>
      <w:r>
        <w:rPr>
          <w:rFonts w:ascii="Times New Roman" w:cs="Times New Roman" w:eastAsia="Times New Roman" w:hAnsi="Times New Roman"/>
          <w:sz w:val="18"/>
          <w:szCs w:val="18"/>
          <w:color w:val="auto"/>
        </w:rPr>
        <w:t>” (as referred to in Annex I to the Luxembourg Grand-Ducal Regulation dated 18 December 2015 setting out the form and content of the presentation of the balance sheet and profit and loss account and implementing articles 34, 35, 46, and 47 of the Luxembourg law of 19 December 2002 on the register of commerce and companies and the accounting and annual accounts of undertakings, as amended) (the “</w:t>
      </w:r>
      <w:r>
        <w:rPr>
          <w:rFonts w:ascii="Times New Roman" w:cs="Times New Roman" w:eastAsia="Times New Roman" w:hAnsi="Times New Roman"/>
          <w:sz w:val="18"/>
          <w:szCs w:val="18"/>
          <w:u w:val="single" w:color="auto"/>
          <w:color w:val="auto"/>
        </w:rPr>
        <w:t>Net Assets</w:t>
      </w:r>
      <w:r>
        <w:rPr>
          <w:rFonts w:ascii="Times New Roman" w:cs="Times New Roman" w:eastAsia="Times New Roman" w:hAnsi="Times New Roman"/>
          <w:sz w:val="18"/>
          <w:szCs w:val="18"/>
          <w:color w:val="auto"/>
        </w:rPr>
        <w:t>”) and its “</w:t>
      </w:r>
      <w:r>
        <w:rPr>
          <w:rFonts w:ascii="Times New Roman" w:cs="Times New Roman" w:eastAsia="Times New Roman" w:hAnsi="Times New Roman"/>
          <w:sz w:val="18"/>
          <w:szCs w:val="18"/>
          <w:i w:val="1"/>
          <w:iCs w:val="1"/>
          <w:color w:val="auto"/>
        </w:rPr>
        <w:t>dettes subordonnées</w:t>
      </w:r>
      <w:r>
        <w:rPr>
          <w:rFonts w:ascii="Times New Roman" w:cs="Times New Roman" w:eastAsia="Times New Roman" w:hAnsi="Times New Roman"/>
          <w:sz w:val="18"/>
          <w:szCs w:val="18"/>
          <w:color w:val="auto"/>
        </w:rPr>
        <w:t>” (as referred to in account 191 of the standard chart of accounts attached to the Luxembourg Grand-Ducal Regulation dated 10 June 2009 setting out the form and content of a standard chart of accounts, as the same may be amended or replaced) (the “</w:t>
      </w:r>
      <w:r>
        <w:rPr>
          <w:rFonts w:ascii="Times New Roman" w:cs="Times New Roman" w:eastAsia="Times New Roman" w:hAnsi="Times New Roman"/>
          <w:sz w:val="18"/>
          <w:szCs w:val="18"/>
          <w:u w:val="single" w:color="auto"/>
          <w:color w:val="auto"/>
        </w:rPr>
        <w:t>Subordinated Debts</w:t>
      </w:r>
      <w:r>
        <w:rPr>
          <w:rFonts w:ascii="Times New Roman" w:cs="Times New Roman" w:eastAsia="Times New Roman" w:hAnsi="Times New Roman"/>
          <w:sz w:val="18"/>
          <w:szCs w:val="18"/>
          <w:color w:val="auto"/>
        </w:rPr>
        <w:t>”), as reflected in the most recently available annual accounts of such Luxembourg Guarantor as at the date on which any Guarantee is realised and (ii) the sum of that Luxembourg Guarantor’s Net Assets and Subordinated Debts, as reflected in its last annual accounts available as at the date of execution of this Indenture (whether as an original party or by way of accession). The obligations of a Luxembourg Guarantor in respect of this Indenture and/or any Guarantee shall not extend to the guaranteeing or securing of any amount which would breach the prohibitions on financial assistance set out in the 1915 Law.</w:t>
      </w:r>
    </w:p>
    <w:p>
      <w:pPr>
        <w:spacing w:after="0" w:line="86" w:lineRule="exact"/>
        <w:rPr>
          <w:rFonts w:ascii="Times New Roman" w:cs="Times New Roman" w:eastAsia="Times New Roman" w:hAnsi="Times New Roman"/>
          <w:sz w:val="18"/>
          <w:szCs w:val="18"/>
          <w:color w:val="auto"/>
        </w:rPr>
      </w:pPr>
    </w:p>
    <w:p>
      <w:pPr>
        <w:ind w:left="4" w:right="320" w:firstLine="419"/>
        <w:spacing w:after="0" w:line="266" w:lineRule="auto"/>
        <w:tabs>
          <w:tab w:leader="none" w:pos="68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Applicable to Other Guarantors</w:t>
      </w:r>
      <w:r>
        <w:rPr>
          <w:rFonts w:ascii="Times New Roman" w:cs="Times New Roman" w:eastAsia="Times New Roman" w:hAnsi="Times New Roman"/>
          <w:sz w:val="18"/>
          <w:szCs w:val="18"/>
          <w:color w:val="auto"/>
        </w:rPr>
        <w:t>. Each Guarantor that is incorporated, organized or formed, as the case may be, under the laws of any jurisdiction other than one set forth in clauses (1) through (7) above (an “</w:t>
      </w:r>
      <w:r>
        <w:rPr>
          <w:rFonts w:ascii="Times New Roman" w:cs="Times New Roman" w:eastAsia="Times New Roman" w:hAnsi="Times New Roman"/>
          <w:sz w:val="18"/>
          <w:szCs w:val="18"/>
          <w:u w:val="single" w:color="auto"/>
          <w:color w:val="auto"/>
        </w:rPr>
        <w:t>Other Guarantor</w:t>
      </w:r>
      <w:r>
        <w:rPr>
          <w:rFonts w:ascii="Times New Roman" w:cs="Times New Roman" w:eastAsia="Times New Roman" w:hAnsi="Times New Roman"/>
          <w:sz w:val="18"/>
          <w:szCs w:val="18"/>
          <w:color w:val="auto"/>
        </w:rPr>
        <w:t>”), and by its acceptance hereof, each Holder, hereby confirm that it is the intention of all such parties that the Guarantee of an Other Guarantor does not</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544"/>
          </w:cols>
          <w:pgMar w:left="876" w:top="270" w:right="479" w:bottom="1440" w:gutter="0" w:footer="0" w:header="0"/>
        </w:sectPr>
      </w:pPr>
    </w:p>
    <w:bookmarkStart w:id="98" w:name="page99"/>
    <w:bookmarkEnd w:id="98"/>
    <w:p>
      <w:pPr>
        <w:ind w:lef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 a fraudulent transfer or conveyance for purposes applicable law. To effectuate the foregoing intention, each Holder and each Other Guarantor hereby irrevocably agree that the obligations of an Other Guarantor under its Note Guarantee shall be limited to the maximum amount as will, after giving effect to all other contingent and fixed liabilities of such Other Guarantor result in the obligations of such Other Guarantor not constituting such a fraudulent transfer or conveyance.</w:t>
      </w:r>
    </w:p>
    <w:p>
      <w:pPr>
        <w:spacing w:after="0" w:line="180"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Net Assets</w:t>
      </w:r>
      <w:r>
        <w:rPr>
          <w:rFonts w:ascii="Times New Roman" w:cs="Times New Roman" w:eastAsia="Times New Roman" w:hAnsi="Times New Roman"/>
          <w:sz w:val="18"/>
          <w:szCs w:val="18"/>
          <w:color w:val="auto"/>
        </w:rPr>
        <w:t>” of a Guarantor at any date means the lesser of (1) the amount by which (x) the fair value of the assets of such Guarantor exceeds the total amount of liabilities, including, without limitation, contingent liabilities, but excluding liabilities under its Note Guarantee, of such Guarantor at such date and (y) the present fair salable value of the assets of such Guarantor at such date exceeds (2) the amount that will be required to pay the probable liability of such Guarantor on its debts (after giving effect to all other fixed and contingent liabilities and after giving effect to any collection from any Subsidiary of such Guarantor in respect of the obligations of such Guarantor under its Note Guarantee), excluding Indebtedness in respect of its Note Guarantee, as they become absolute and matured.</w:t>
      </w:r>
    </w:p>
    <w:p>
      <w:pPr>
        <w:spacing w:after="0" w:line="187" w:lineRule="exact"/>
        <w:rPr>
          <w:sz w:val="20"/>
          <w:szCs w:val="20"/>
          <w:color w:val="auto"/>
        </w:rPr>
      </w:pPr>
    </w:p>
    <w:p>
      <w:pPr>
        <w:ind w:left="1240" w:hanging="253"/>
        <w:spacing w:after="0"/>
        <w:tabs>
          <w:tab w:leader="none" w:pos="124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the date of this Indenture and notwithstanding anything in Section 8.02 to the contrary: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shall be any change in the laws of the jurisdictions set forth in clauses (1) through (8) of subsection (a) of this Section 10.06 or</w:t>
      </w:r>
    </w:p>
    <w:p>
      <w:pPr>
        <w:spacing w:after="0" w:line="27" w:lineRule="exact"/>
        <w:rPr>
          <w:rFonts w:ascii="Times New Roman" w:cs="Times New Roman" w:eastAsia="Times New Roman" w:hAnsi="Times New Roman"/>
          <w:sz w:val="18"/>
          <w:szCs w:val="18"/>
          <w:color w:val="auto"/>
        </w:rPr>
      </w:pPr>
    </w:p>
    <w:p>
      <w:pPr>
        <w:ind w:left="440" w:hanging="4"/>
        <w:spacing w:after="0" w:line="253" w:lineRule="auto"/>
        <w:tabs>
          <w:tab w:leader="none" w:pos="70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incorporated, organized or formed, as the case may be, under the laws of any jurisdiction other than ones set forth in clauses (1) through (8) of subsection (a) of this Section 10.06 (a “</w:t>
      </w:r>
      <w:r>
        <w:rPr>
          <w:rFonts w:ascii="Times New Roman" w:cs="Times New Roman" w:eastAsia="Times New Roman" w:hAnsi="Times New Roman"/>
          <w:sz w:val="18"/>
          <w:szCs w:val="18"/>
          <w:u w:val="single" w:color="auto"/>
          <w:color w:val="auto"/>
        </w:rPr>
        <w:t>Future Guarantor</w:t>
      </w:r>
      <w:r>
        <w:rPr>
          <w:rFonts w:ascii="Times New Roman" w:cs="Times New Roman" w:eastAsia="Times New Roman" w:hAnsi="Times New Roman"/>
          <w:sz w:val="18"/>
          <w:szCs w:val="18"/>
          <w:color w:val="auto"/>
        </w:rPr>
        <w:t>”) shall be required to execute a Note Guarantee and the Issuer shall reasonably determine that clause (8) with respect to Other Guarantors shall not adequately address the limitations on such Guarantee imposed by applicable law of the jurisdiction of incorporation, organization or formation, as the case may be, of any such Future Guarantor; or</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reasonably determine that it shall be necessary or advisable to amend the terms of clauses (1) through (8) of subsection</w:t>
      </w:r>
    </w:p>
    <w:p>
      <w:pPr>
        <w:spacing w:after="0" w:line="2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10.06 or to add additional provisions related to the limitations imposed on the Note Guarantee of a Future Guarantor,</w:t>
      </w:r>
    </w:p>
    <w:p>
      <w:pPr>
        <w:spacing w:after="0" w:line="20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then upon the delivery of an Officers’ Certificate and Opinion of Counsel reasonably satisfactory to the Trustee, the Issuer shall be entitled to amend such clauses or add such additional provisions (including any related modifications to the form of Guarantee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as the case may be, in order for the Note Guarantee of a Guarantor not to so violate applicable law.</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60"/>
          </w:cols>
          <w:pgMar w:left="440" w:top="270" w:right="499" w:bottom="1440" w:gutter="0" w:footer="0" w:header="0"/>
        </w:sectPr>
      </w:pPr>
    </w:p>
    <w:bookmarkStart w:id="99" w:name="page100"/>
    <w:bookmarkEnd w:id="99"/>
    <w:p>
      <w:pPr>
        <w:ind w:left="47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ELEVEN</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to be included in this Indenture by the TIA, the required provision shall control. If any provision of this Indenture modifies any TIA provision that may be so modified, such TIA provision shall be deemed to apply to this Indenture as so modified. If any provision of this Indenture excludes any TIA provision that may be so excluded, such TIA provision shall be excluded from this Indenture.</w:t>
      </w:r>
    </w:p>
    <w:p>
      <w:pPr>
        <w:spacing w:after="0" w:line="180"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TIA §§ 310 through 317 that impose duties on any Person (including the provisions automatically deemed included unless expressly excluded by this Indenture) are a part of and govern this Indenture, whether or not physically contained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Except for notice or communications to Holders, any notice or communication shall be given in writing and delivered in person or mailed by first class mail (registered or certified, return receipt requested), telex, telecopier or overnight air courier guaranteeing next day delivery, addressed as follows: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Issuer or any Guarantor:</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 Rue Touzet Gaillard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Attn: Timothy Donahue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33 1 4918 4000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33 1 4918 4001</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Tampa, FL 33637</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(215) 698-5100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(215) 676-6011</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100" w:name="page101"/>
    <w:bookmarkEnd w:id="10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copies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Dechert LLP</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Cira Center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2929 Arch Street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Attn: Ian A. Hartman</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(215) 994-4000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Facsimile: (215) 994-2222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Attn: Michael Darby</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Telephone: (646) 731-6119</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Global Corporate Trust Services</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333 Thornall St.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Mail Station: EX-NJ-E4CM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Edison, NJ 08837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Adina Casper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732-321-3956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adina.casper1@usbank.com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Paying Agent, the Registrar or the Transfer Agent: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U.S. Bank Europe DAC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Block F1, Cherrywood Business Park</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Cherrywood, Dublin 18</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D18 W2X7, Ireland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Relationship Management Group</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+44 207 365 2577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CDRM@usbank.com</w:t>
      </w:r>
    </w:p>
    <w:p>
      <w:pPr>
        <w:spacing w:after="0" w:line="20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Issuer, the Guarantors or the Trustee by written notice to the others may designate additional or different addresses for subsequent notices or communications.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shall be deemed to have been duly given at the time delivered by hand, if personally delivered; five (5) calendar days after mailing if sent by registered or certified mail, postage prepaid (except that a notice of change of address shall not be deemed to have been given until actually received by the addressee); when answered back, if telexed; when receipt acknowledged, if telecopied; and the next Business Day after timely delivery to the courier, if sent by overnight air courier guaranteeing next day delivery.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70" w:right="439" w:bottom="1440" w:gutter="0" w:footer="0" w:header="0"/>
        </w:sectPr>
      </w:pPr>
    </w:p>
    <w:bookmarkStart w:id="101" w:name="page102"/>
    <w:bookmarkEnd w:id="101"/>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80"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to a Holder is mailed in the manner provided above, it shall be deemed duly given, whether or not the addressee receives it.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Communications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Holders may communicate pursuant to TIA § 312(b) with other Holders with respect to their rights under this Indenture or the Notes. The Issuer, the Guarantors, the Trustee, the Registrar, each Agent and anyone else shall have the protection of TIA § 312(c).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any request or application by the Issuer or any Guarantor to the Trustee to take any action under this Indenture, the Issuer or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shall furnish to the Trustee:</w:t>
      </w:r>
    </w:p>
    <w:p>
      <w:pPr>
        <w:spacing w:after="0" w:line="99" w:lineRule="exact"/>
        <w:rPr>
          <w:sz w:val="20"/>
          <w:szCs w:val="20"/>
          <w:color w:val="auto"/>
        </w:rPr>
      </w:pPr>
    </w:p>
    <w:p>
      <w:pPr>
        <w:ind w:left="440" w:right="60" w:firstLine="419"/>
        <w:spacing w:after="0" w:line="282" w:lineRule="auto"/>
        <w:tabs>
          <w:tab w:leader="none" w:pos="11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(which shall include the statements set forth in Section 11.05 below) stating that, in the opinion of the signers, all conditions precedent and covenants, if any, provided for in this Indenture relating to the proposed action have been complied with;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shall include the statements set forth in Section 11.05 below) stating that, in the opinion of such counsel, all such conditions precedent and covenants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Statements Required in Certificate and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Each certificate and opinion with respect to compliance by or on behalf of the Issuer or any Guarantor with a condition or covenant provided for in this Indenture shall include:</w:t>
      </w:r>
    </w:p>
    <w:p>
      <w:pPr>
        <w:spacing w:after="0" w:line="54" w:lineRule="exact"/>
        <w:rPr>
          <w:sz w:val="20"/>
          <w:szCs w:val="20"/>
          <w:color w:val="auto"/>
        </w:rPr>
      </w:pPr>
    </w:p>
    <w:p>
      <w:pPr>
        <w:ind w:left="5360" w:right="2760" w:hanging="4501"/>
        <w:spacing w:after="0" w:line="454" w:lineRule="auto"/>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-91-</w:t>
      </w:r>
    </w:p>
    <w:p>
      <w:pPr>
        <w:sectPr>
          <w:pgSz w:w="11900" w:h="16838" w:orient="portrait"/>
          <w:cols w:equalWidth="0" w:num="1">
            <w:col w:w="11000"/>
          </w:cols>
          <w:pgMar w:left="440" w:top="270" w:right="459" w:bottom="1440" w:gutter="0" w:footer="0" w:header="0"/>
        </w:sectPr>
      </w:pPr>
    </w:p>
    <w:bookmarkStart w:id="102" w:name="page103"/>
    <w:bookmarkEnd w:id="102"/>
    <w:p>
      <w:pPr>
        <w:ind w:left="440" w:right="100" w:firstLine="419"/>
        <w:spacing w:after="0" w:line="282"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covenant or condition has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meetings of Noteholders. The Registrar and Paying Agent may make reasonable rules for their functions.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Business Days; 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is a day that is not a Legal Holiday. A “</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is a Saturday, a Sunday or other day on which commercial banks in London, Luxembourg or France are authorized or required by law to close. If a payment date is a Legal Holiday at a place of payment, payment may be made at that place on the next succeeding day that is not a Legal Holiday, and no interest shall accrue for the intervening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This Indenture, the Notes and the Note Guarantees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security or debt agreement of Parent or any Subsidiary thereof. No such indenture, loan, security or debt agreement may be used to interpret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11.10.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Issuer and the Guarantors in this Indenture and the Notes shall bind their respective successors. All agreements of the Trustee, any additional trustee and any Agents in this Indenture shall bind its successor.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Multiple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parties may sign multiple counterparts of this Indenture. Each signed counterpart shall be deemed an original, but all of them together represent one and the same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THE ISSUER, EACH OF THE GUARANTORS AND THE TRUSTEE IRREVOCABLY WAIVES, TO THE FULLEST EXTENT PERMITTED BY APPLICABLE LAW, ANY AND ALL RIGHT TO TRIAL BY JURY IN ANY LEGAL PROCEEDING ARISING OUT OF OR RELATING TO THIS INDENTURE, THE NOTES OR THE TRANSACTIONS CONTEMPLATED 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70"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11.16. </w:t>
      </w:r>
      <w:r>
        <w:rPr>
          <w:rFonts w:ascii="Times New Roman" w:cs="Times New Roman" w:eastAsia="Times New Roman" w:hAnsi="Times New Roman"/>
          <w:sz w:val="18"/>
          <w:szCs w:val="18"/>
          <w:u w:val="single" w:color="auto"/>
          <w:color w:val="auto"/>
        </w:rPr>
        <w:t>Agent for Service; Submission to Jurisdiction; Waiver of Immunities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7" w:lineRule="auto"/>
        <w:tabs>
          <w:tab w:leader="none" w:pos="123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execution and delivery of this Indenture, the Issuer and 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this Indenture, the Notes and the Note Guarantees that may be instituted in any Federal or state court in the State of New York, The City of New York, the Borough of Manhattan or brought under Federal or state securities laws, and acknowledges that CT Corporation System has accepted such designation, (ii) irrevocably submits to the non-exclusive jurisdiction of any such court in any such suit or proceeding in subsection (a)(i) above and (iii) agrees that service of process upon CT Corporation System and written notice of said service to the Issuer in accordance with this Section 11.16 shall be deemed in every respect effective service of process upon the Issuer or any Guarantor, if any, in any such suit or proceeding. The Issuer and each Guarantor further agrees to take any and all such action, including the execution and filing of any and all such documents and instruments as may be necessary to continue such designation and appointment of CT Corporation System in full force and effect so long as this Indenture shall be in full force and effect or any of the Notes shall be outstanding;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Issuer or any Guarantor may, by written notice to the Trustee, designate such additional or alternative agent for service of process under this</w:t>
      </w:r>
    </w:p>
    <w:p>
      <w:pPr>
        <w:spacing w:after="0" w:line="2" w:lineRule="exact"/>
        <w:rPr>
          <w:rFonts w:ascii="Times New Roman" w:cs="Times New Roman" w:eastAsia="Times New Roman" w:hAnsi="Times New Roman"/>
          <w:sz w:val="17"/>
          <w:szCs w:val="17"/>
          <w:color w:val="auto"/>
        </w:rPr>
      </w:pPr>
    </w:p>
    <w:p>
      <w:pPr>
        <w:ind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11.16 that (i) 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Section 11.16. Such notice shall identify the name of such agent for process and the address of such agent for process in the Borough of Manhattan, The City of New York, the State of New York.</w:t>
      </w:r>
    </w:p>
    <w:p>
      <w:pPr>
        <w:spacing w:after="0" w:line="188" w:lineRule="exact"/>
        <w:rPr>
          <w:rFonts w:ascii="Times New Roman" w:cs="Times New Roman" w:eastAsia="Times New Roman" w:hAnsi="Times New Roman"/>
          <w:sz w:val="17"/>
          <w:szCs w:val="17"/>
          <w:color w:val="auto"/>
        </w:rPr>
      </w:pPr>
    </w:p>
    <w:p>
      <w:pPr>
        <w:ind w:firstLine="987"/>
        <w:spacing w:after="0" w:line="255"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this Indenture, the Notes and the Note Guarantees. In addition, the Issuer and each Guarantor irrevocably waives and agrees not to assert, by way of motion, as a defense, or otherwise in any such suit, action or proceeding, any claim that it is not personally subject to the jurisdiction of the courts mentioned in subsection (a) of this Section 11.16 for any reason whatsoever, that such suit, action or proceeding is brought in an inconvenient forum or that the venue for such suit is improper, or that this Indenture, the Notes or the Note Guarantees or the subject matter hereof or thereof may not be enforced in such courts.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60"/>
          </w:cols>
          <w:pgMar w:left="440" w:top="270" w:right="499" w:bottom="1440" w:gutter="0" w:footer="0" w:header="0"/>
        </w:sectPr>
      </w:pPr>
    </w:p>
    <w:bookmarkStart w:id="105" w:name="page106"/>
    <w:bookmarkEnd w:id="105"/>
    <w:p>
      <w:pPr>
        <w:ind w:firstLine="987"/>
        <w:spacing w:after="0" w:line="261"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and the Guarantors agree that a final judgment in any such suit, action or proceeding shall be conclusive and may be enforced in other jurisdictions by suit on the judgment or in any other manner provided by law. To the fullest extent permitted by applicable law, nothing in this Section 11.16 shall affect the right of the Trustee to serve legal process in any other manner permitted by law or affect the right of the Trustee to bring any action or proceeding against the Issuer or any Guarantor or its property in the courts of any other jurisdictions.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Currency of Account; Conversion of Currency; Foreign Exchange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Euros are the sole currency of account and payment for all sums payable by the Issuer and the Guarantors under or in connection with the Notes, the Note Guarantees or this Indenture, including damages related thereto. Any amount received or recovered in a currency other than Euro by a Holder of the Notes (whether as a result of, or of the enforcement of, a judgment or order of a court of any jurisdiction, in the winding-up or dissolution of the Issuer or otherwise) in respect of any sum expressed to be due to it from the Issuer shall only constitute a discharge to the Issuer to the extent of the Euro amount which the recipient is able to purchase with the amount so received or recovered in that other currency on the date of that receipt or recovery (or, if it is not practicable to make that purchase on that date, on the first date on which it is practicable to do so). If that Euro amount is less than the Euro amount expressed to be due to the recipient under the Notes, the Issuer shall indemnify it against any loss sustained by it as a result as set forth in subsection (b) of this Section 11.17. In any event, the Issuer and the Guarantors shall indemnify the recipient against the cost of making any such purchase. For the purposes of this Section 11.17, it will be sufficient for the Holder of a Note to certify in a satisfactory manner (indicating sources of information used) that it would have suffered a loss had an actual purchase of Euros been made with the amount so received in that other currency on the date of receipt or recovery (or, if a purchase of Euros on such date had not been practicable, on the first date on which it would have been practicable, it being required that the need for a change of date be certified in the manner mentioned above). The indemnities set forth in this Section 11.17 constitute separate and independent obligations from other obligations of the Issuer and the Guarantors, shall give rise to a separate and independent cause of action, shall apply irrespective of any indulgence granted by any Holder of the Notes and shall continue in full force and effect despite any other judgment, order, claim or proof for a liquidated amount in respect of any sum due under the Notes.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70" w:right="479" w:bottom="1440" w:gutter="0" w:footer="0" w:header="0"/>
        </w:sectPr>
      </w:pPr>
    </w:p>
    <w:bookmarkStart w:id="106" w:name="page107"/>
    <w:bookmarkEnd w:id="106"/>
    <w:p>
      <w:pPr>
        <w:ind w:right="40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and the Guarantors, jointly and severally, covenant and agree that the following provisions shall apply to conversion of currency in the case of the Notes, the Note Guarantees and this Indenture:</w:t>
      </w:r>
    </w:p>
    <w:p>
      <w:pPr>
        <w:spacing w:after="0" w:line="67" w:lineRule="exact"/>
        <w:rPr>
          <w:sz w:val="20"/>
          <w:szCs w:val="20"/>
          <w:color w:val="auto"/>
        </w:rPr>
      </w:pPr>
    </w:p>
    <w:p>
      <w:pPr>
        <w:ind w:left="1620" w:hanging="647"/>
        <w:spacing w:after="0" w:line="261" w:lineRule="auto"/>
        <w:rPr>
          <w:sz w:val="20"/>
          <w:szCs w:val="20"/>
          <w:color w:val="auto"/>
        </w:rPr>
      </w:pPr>
      <w:r>
        <w:rPr>
          <w:rFonts w:ascii="Times New Roman" w:cs="Times New Roman" w:eastAsia="Times New Roman" w:hAnsi="Times New Roman"/>
          <w:sz w:val="18"/>
          <w:szCs w:val="18"/>
          <w:color w:val="auto"/>
        </w:rPr>
        <w:t>(1)  (A) If for the purpose of obtaining judgment in, or enforcing the judgment of, any court in any country, it becomes necessary to convert into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an amount due in any other currency (the “</w:t>
      </w:r>
      <w:r>
        <w:rPr>
          <w:rFonts w:ascii="Times New Roman" w:cs="Times New Roman" w:eastAsia="Times New Roman" w:hAnsi="Times New Roman"/>
          <w:sz w:val="18"/>
          <w:szCs w:val="18"/>
          <w:u w:val="single" w:color="auto"/>
          <w:color w:val="auto"/>
        </w:rPr>
        <w:t>Base Currency</w:t>
      </w:r>
      <w:r>
        <w:rPr>
          <w:rFonts w:ascii="Times New Roman" w:cs="Times New Roman" w:eastAsia="Times New Roman" w:hAnsi="Times New Roman"/>
          <w:sz w:val="18"/>
          <w:szCs w:val="18"/>
          <w:color w:val="auto"/>
        </w:rPr>
        <w:t>”), then the conversion shall be made at the rate of exchange prevailing on the Business Day before the day on which the judgment is given or the order of enforcement is made, as the case may be (unless a court shall otherwise determine).</w:t>
      </w:r>
    </w:p>
    <w:p>
      <w:pPr>
        <w:spacing w:after="0" w:line="85" w:lineRule="exact"/>
        <w:rPr>
          <w:sz w:val="20"/>
          <w:szCs w:val="20"/>
          <w:color w:val="auto"/>
        </w:rPr>
      </w:pPr>
    </w:p>
    <w:p>
      <w:pPr>
        <w:ind w:left="1620" w:right="20" w:hanging="639"/>
        <w:spacing w:after="0" w:line="277" w:lineRule="auto"/>
        <w:tabs>
          <w:tab w:leader="none" w:pos="115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(B) If there is a change in the rate of exchange prevailing between the Business Day before the day on which the judgment is given or an order of enforcement is made, as the case may be (or such other date as a court shall determine), and the date of receipt of the amount due, the Issuer and the Guarantors will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60" w:lineRule="exact"/>
        <w:rPr>
          <w:sz w:val="20"/>
          <w:szCs w:val="20"/>
          <w:color w:val="auto"/>
        </w:rPr>
      </w:pPr>
    </w:p>
    <w:p>
      <w:pPr>
        <w:ind w:left="440" w:right="60" w:firstLine="419"/>
        <w:spacing w:after="0" w:line="254" w:lineRule="auto"/>
        <w:tabs>
          <w:tab w:leader="none" w:pos="11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winding-up of the Issuer or any Guarantor at any time while any amount or damages owing under the Notes, the Guarantees and this Indenture, or any judgment or order rendered in respect thereof, shall remain outstanding, the Issuer and the Guarantors shall indemnify and hold the Holders and the Trustee harmless against any deficiency arising or resulting from any variation in rates of exchange between (i) the date as of which the Euro Currency Equivalent of the amount due or contingently due under the Notes, the Guarantees and this Indenture (other than under this subsection (b)(2)) is calculated for the purposes of such winding-up and (ii) the final date for the filing of proofs of claim in such winding-up. For the purpose of this subsection (b)(2), the final date for the filing of proofs of claim in the winding-up of the Issuer or any Guarantor shall be the date fixed by the liquidator or otherwise in accordance with the relevant provisions of applicable law as being the latest practicable date as at which liabilities of the Issuer or such Guarantor may be ascertained for such winding-up prior to payment by the liquidator or otherwise in respect thereto.</w:t>
      </w:r>
    </w:p>
    <w:p>
      <w:pPr>
        <w:spacing w:after="0" w:line="188"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contained in subsections (a), (b)(1)(B) and (b)(2) of this Section 11.17 shall constitute separate and independent obligations from the other obligations of the Issuer and the Guarantors under this Indenture, shall give rise to separate and independent causes of action against the Issuer and the Guarantors, shall apply irrespective of any waiver or extension granted by any Holder or the Trustee or either of them from time to time and shall continue in full force and effect notwithstanding any judgment or order or the filing of any proof of claim in the winding-up of the Issuer or any Guarantor for a liquidated sum in respect of amounts due hereunder (other than under subsection (b)(2)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7" w:name="page108"/>
    <w:bookmarkEnd w:id="10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above) or under any such judgment or order. Any such deficiency as aforesaid shall be deemed to constitute a loss suffered by the Holders or the Trustee, as the case may be, and no proof or evidence of any actual loss shall be required by the Issuer or any Guarantor or the liquidator or otherwise or any of them. In the case of subsection (b)(2) above, the amount of such deficiency shall not be deemed to be reduced by any variation in rates of exchange occurring between the said final date and the date of any liquidating distribution.</w:t>
      </w:r>
    </w:p>
    <w:p>
      <w:pPr>
        <w:spacing w:after="0" w:line="180" w:lineRule="exact"/>
        <w:rPr>
          <w:sz w:val="20"/>
          <w:szCs w:val="20"/>
          <w:color w:val="auto"/>
        </w:rPr>
      </w:pPr>
    </w:p>
    <w:p>
      <w:pPr>
        <w:ind w:right="40" w:firstLine="987"/>
        <w:spacing w:after="0" w:line="266"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“rate(s) of exchange” shall mean the rate of exchange quoted by Reuters at 10:00 a.m. (New York time) for spot purchases of the Base Currency with the Judgment Currency other than the Base Currency referred to in subsections (b)(1) and (b)(2) above and includes any premiums and costs of exchange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BRRD and Other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Registrar and Transfer Agent are authorized and regulated by the Central Bank of Ireland (“</w:t>
      </w:r>
      <w:r>
        <w:rPr>
          <w:rFonts w:ascii="Times New Roman" w:cs="Times New Roman" w:eastAsia="Times New Roman" w:hAnsi="Times New Roman"/>
          <w:sz w:val="18"/>
          <w:szCs w:val="18"/>
          <w:u w:val="single" w:color="auto"/>
          <w:color w:val="auto"/>
        </w:rPr>
        <w:t>CBOI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worldwide effort against the funding of terrorism and money laundering activities, the Paying Agent, Registrar and Transfer Agent may be required under various national laws and regulations to which they are subject to obtain, verify and record information that identifies each person who opens an account with it. For a non-individual person such as a business entity, a charity, a trust or other legal entity the Paying Agent, Registrar and Transfer Agent shall be entitled to ask for documentation to verify such entity’s formation and legal existence as well as financial statements, licenses, identification and authorization documents from individuals claiming authority to represent the entity or other relevant documentation.</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Indenture acknowledge and agree that the obligations of Paying Agent, Registrar and Transfer Agent under this Indenture are limited by and subject to compliance by them with EU and US Federal anti-money laundering statutes and regulations. If the Paying Agent, Registrar and Transfer Agent or any of their directors know or suspect that a payment is the proceeds of criminal conduct, such person is required to report such information pursuant to the applicable authorities and such report shall not be treated as a breach by such person of any confidentiality covenant or other restriction imposed on such person under this Indenture, by law or otherwise on the disclosure of information. The Paying Agent, Registrar and Transfer Agent shall be indemnified and held harmless by the Issuer from and against all losses suffered by them that may arise as a result of the agents being prevented from fulfilling their obligations hereunder due to the extent doing so would not be consistent with applicable statutory anti-money laundering requirements.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8" w:name="page109"/>
    <w:bookmarkEnd w:id="108"/>
    <w:p>
      <w:pPr>
        <w:ind w:right="100" w:firstLine="987"/>
        <w:spacing w:after="0" w:line="256" w:lineRule="auto"/>
        <w:tabs>
          <w:tab w:leader="none" w:pos="124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Indenture or in any other agreement, arrangement or understanding among any such parties, each party hereto acknowledges that any liability of Paying Agent, Registrar and Transfer Agent arising under this Indenture or any such other document, to the extent such liability is unsecured or not otherwise exempted, may be subject to the Write-Down and Conversion Powers of a Resolution Authority and agrees and consents to, and acknowledges and agrees to be bound by: (1) the application of any Write-Down and Conversion Powers by a Resolution Authority to any such liabilities arising hereunder which may be payable to it by any party hereto; and (2) the effects of any Bail-in Action on any such liability, including, if applicable:</w:t>
      </w:r>
    </w:p>
    <w:p>
      <w:pPr>
        <w:spacing w:after="0" w:line="7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2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party, its parent undertaking, or a bridge institution that may be issued to it or otherwise conferred on it, and that such shares or other instruments of ownership will be accepted by it in lieu of any rights with respect to any such liability under this Indenture or any other agreement; or</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Resolution</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sub-clause (d) above the following terms shall have the following meanings: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in relation to any other state, any analogous law or regulation from time to time which requires contractual recognition of any Write-down and Conversion Powers contained in that law or regulation.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to exercise any Write-down and Conversion Powers.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60"/>
          </w:cols>
          <w:pgMar w:left="440" w:top="270" w:right="499" w:bottom="1440" w:gutter="0" w:footer="0" w:header="0"/>
        </w:sectPr>
      </w:pPr>
    </w:p>
    <w:bookmarkStart w:id="109" w:name="page110"/>
    <w:bookmarkEnd w:id="10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in relation to any Bail-In Legislation described in the EU Bail-In Legislation Schedule from time to time, the powers described as such in relation to that Bail-In Legislation in the EU Bail-In Legislation Schedule; and (b) any powers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any similar or analogous powers under that Bail-In Legislation.</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00"/>
          </w:cols>
          <w:pgMar w:left="440" w:top="270" w:right="5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Indenture to be duly executed all as of the date and year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Administrateur/DG Délégué</w:t>
            </w:r>
          </w:p>
        </w:tc>
      </w:tr>
    </w:tbl>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 to Indenture]</w:t>
      </w:r>
    </w:p>
    <w:p>
      <w:pPr>
        <w:spacing w:after="0" w:line="11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580"/>
          </w:cols>
          <w:pgMar w:left="880" w:top="270" w:right="439" w:bottom="1440" w:gutter="0" w:footer="0" w:header="0"/>
        </w:sectPr>
      </w:pPr>
    </w:p>
    <w:bookmarkStart w:id="111" w:name="page112"/>
    <w:bookmarkEnd w:id="111"/>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020"/>
          </w:cols>
          <w:pgMar w:left="1440" w:top="270" w:right="439" w:bottom="1440" w:gutter="0" w:footer="0" w:header="0"/>
        </w:sectPr>
      </w:pPr>
    </w:p>
    <w:bookmarkStart w:id="112" w:name="page113"/>
    <w:bookmarkEnd w:id="1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AMERICAS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020"/>
          </w:cols>
          <w:pgMar w:left="1440" w:top="270" w:right="439"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BEVERAGE PACKAGING PUERTO RICO,</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9620"/>
          </w:cols>
          <w:pgMar w:left="1440" w:top="270" w:right="839" w:bottom="1440" w:gutter="0" w:footer="0" w:header="0"/>
        </w:sectPr>
      </w:pPr>
    </w:p>
    <w:bookmarkStart w:id="114" w:name="page115"/>
    <w:bookmarkEnd w:id="11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CORK &amp; SEAL USA,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INTERNATIONAL HOLDINGS, LLC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HOLDINGS,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9160"/>
          </w:cols>
          <w:pgMar w:left="1440" w:top="270" w:right="1299" w:bottom="1440" w:gutter="0" w:footer="0" w:header="0"/>
        </w:sectPr>
      </w:pPr>
    </w:p>
    <w:bookmarkStart w:id="115" w:name="page116"/>
    <w:bookmarkEnd w:id="11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INDUSTRIAL GROUP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SIGNODE INDUSTRIAL GROUP HOLDINGS US INC.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INTERNATIONAL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ENGINEERING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AUTOMATION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SEH REAL ESTATE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Vice President &amp; Assistant Treasurer</w:t>
      </w:r>
    </w:p>
    <w:p>
      <w:pPr>
        <w:spacing w:after="0" w:line="1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9820"/>
          </w:cols>
          <w:pgMar w:left="1440" w:top="270" w:right="639" w:bottom="1440" w:gutter="0" w:footer="0" w:header="0"/>
        </w:sectPr>
      </w:pPr>
    </w:p>
    <w:bookmarkStart w:id="116" w:name="page117"/>
    <w:bookmarkEnd w:id="11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3079939 NOVA SCOTIA COMPANY/3079939</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COMPAGNIE DE LA NOUVELLE ECOSSE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889273 ONTARIO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CANADIAN HOLDINGS ULC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METAL PACKAGING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CANADA INC.</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Treasurer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SIGNODE CANADA ULC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Peter Abraham</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Peter Abraham</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METAL PACKAGING CANADA LP</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Crown Metal Packaging Canada Inc., its General</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020"/>
          </w:cols>
          <w:pgMar w:left="1440" w:top="270" w:right="439" w:bottom="1440" w:gutter="0" w:footer="0" w:header="0"/>
        </w:sectPr>
      </w:pPr>
    </w:p>
    <w:bookmarkStart w:id="117" w:name="page118"/>
    <w:bookmarkEnd w:id="11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BEVCAN FRANCE SAS</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Louisa Redjdal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Louisa Redjdal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Directeur Général</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DÉVELOPPEMENT</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Directeur Général</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EUROPE SAS</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Jean-Francois Lelouch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Jean-Francois Lelouch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Président</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020"/>
          </w:cols>
          <w:pgMar w:left="1440" w:top="270" w:right="439"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SOCIÉTÉ CIVILE IMMOBILIÉRE DES BACQUETS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SOCIÉTÉ CIVILE IMMOBILIÉRE ROUSSEAU IVRY</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Gérant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SPG FRANCE HOLDINGS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FRANCE SAS</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Président</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020"/>
          </w:cols>
          <w:pgMar w:left="1440" w:top="270" w:right="439" w:bottom="1440" w:gutter="0" w:footer="0" w:header="0"/>
        </w:sectPr>
      </w:pPr>
    </w:p>
    <w:bookmarkStart w:id="119" w:name="page120"/>
    <w:bookmarkEnd w:id="11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CORK &amp; SEAL DEUTSCHLAND HOLDINGS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GMBH</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Jochen Linzenich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Jochen Linzenich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Sergiy Boyko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Sergiy Boyko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020"/>
          </w:cols>
          <w:pgMar w:left="1440" w:top="270" w:right="43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PACKAGING SYSTEMS GMBH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SMP SCHWEDE MASCHINENBAU WEISCHLITZ</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GMBH</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Emil Lars Peter Krachten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Emil Lars Peter Krachten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MEZGER HEFTSYSTEME GMBH</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Hermann Gumbinger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Hermann Gumbinger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Emil Lars Peter Krachten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Emil Lars Peter Krachten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SIGNODE SYSTEM GMBH</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Burkhard Bödefeld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Burkhard Bödefeld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SPG GERMANY SERVICE MANAGEMENT GMBH</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020"/>
          </w:cols>
          <w:pgMar w:left="1440" w:top="270" w:right="439"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PACKAGING LUX III, S.À.R.L.</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 A</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Christelle Gilson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Christelle Gilson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 B</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SPG INDUSTRIAL PACKAGING S.À.R.L.</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 A</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Christelle Gilson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Christelle Gilson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 B</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020"/>
          </w:cols>
          <w:pgMar w:left="1440" w:top="270" w:right="43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INDUSTRIAL GROUP LUX S.A.</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 A</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Christelle Gilson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Christelle Gilson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 B</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LUXEMBOURG S.À.R.L.</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020"/>
          </w:cols>
          <w:pgMar w:left="1440" w:top="270" w:right="43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ENVASES MEXICO, S.A.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FÁBRICAS MONTERREY,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FAMOSA,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SILICES DE VERACRUZ,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 DEL ISTMO,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VICHISA, S.A. DE C.V.</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MEXICO S. DE R.L.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AUTOMATION DE MEXICO, S. DE R.L.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 C.V.</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Maria Evelia Hernandez Rodriguez</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Maria Evelia Hernandez Rodriguez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020"/>
          </w:cols>
          <w:pgMar w:left="1440" w:top="270" w:right="439"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FAMOSA B.V.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SIVESA B.V.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SISA MEXICO B.V.</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Marcel Stiphout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Marcel Stiphout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NETHERLANDS B.V.</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Jochen Linzenich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Jochen Linzenich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020"/>
          </w:cols>
          <w:pgMar w:left="1440" w:top="270" w:right="439" w:bottom="1440" w:gutter="0" w:footer="0" w:header="0"/>
        </w:sectPr>
      </w:pPr>
    </w:p>
    <w:bookmarkStart w:id="125" w:name="page126"/>
    <w:bookmarkEnd w:id="125"/>
    <w:p>
      <w:pPr>
        <w:jc w:val="right"/>
        <w:ind w:right="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PACKAGING EUROPEAN HOLDINGS GMBH</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Andrea Vavassori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Andrea Vavassori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of the Management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EUROPEAN DIVISION GMBH</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Andrea Vavassori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Andrea Vavassori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SWITZERLAND GMBH</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020"/>
          </w:cols>
          <w:pgMar w:left="1440" w:top="270" w:right="43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CARNAUDMETALBOX ENGINEERING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GROUP UK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OVERSEAS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PACKING SERVICES EMEA LIMITED</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Andrea Vavassori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Andrea Vavassori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MANUFACTURING UK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Jean-Francois Lelouch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Jean-Francois Lelouch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CROWN PACKAGING DISTRIBUTION UK LIMITED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Tim Conybeare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Tim Conybeare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UK HOLDINGS LIMITED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020"/>
          </w:cols>
          <w:pgMar w:left="1440" w:top="270" w:right="439"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UK LTD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Olaf Roth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Olaf Roth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MEC-A-TEC SERVICES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A. Beaver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A. Beaver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020"/>
          </w:cols>
          <w:pgMar w:left="1440" w:top="270" w:right="439"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 Association, as Trustee</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Adina Casper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Adina Casper</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Assistant Vice President</w:t>
      </w:r>
    </w:p>
    <w:p>
      <w:pPr>
        <w:spacing w:after="0" w:line="13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9920"/>
          </w:cols>
          <w:pgMar w:left="1440" w:top="270" w:right="539"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Europe DAC, as Paying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Michael Leong</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U.S. Bank Europe DAC, as Registrar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Michael Leong</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U.S. Bank Europe DAC, as Transfer Agent</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Michael Leong</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9019"/>
          </w:cols>
          <w:pgMar w:left="1440" w:top="270"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EXHIBIT A-1</w:t>
            </w:r>
          </w:p>
        </w:tc>
      </w:tr>
      <w:tr>
        <w:trPr>
          <w:trHeight w:val="453"/>
        </w:trPr>
        <w:tc>
          <w:tcPr>
            <w:tcW w:w="2260" w:type="dxa"/>
            <w:vAlign w:val="bottom"/>
          </w:tcPr>
          <w:p>
            <w:pPr>
              <w:spacing w:after="0"/>
              <w:rPr>
                <w:sz w:val="24"/>
                <w:szCs w:val="24"/>
                <w:color w:val="auto"/>
              </w:rPr>
            </w:pPr>
          </w:p>
        </w:tc>
        <w:tc>
          <w:tcPr>
            <w:tcW w:w="8440" w:type="dxa"/>
            <w:vAlign w:val="bottom"/>
            <w:gridSpan w:val="2"/>
          </w:tcPr>
          <w:p>
            <w:pPr>
              <w:jc w:val="center"/>
              <w:ind w:right="1870"/>
              <w:spacing w:after="0"/>
              <w:rPr>
                <w:sz w:val="20"/>
                <w:szCs w:val="20"/>
                <w:color w:val="auto"/>
              </w:rPr>
            </w:pPr>
            <w:r>
              <w:rPr>
                <w:rFonts w:ascii="Times New Roman" w:cs="Times New Roman" w:eastAsia="Times New Roman" w:hAnsi="Times New Roman"/>
                <w:sz w:val="18"/>
                <w:szCs w:val="18"/>
                <w:color w:val="auto"/>
                <w:w w:val="99"/>
              </w:rPr>
              <w:t>[FORM OF RESTRICTED NOTE]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260" w:type="dxa"/>
            <w:vAlign w:val="bottom"/>
          </w:tcPr>
          <w:p>
            <w:pPr>
              <w:spacing w:after="0"/>
              <w:rPr>
                <w:sz w:val="24"/>
                <w:szCs w:val="24"/>
                <w:color w:val="auto"/>
              </w:rPr>
            </w:pPr>
          </w:p>
        </w:tc>
        <w:tc>
          <w:tcPr>
            <w:tcW w:w="8440" w:type="dxa"/>
            <w:vAlign w:val="bottom"/>
            <w:gridSpan w:val="2"/>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CROWN EUROPEAN HOLDINGS S.A.</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260" w:type="dxa"/>
            <w:vAlign w:val="bottom"/>
          </w:tcPr>
          <w:p>
            <w:pPr>
              <w:spacing w:after="0"/>
              <w:rPr>
                <w:sz w:val="24"/>
                <w:szCs w:val="24"/>
                <w:color w:val="auto"/>
              </w:rPr>
            </w:pPr>
          </w:p>
        </w:tc>
        <w:tc>
          <w:tcPr>
            <w:tcW w:w="8440" w:type="dxa"/>
            <w:vAlign w:val="bottom"/>
            <w:gridSpan w:val="2"/>
          </w:tcPr>
          <w:p>
            <w:pPr>
              <w:jc w:val="center"/>
              <w:ind w:right="1870"/>
              <w:spacing w:after="0"/>
              <w:rPr>
                <w:sz w:val="20"/>
                <w:szCs w:val="20"/>
                <w:color w:val="auto"/>
              </w:rPr>
            </w:pPr>
            <w:r>
              <w:rPr>
                <w:rFonts w:ascii="Times New Roman" w:cs="Times New Roman" w:eastAsia="Times New Roman" w:hAnsi="Times New Roman"/>
                <w:sz w:val="18"/>
                <w:szCs w:val="18"/>
                <w:color w:val="auto"/>
              </w:rPr>
              <w:t>3.750% SENIOR NOTE DUE 2031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260" w:type="dxa"/>
            <w:vAlign w:val="bottom"/>
          </w:tcPr>
          <w:p>
            <w:pPr>
              <w:spacing w:after="0"/>
              <w:rPr>
                <w:sz w:val="24"/>
                <w:szCs w:val="24"/>
                <w:color w:val="auto"/>
              </w:rPr>
            </w:pPr>
          </w:p>
        </w:tc>
        <w:tc>
          <w:tcPr>
            <w:tcW w:w="8440" w:type="dxa"/>
            <w:vAlign w:val="bottom"/>
            <w:gridSpan w:val="2"/>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Global Note Legend</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b w:val="1"/>
                <w:bCs w:val="1"/>
                <w:i w:val="1"/>
                <w:iCs w:val="1"/>
                <w:color w:val="auto"/>
                <w:w w:val="99"/>
              </w:rPr>
              <w:t>if applicable</w:t>
            </w: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260" w:type="dxa"/>
            <w:vAlign w:val="bottom"/>
          </w:tcPr>
          <w:p>
            <w:pPr>
              <w:spacing w:after="0"/>
              <w:rPr>
                <w:sz w:val="24"/>
                <w:szCs w:val="24"/>
                <w:color w:val="auto"/>
              </w:rPr>
            </w:pPr>
          </w:p>
        </w:tc>
        <w:tc>
          <w:tcPr>
            <w:tcW w:w="8440" w:type="dxa"/>
            <w:vAlign w:val="bottom"/>
            <w:gridSpan w:val="2"/>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Insert Private Placement Legend</w:t>
            </w: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 [   ]</w:t>
            </w:r>
          </w:p>
        </w:tc>
        <w:tc>
          <w:tcPr>
            <w:tcW w:w="8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ISIN No.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60" w:type="dxa"/>
            <w:vAlign w:val="bottom"/>
          </w:tcPr>
          <w:p>
            <w:pPr>
              <w:spacing w:after="0"/>
              <w:rPr>
                <w:sz w:val="18"/>
                <w:szCs w:val="18"/>
                <w:color w:val="auto"/>
              </w:rPr>
            </w:pPr>
          </w:p>
        </w:tc>
        <w:tc>
          <w:tcPr>
            <w:tcW w:w="8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Common Code No.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60" w:firstLine="991"/>
        <w:spacing w:after="0" w:line="267" w:lineRule="auto"/>
        <w:rPr>
          <w:sz w:val="20"/>
          <w:szCs w:val="20"/>
          <w:color w:val="auto"/>
        </w:rPr>
      </w:pPr>
      <w:r>
        <w:rPr>
          <w:rFonts w:ascii="Times New Roman" w:cs="Times New Roman" w:eastAsia="Times New Roman" w:hAnsi="Times New Roman"/>
          <w:sz w:val="18"/>
          <w:szCs w:val="18"/>
          <w:color w:val="auto"/>
        </w:rPr>
        <w:t xml:space="preserve">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for value received, promises to pay to USB Nominees (UK) Limited or registered assigns the principal sum of [        ] (or such other principal amount as shall be set forth in the Schedule of Exchanges of Interests in Global Note attached hereto), on September 30, 2031.</w:t>
      </w:r>
    </w:p>
    <w:p>
      <w:pPr>
        <w:sectPr>
          <w:pgSz w:w="11900" w:h="16838" w:orient="portrait"/>
          <w:cols w:equalWidth="0" w:num="1">
            <w:col w:w="11020"/>
          </w:cols>
          <w:pgMar w:left="440" w:top="256" w:right="4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30 and September 30 commencing March 30, 2026.</w:t>
      </w:r>
    </w:p>
    <w:p>
      <w:pPr>
        <w:spacing w:after="0" w:line="200" w:lineRule="exact"/>
        <w:rPr>
          <w:sz w:val="20"/>
          <w:szCs w:val="20"/>
          <w:color w:val="auto"/>
        </w:rPr>
      </w:pPr>
    </w:p>
    <w:p>
      <w:pPr>
        <w:sectPr>
          <w:pgSz w:w="11900" w:h="16838" w:orient="portrait"/>
          <w:cols w:equalWidth="0" w:num="2">
            <w:col w:w="1720" w:space="380"/>
            <w:col w:w="8920"/>
          </w:cols>
          <w:pgMar w:left="440" w:top="256"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Dates: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and September 15 (whether or not a Business Day).</w:t>
      </w:r>
    </w:p>
    <w:p>
      <w:pPr>
        <w:spacing w:after="0" w:line="200" w:lineRule="exact"/>
        <w:rPr>
          <w:sz w:val="20"/>
          <w:szCs w:val="20"/>
          <w:color w:val="auto"/>
        </w:rPr>
      </w:pPr>
    </w:p>
    <w:p>
      <w:pPr>
        <w:sectPr>
          <w:pgSz w:w="11900" w:h="16838" w:orient="portrait"/>
          <w:cols w:equalWidth="0" w:num="2">
            <w:col w:w="1020" w:space="300"/>
            <w:col w:w="9700"/>
          </w:cols>
          <w:pgMar w:left="440" w:top="256" w:right="439" w:bottom="1440" w:gutter="0" w:footer="0" w:header="0"/>
          <w:type w:val="continuous"/>
        </w:sectPr>
      </w:pP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Reference is made to the further provisions of this Note contained herein, which will for all purposes have the same effect as if set forth 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place.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20"/>
          </w:cols>
          <w:pgMar w:left="440" w:top="256" w:right="4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Note to be signed by two of its duly authorized officers.</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CROWN EUROPEAN HOLDINGS S.A.</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9039"/>
          </w:cols>
          <w:pgMar w:left="1420" w:top="270" w:right="1440" w:bottom="1440" w:gutter="0" w:footer="0" w:header="0"/>
        </w:sectPr>
      </w:pPr>
    </w:p>
    <w:bookmarkStart w:id="132" w:name="page133"/>
    <w:bookmarkEnd w:id="132"/>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3.750% Senior Notes due 2031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019"/>
          </w:cols>
          <w:pgMar w:left="440" w:top="270" w:right="1440" w:bottom="1440" w:gutter="0" w:footer="0" w:header="0"/>
        </w:sectPr>
      </w:pPr>
    </w:p>
    <w:bookmarkStart w:id="133" w:name="page134"/>
    <w:bookmarkEnd w:id="133"/>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RESTRICTED NOTE]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CROWN EUROPEAN HOLDINGS S.A.</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3.750% SENIOR NOTE DUE 2031</w:t>
      </w:r>
    </w:p>
    <w:p>
      <w:pPr>
        <w:spacing w:after="0" w:line="223" w:lineRule="exact"/>
        <w:rPr>
          <w:sz w:val="20"/>
          <w:szCs w:val="20"/>
          <w:color w:val="auto"/>
        </w:rPr>
      </w:pPr>
    </w:p>
    <w:p>
      <w:pPr>
        <w:ind w:left="4" w:firstLine="987"/>
        <w:spacing w:after="0" w:line="225" w:lineRule="auto"/>
        <w:tabs>
          <w:tab w:leader="none" w:pos="11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set forth on the face hereof at a rate of 3.750% per annum. Interest hereon will accrue from and including the most recent date to which interest has been paid or, if no interest has been paid, from and including October 6, 2025</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but excluding the date on which interest is paid. Interest shall be payable in arrears on each March 30 and September 30, commencing March 30, 2026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If a payment date is a Legal Holiday at a place of payment, payment may be made at that place on the next succeeding day that is not a Legal Holiday, and no interest shall accrue for the intervening period.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99" w:lineRule="exact"/>
        <w:rPr>
          <w:rFonts w:ascii="Times New Roman" w:cs="Times New Roman" w:eastAsia="Times New Roman" w:hAnsi="Times New Roman"/>
          <w:sz w:val="18"/>
          <w:szCs w:val="18"/>
          <w:color w:val="auto"/>
        </w:rPr>
      </w:pPr>
    </w:p>
    <w:p>
      <w:pPr>
        <w:ind w:left="4" w:firstLine="987"/>
        <w:spacing w:after="0" w:line="261" w:lineRule="auto"/>
        <w:tabs>
          <w:tab w:leader="none" w:pos="11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 will pay interest hereon (except defaulted interest) to the Persons who are registered Holders at the close of business on March 15 or September 15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w:t>
      </w:r>
    </w:p>
    <w:p>
      <w:pPr>
        <w:spacing w:after="0" w:line="179"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17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Registrar and Transfer Agent</w:t>
      </w:r>
      <w:r>
        <w:rPr>
          <w:rFonts w:ascii="Times New Roman" w:cs="Times New Roman" w:eastAsia="Times New Roman" w:hAnsi="Times New Roman"/>
          <w:sz w:val="18"/>
          <w:szCs w:val="18"/>
          <w:color w:val="auto"/>
        </w:rPr>
        <w:t>. Initially, U.S. Bank Europe DAC, in Dublin will act as Paying Agent, Registrar and Transfer Agent. The Issuer may change any Paying Agent or Registrar without notice. The Issuer or any Affiliate thereof may act as Paying Agent or Registrar.</w:t>
      </w:r>
    </w:p>
    <w:p>
      <w:pPr>
        <w:spacing w:after="0" w:line="175"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 issued the 3.750% Senior Notes due 2031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under an Indenture dated as of October 6, 2025 (the</w:t>
      </w:r>
    </w:p>
    <w:p>
      <w:pPr>
        <w:spacing w:after="0" w:line="27" w:lineRule="exact"/>
        <w:rPr>
          <w:sz w:val="20"/>
          <w:szCs w:val="20"/>
          <w:color w:val="auto"/>
        </w:rPr>
      </w:pPr>
    </w:p>
    <w:p>
      <w:pPr>
        <w:ind w:left="4" w:right="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Guarantors, U.S. Bank Trust Company,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U.S. Bank Europe DAC,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registrar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7" w:lineRule="exact"/>
        <w:rPr>
          <w:sz w:val="20"/>
          <w:szCs w:val="20"/>
          <w:color w:val="auto"/>
        </w:rPr>
      </w:pPr>
    </w:p>
    <w:p>
      <w:pPr>
        <w:ind w:left="424" w:hanging="424"/>
        <w:spacing w:after="0"/>
        <w:tabs>
          <w:tab w:leader="none" w:pos="424" w:val="left"/>
        </w:tabs>
        <w:numPr>
          <w:ilvl w:val="0"/>
          <w:numId w:val="1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Notes issued on the Issue Date.</w:t>
      </w:r>
    </w:p>
    <w:p>
      <w:pPr>
        <w:ind w:left="424" w:hanging="424"/>
        <w:spacing w:after="0" w:line="180" w:lineRule="auto"/>
        <w:tabs>
          <w:tab w:leader="none" w:pos="424" w:val="left"/>
        </w:tabs>
        <w:numPr>
          <w:ilvl w:val="0"/>
          <w:numId w:val="1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 the case of Notes issued on the Issue Date.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04"/>
          </w:cols>
          <w:pgMar w:left="436" w:top="270" w:right="459" w:bottom="1440" w:gutter="0" w:footer="0" w:header="0"/>
        </w:sectPr>
      </w:pPr>
    </w:p>
    <w:bookmarkStart w:id="134" w:name="page135"/>
    <w:bookmarkEnd w:id="134"/>
    <w:p>
      <w:pPr>
        <w:ind w:left="1160" w:hanging="173"/>
        <w:spacing w:after="0"/>
        <w:tabs>
          <w:tab w:leader="none" w:pos="11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8"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June 30, 2031, the Issuer may redeem the Notes, at its option, in whole at any time or in part from time to time at a redemption price equal to 100% of the principal amount thereof, plus accrued and unpaid interest, if any, to, but excluding, the Make-Whole Redemption Date, plus the Make-Whole Premium (a “</w:t>
      </w:r>
      <w:r>
        <w:rPr>
          <w:rFonts w:ascii="Times New Roman" w:cs="Times New Roman" w:eastAsia="Times New Roman" w:hAnsi="Times New Roman"/>
          <w:sz w:val="18"/>
          <w:szCs w:val="18"/>
          <w:u w:val="single" w:color="auto"/>
          <w:color w:val="auto"/>
        </w:rPr>
        <w:t>Make-Whole Redemption</w:t>
      </w:r>
      <w:r>
        <w:rPr>
          <w:rFonts w:ascii="Times New Roman" w:cs="Times New Roman" w:eastAsia="Times New Roman" w:hAnsi="Times New Roman"/>
          <w:sz w:val="18"/>
          <w:szCs w:val="18"/>
          <w:color w:val="auto"/>
        </w:rPr>
        <w:t>”). The Issuer shall notify the Trustee of the Make-Whole Premium by delivering to the Trustee, on or before the Make-Whole Redemption Date, an Officers’ Certificate showing the calculation thereof in reasonable detail, and the Trustee shall have no responsibility for such calculation.</w:t>
      </w:r>
    </w:p>
    <w:p>
      <w:pPr>
        <w:spacing w:after="0" w:line="183"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June 30, 2031, the Issuer may redeem the Notes, at its option, in whole at any time or in part from time to time at a redemption price equal to 100% of the principal amount thereof, plus accrued and unpaid interest, if any, to, but excluding, the applicable redemption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76" w:lineRule="exact"/>
        <w:rPr>
          <w:sz w:val="20"/>
          <w:szCs w:val="20"/>
          <w:color w:val="auto"/>
        </w:rPr>
      </w:pPr>
    </w:p>
    <w:p>
      <w:pPr>
        <w:ind w:firstLine="987"/>
        <w:spacing w:after="0" w:line="253" w:lineRule="auto"/>
        <w:tabs>
          <w:tab w:leader="none" w:pos="117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Changes in Withholding Tax</w:t>
      </w:r>
      <w:r>
        <w:rPr>
          <w:rFonts w:ascii="Times New Roman" w:cs="Times New Roman" w:eastAsia="Times New Roman" w:hAnsi="Times New Roman"/>
          <w:sz w:val="18"/>
          <w:szCs w:val="18"/>
          <w:color w:val="auto"/>
        </w:rPr>
        <w:t>.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 (i) in the case of Additional Amounts payable by a successor Person to the Issuer, the date on which such successor Person became such pursuant to applicable provisions of the Indenture or (ii) 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00"/>
          </w:cols>
          <w:pgMar w:left="440" w:top="270" w:right="459" w:bottom="1440" w:gutter="0" w:footer="0" w:header="0"/>
        </w:sectPr>
      </w:pPr>
    </w:p>
    <w:bookmarkStart w:id="135" w:name="page136"/>
    <w:bookmarkEnd w:id="135"/>
    <w:p>
      <w:pPr>
        <w:jc w:val="both"/>
        <w:ind w:right="24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Immediately prior to 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w:t>
      </w:r>
    </w:p>
    <w:p>
      <w:pPr>
        <w:spacing w:after="0" w:line="187" w:lineRule="exact"/>
        <w:rPr>
          <w:sz w:val="20"/>
          <w:szCs w:val="20"/>
          <w:color w:val="auto"/>
        </w:rPr>
      </w:pPr>
    </w:p>
    <w:p>
      <w:pPr>
        <w:ind w:firstLine="987"/>
        <w:spacing w:after="0" w:line="261" w:lineRule="auto"/>
        <w:tabs>
          <w:tab w:leader="none" w:pos="117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79" w:lineRule="exact"/>
        <w:rPr>
          <w:rFonts w:ascii="Times New Roman" w:cs="Times New Roman" w:eastAsia="Times New Roman" w:hAnsi="Times New Roman"/>
          <w:sz w:val="18"/>
          <w:szCs w:val="18"/>
          <w:color w:val="auto"/>
        </w:rPr>
      </w:pPr>
    </w:p>
    <w:p>
      <w:pPr>
        <w:ind w:right="140" w:firstLine="987"/>
        <w:spacing w:after="0" w:line="312" w:lineRule="auto"/>
        <w:tabs>
          <w:tab w:leader="none" w:pos="1171"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Offers To Purchase</w:t>
      </w:r>
      <w:r>
        <w:rPr>
          <w:rFonts w:ascii="Times New Roman" w:cs="Times New Roman" w:eastAsia="Times New Roman" w:hAnsi="Times New Roman"/>
          <w:sz w:val="17"/>
          <w:szCs w:val="17"/>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39" w:lineRule="exact"/>
        <w:rPr>
          <w:rFonts w:ascii="Times New Roman" w:cs="Times New Roman" w:eastAsia="Times New Roman" w:hAnsi="Times New Roman"/>
          <w:sz w:val="17"/>
          <w:szCs w:val="17"/>
          <w:color w:val="auto"/>
        </w:rPr>
      </w:pPr>
    </w:p>
    <w:p>
      <w:pPr>
        <w:ind w:right="140" w:firstLine="987"/>
        <w:spacing w:after="0" w:line="256" w:lineRule="auto"/>
        <w:tabs>
          <w:tab w:leader="none" w:pos="117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8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this Note may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5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r>
        <w:rPr>
          <w:rFonts w:ascii="Times New Roman" w:cs="Times New Roman" w:eastAsia="Times New Roman" w:hAnsi="Times New Roman"/>
          <w:sz w:val="18"/>
          <w:szCs w:val="18"/>
          <w:color w:val="auto"/>
        </w:rPr>
        <w:t>.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00"/>
          </w:cols>
          <w:pgMar w:left="440" w:top="270" w:right="459" w:bottom="1440" w:gutter="0" w:footer="0" w:header="0"/>
        </w:sectPr>
      </w:pPr>
    </w:p>
    <w:bookmarkStart w:id="136" w:name="page137"/>
    <w:bookmarkEnd w:id="136"/>
    <w:p>
      <w:pPr>
        <w:ind w:right="20" w:firstLine="987"/>
        <w:spacing w:after="0" w:line="255" w:lineRule="auto"/>
        <w:tabs>
          <w:tab w:leader="none" w:pos="126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Supplement, Waiver, Etc</w:t>
      </w:r>
      <w:r>
        <w:rPr>
          <w:rFonts w:ascii="Times New Roman" w:cs="Times New Roman" w:eastAsia="Times New Roman" w:hAnsi="Times New Roman"/>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88" w:lineRule="exact"/>
        <w:rPr>
          <w:rFonts w:ascii="Times New Roman" w:cs="Times New Roman" w:eastAsia="Times New Roman" w:hAnsi="Times New Roman"/>
          <w:sz w:val="18"/>
          <w:szCs w:val="18"/>
          <w:color w:val="auto"/>
        </w:rPr>
      </w:pPr>
    </w:p>
    <w:p>
      <w:pPr>
        <w:ind w:right="120" w:firstLine="987"/>
        <w:spacing w:after="0" w:line="258" w:lineRule="auto"/>
        <w:tabs>
          <w:tab w:leader="none" w:pos="126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83" w:lineRule="exact"/>
        <w:rPr>
          <w:rFonts w:ascii="Times New Roman" w:cs="Times New Roman" w:eastAsia="Times New Roman" w:hAnsi="Times New Roman"/>
          <w:sz w:val="18"/>
          <w:szCs w:val="18"/>
          <w:color w:val="auto"/>
        </w:rPr>
      </w:pPr>
    </w:p>
    <w:p>
      <w:pPr>
        <w:ind w:right="40" w:firstLine="987"/>
        <w:spacing w:after="0" w:line="266" w:lineRule="auto"/>
        <w:tabs>
          <w:tab w:leader="none" w:pos="126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Corporation</w:t>
      </w:r>
      <w:r>
        <w:rPr>
          <w:rFonts w:ascii="Times New Roman" w:cs="Times New Roman" w:eastAsia="Times New Roman" w:hAnsi="Times New Roman"/>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6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outstanding Notes may rescind and annul such acceleration if:</w:t>
      </w:r>
    </w:p>
    <w:p>
      <w:pPr>
        <w:spacing w:after="0" w:line="99" w:lineRule="exact"/>
        <w:rPr>
          <w:sz w:val="20"/>
          <w:szCs w:val="20"/>
          <w:color w:val="auto"/>
        </w:rPr>
      </w:pPr>
    </w:p>
    <w:p>
      <w:pPr>
        <w:ind w:left="440" w:right="620" w:firstLine="419"/>
        <w:spacing w:after="0" w:line="282" w:lineRule="auto"/>
        <w:tabs>
          <w:tab w:leader="none" w:pos="111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0960"/>
          </w:cols>
          <w:pgMar w:left="440" w:top="270" w:right="499" w:bottom="1440" w:gutter="0" w:footer="0" w:header="0"/>
        </w:sectPr>
      </w:pPr>
    </w:p>
    <w:bookmarkStart w:id="137" w:name="page138"/>
    <w:bookmarkEnd w:id="137"/>
    <w:p>
      <w:pPr>
        <w:ind w:left="440" w:right="60" w:firstLine="419"/>
        <w:spacing w:after="0" w:line="282" w:lineRule="auto"/>
        <w:tabs>
          <w:tab w:leader="none" w:pos="111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and advances;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83" w:lineRule="exact"/>
        <w:rPr>
          <w:sz w:val="20"/>
          <w:szCs w:val="20"/>
          <w:color w:val="auto"/>
        </w:rPr>
      </w:pPr>
    </w:p>
    <w:p>
      <w:pPr>
        <w:ind w:right="380" w:firstLine="987"/>
        <w:spacing w:after="0" w:line="282" w:lineRule="auto"/>
        <w:tabs>
          <w:tab w:leader="none" w:pos="126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Issuer</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61"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6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79" w:lineRule="exact"/>
        <w:rPr>
          <w:rFonts w:ascii="Times New Roman" w:cs="Times New Roman" w:eastAsia="Times New Roman" w:hAnsi="Times New Roman"/>
          <w:sz w:val="18"/>
          <w:szCs w:val="18"/>
          <w:color w:val="auto"/>
        </w:rPr>
      </w:pPr>
    </w:p>
    <w:p>
      <w:pPr>
        <w:ind w:right="240" w:firstLine="987"/>
        <w:spacing w:after="0" w:line="261" w:lineRule="auto"/>
        <w:tabs>
          <w:tab w:leader="none" w:pos="126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w:t>
      </w:r>
    </w:p>
    <w:p>
      <w:pPr>
        <w:spacing w:after="0" w:line="179"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6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00"/>
          </w:cols>
          <w:pgMar w:left="440" w:top="270" w:right="459" w:bottom="1440" w:gutter="0" w:footer="0" w:header="0"/>
        </w:sectPr>
      </w:pPr>
    </w:p>
    <w:bookmarkStart w:id="138" w:name="page139"/>
    <w:bookmarkEnd w:id="138"/>
    <w:p>
      <w:pPr>
        <w:ind w:left="1180" w:hanging="273"/>
        <w:spacing w:after="0"/>
        <w:tabs>
          <w:tab w:leader="none" w:pos="1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Authentication</w:t>
      </w:r>
      <w:r>
        <w:rPr>
          <w:rFonts w:ascii="Times New Roman" w:cs="Times New Roman" w:eastAsia="Times New Roman" w:hAnsi="Times New Roman"/>
          <w:sz w:val="18"/>
          <w:szCs w:val="18"/>
          <w:color w:val="auto"/>
        </w:rPr>
        <w:t>. This Note shall not be valid until the Trustee signs the certificate of authentication on the other side of this Note.</w:t>
      </w:r>
    </w:p>
    <w:p>
      <w:pPr>
        <w:spacing w:after="0" w:line="225" w:lineRule="exact"/>
        <w:rPr>
          <w:rFonts w:ascii="Times New Roman" w:cs="Times New Roman" w:eastAsia="Times New Roman" w:hAnsi="Times New Roman"/>
          <w:sz w:val="18"/>
          <w:szCs w:val="18"/>
          <w:color w:val="auto"/>
        </w:rPr>
      </w:pPr>
    </w:p>
    <w:p>
      <w:pPr>
        <w:ind w:left="-80" w:firstLine="987"/>
        <w:spacing w:after="0" w:line="266" w:lineRule="auto"/>
        <w:tabs>
          <w:tab w:leader="none" w:pos="118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5" w:lineRule="exact"/>
        <w:rPr>
          <w:rFonts w:ascii="Times New Roman" w:cs="Times New Roman" w:eastAsia="Times New Roman" w:hAnsi="Times New Roman"/>
          <w:sz w:val="18"/>
          <w:szCs w:val="18"/>
          <w:color w:val="auto"/>
        </w:rPr>
      </w:pPr>
    </w:p>
    <w:p>
      <w:pPr>
        <w:ind w:left="-80" w:right="560" w:firstLine="987"/>
        <w:spacing w:after="0" w:line="266" w:lineRule="auto"/>
        <w:tabs>
          <w:tab w:leader="none" w:pos="118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 Rue Touzet Gaillard</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Attn: Timothy Donahue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Telephone: 33 1 4918 4000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Facsimile: 33 1 4918 4001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0860"/>
          </w:cols>
          <w:pgMar w:left="520" w:top="270" w:right="5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6995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17145</wp:posOffset>
            </wp:positionV>
            <wp:extent cx="58464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p>
      <w:pPr>
        <w:spacing w:after="0" w:line="252"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wp:posOffset>
            </wp:positionV>
            <wp:extent cx="67119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(Sign exactly as your name appears on the other side of</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this Note)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1000"/>
          </w:cols>
          <w:pgMar w:left="440" w:top="270" w:right="45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all or any part of this Note purchased by the Issuer pursuant to Section 4.08 of the Indenture, check the appropriate box:</w:t>
      </w:r>
    </w:p>
    <w:p>
      <w:pPr>
        <w:spacing w:after="0" w:line="67" w:lineRule="exact"/>
        <w:rPr>
          <w:sz w:val="20"/>
          <w:szCs w:val="20"/>
          <w:color w:val="auto"/>
        </w:rPr>
      </w:pPr>
    </w:p>
    <w:p>
      <w:pPr>
        <w:ind w:left="1140"/>
        <w:spacing w:after="0"/>
        <w:tabs>
          <w:tab w:leader="none" w:pos="18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Section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-119380</wp:posOffset>
            </wp:positionV>
            <wp:extent cx="454025"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4025" cy="154305"/>
                    </a:xfrm>
                    <a:prstGeom prst="rect">
                      <a:avLst/>
                    </a:prstGeom>
                    <a:noFill/>
                  </pic:spPr>
                </pic:pic>
              </a:graphicData>
            </a:graphic>
          </wp:anchor>
        </w:drawing>
      </w:r>
    </w:p>
    <w:p>
      <w:pPr>
        <w:spacing w:after="0" w:line="23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you want to have only part of the Note purchased by the Issuer pursuant to Section 4.08 of the Indenture, state the amount you elect to have purchased: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17145</wp:posOffset>
            </wp:positionV>
            <wp:extent cx="27343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(€1,000 or any integral multiple thereof; </w:t>
      </w:r>
      <w:r>
        <w:rPr>
          <w:rFonts w:ascii="Times New Roman" w:cs="Times New Roman" w:eastAsia="Times New Roman" w:hAnsi="Times New Roman"/>
          <w:sz w:val="18"/>
          <w:szCs w:val="18"/>
          <w:u w:val="single" w:color="auto"/>
          <w:color w:val="auto"/>
        </w:rPr>
        <w:t>provided</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that the part not purchased must be at least €100,000)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17145</wp:posOffset>
            </wp:positionV>
            <wp:extent cx="37719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1000"/>
          </w:cols>
          <w:pgMar w:left="440" w:top="270" w:right="45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vertAlign w:val="superscript"/>
        </w:rPr>
        <w:t>*</w:t>
      </w:r>
    </w:p>
    <w:p>
      <w:pPr>
        <w:spacing w:after="0" w:line="17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 decrease in</w:t>
            </w:r>
          </w:p>
        </w:tc>
        <w:tc>
          <w:tcPr>
            <w:tcW w:w="26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Amount of increase in</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28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Date of Exchange</w:t>
            </w:r>
          </w:p>
        </w:tc>
        <w:tc>
          <w:tcPr>
            <w:tcW w:w="100" w:type="dxa"/>
            <w:vAlign w:val="bottom"/>
            <w:vMerge w:val="restart"/>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6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36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signatory of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71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Insert in Global Securities only.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A-1-12</w:t>
      </w:r>
    </w:p>
    <w:p>
      <w:pPr>
        <w:sectPr>
          <w:pgSz w:w="11900" w:h="16838" w:orient="portrait"/>
          <w:cols w:equalWidth="0" w:num="1">
            <w:col w:w="11020"/>
          </w:cols>
          <w:pgMar w:left="440" w:top="270" w:right="4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9"/>
              </w:rPr>
              <w:t>EXHIBIT A-2</w:t>
            </w:r>
          </w:p>
        </w:tc>
      </w:tr>
      <w:tr>
        <w:trPr>
          <w:trHeight w:val="453"/>
        </w:trPr>
        <w:tc>
          <w:tcPr>
            <w:tcW w:w="2260" w:type="dxa"/>
            <w:vAlign w:val="bottom"/>
          </w:tcPr>
          <w:p>
            <w:pPr>
              <w:spacing w:after="0"/>
              <w:rPr>
                <w:sz w:val="24"/>
                <w:szCs w:val="24"/>
                <w:color w:val="auto"/>
              </w:rPr>
            </w:pPr>
          </w:p>
        </w:tc>
        <w:tc>
          <w:tcPr>
            <w:tcW w:w="808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color w:val="auto"/>
                <w:w w:val="99"/>
              </w:rPr>
              <w:t>[FORM OF UNRESTRICTED NOTE]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08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CROWN EUROPEAN HOLDINGS S.A.</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0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color w:val="auto"/>
              </w:rPr>
              <w:t>3.750% SENIOR NOTE DUE 2031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2260" w:type="dxa"/>
            <w:vAlign w:val="bottom"/>
          </w:tcPr>
          <w:p>
            <w:pPr>
              <w:spacing w:after="0"/>
              <w:rPr>
                <w:sz w:val="24"/>
                <w:szCs w:val="24"/>
                <w:color w:val="auto"/>
              </w:rPr>
            </w:pPr>
          </w:p>
        </w:tc>
        <w:tc>
          <w:tcPr>
            <w:tcW w:w="808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Global Note Legend</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b w:val="1"/>
                <w:bCs w:val="1"/>
                <w:i w:val="1"/>
                <w:iCs w:val="1"/>
                <w:color w:val="auto"/>
                <w:w w:val="99"/>
              </w:rPr>
              <w:t>if applicable</w:t>
            </w: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 [   ]</w:t>
            </w:r>
          </w:p>
        </w:tc>
        <w:tc>
          <w:tcPr>
            <w:tcW w:w="8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ISIN No.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60" w:type="dxa"/>
            <w:vAlign w:val="bottom"/>
          </w:tcPr>
          <w:p>
            <w:pPr>
              <w:spacing w:after="0"/>
              <w:rPr>
                <w:sz w:val="18"/>
                <w:szCs w:val="18"/>
                <w:color w:val="auto"/>
              </w:rPr>
            </w:pPr>
          </w:p>
        </w:tc>
        <w:tc>
          <w:tcPr>
            <w:tcW w:w="8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Common Code No.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6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60" w:firstLine="991"/>
        <w:spacing w:after="0" w:line="267" w:lineRule="auto"/>
        <w:rPr>
          <w:sz w:val="20"/>
          <w:szCs w:val="20"/>
          <w:color w:val="auto"/>
        </w:rPr>
      </w:pPr>
      <w:r>
        <w:rPr>
          <w:rFonts w:ascii="Times New Roman" w:cs="Times New Roman" w:eastAsia="Times New Roman" w:hAnsi="Times New Roman"/>
          <w:sz w:val="18"/>
          <w:szCs w:val="18"/>
          <w:color w:val="auto"/>
        </w:rPr>
        <w:t xml:space="preserve">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for value received, promises to pay to USB Nominees (UK) Limited or registered assigns the principal sum of [        ] (or such other principal amount as shall be set forth in the Schedule of Exchanges of Interests in Global Note attached hereto), on September 30, 2031.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March 30 and September 30 commencing March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March 15 and September 15 (whether or not a Business Day).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20"/>
          </w:cols>
          <w:pgMar w:left="440" w:top="256"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Note to be signed by two of its duly authorized officers.</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CROWN EUROPEAN HOLDINGS S.A.</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9039"/>
          </w:cols>
          <w:pgMar w:left="1420" w:top="270" w:right="1440" w:bottom="1440" w:gutter="0" w:footer="0" w:header="0"/>
        </w:sectPr>
      </w:pPr>
    </w:p>
    <w:bookmarkStart w:id="144" w:name="page145"/>
    <w:bookmarkEnd w:id="144"/>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3.750% Senior Notes due 2031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019"/>
          </w:cols>
          <w:pgMar w:left="440" w:top="270" w:right="1440" w:bottom="1440" w:gutter="0" w:footer="0" w:header="0"/>
        </w:sectPr>
      </w:pPr>
    </w:p>
    <w:bookmarkStart w:id="145" w:name="page146"/>
    <w:bookmarkEnd w:id="145"/>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UNRESTRICTED NOTE]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CROWN EUROPEAN HOLDINGS S.A.</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3.750% SENIOR NOTE DUE 2031</w:t>
      </w:r>
    </w:p>
    <w:p>
      <w:pPr>
        <w:spacing w:after="0" w:line="223" w:lineRule="exact"/>
        <w:rPr>
          <w:sz w:val="20"/>
          <w:szCs w:val="20"/>
          <w:color w:val="auto"/>
        </w:rPr>
      </w:pPr>
    </w:p>
    <w:p>
      <w:pPr>
        <w:ind w:left="4" w:firstLine="987"/>
        <w:spacing w:after="0" w:line="225" w:lineRule="auto"/>
        <w:tabs>
          <w:tab w:leader="none" w:pos="11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CROWN EUROPEAN HOLDINGS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set forth on the face hereof at a rate of 3.750% per annum. Interest hereon will accrue from and including the most recent date to which interest has been paid or, if no interest has been paid, from and including October 6, 2025</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to but excluding the date on which interest is paid. Interest shall be payable in arrears on each March 30 and September 30 commencing March 30, 2026</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If a payment date is a Legal Holiday at a place of payment, payment may be made at that place on the next succeeding day that is not a Legal Holiday, and no interest shall accrue for the intervening period.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99" w:lineRule="exact"/>
        <w:rPr>
          <w:rFonts w:ascii="Times New Roman" w:cs="Times New Roman" w:eastAsia="Times New Roman" w:hAnsi="Times New Roman"/>
          <w:sz w:val="18"/>
          <w:szCs w:val="18"/>
          <w:color w:val="auto"/>
        </w:rPr>
      </w:pPr>
    </w:p>
    <w:p>
      <w:pPr>
        <w:ind w:left="4" w:firstLine="987"/>
        <w:spacing w:after="0" w:line="261" w:lineRule="auto"/>
        <w:tabs>
          <w:tab w:leader="none" w:pos="11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 will pay interest hereon (except defaulted interest) to the Persons who are registered Holders at the close of business on March 15 or September 15 preceding the interest payment date (whether or not a Business Day). Holders must surrender Notes to a Paying Agent to collect principal payments. The Issuer will pay principal and interest in Euros. Interest may be paid by check mailed to the Holder entitled thereto at the address indicated on the register maintained by the Registrar for the Notes.</w:t>
      </w:r>
    </w:p>
    <w:p>
      <w:pPr>
        <w:spacing w:after="0" w:line="179"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1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Registrar and Transfer Agent</w:t>
      </w:r>
      <w:r>
        <w:rPr>
          <w:rFonts w:ascii="Times New Roman" w:cs="Times New Roman" w:eastAsia="Times New Roman" w:hAnsi="Times New Roman"/>
          <w:sz w:val="18"/>
          <w:szCs w:val="18"/>
          <w:color w:val="auto"/>
        </w:rPr>
        <w:t>. Initially, U.S. Bank Europe DAC, in Dublin will act as Paying Agent, Registrar and Transfer Agent. The Issuer may change any Paying Agent or Registrar without notice. The Issuer or any Affiliate thereof may act as Paying Agent or Registrar.</w:t>
      </w:r>
    </w:p>
    <w:p>
      <w:pPr>
        <w:spacing w:after="0" w:line="175"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 issued 3.750% Senior Notes due 2031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under an Indenture dated as of October 6, 2025 (the</w:t>
      </w:r>
    </w:p>
    <w:p>
      <w:pPr>
        <w:spacing w:after="0" w:line="27" w:lineRule="exact"/>
        <w:rPr>
          <w:sz w:val="20"/>
          <w:szCs w:val="20"/>
          <w:color w:val="auto"/>
        </w:rPr>
      </w:pPr>
    </w:p>
    <w:p>
      <w:pPr>
        <w:ind w:left="4" w:right="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Guarantors, U.S. Bank Trust Company,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U.S. Bank Europe DAC,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registrar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7" w:lineRule="exact"/>
        <w:rPr>
          <w:sz w:val="20"/>
          <w:szCs w:val="20"/>
          <w:color w:val="auto"/>
        </w:rPr>
      </w:pPr>
    </w:p>
    <w:p>
      <w:pPr>
        <w:ind w:left="424" w:hanging="424"/>
        <w:spacing w:after="0"/>
        <w:tabs>
          <w:tab w:leader="none" w:pos="424" w:val="left"/>
        </w:tabs>
        <w:numPr>
          <w:ilvl w:val="0"/>
          <w:numId w:val="1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Notes issued on the Issue Date.</w:t>
      </w:r>
    </w:p>
    <w:p>
      <w:pPr>
        <w:ind w:left="424" w:hanging="424"/>
        <w:spacing w:after="0" w:line="180" w:lineRule="auto"/>
        <w:tabs>
          <w:tab w:leader="none" w:pos="424" w:val="left"/>
        </w:tabs>
        <w:numPr>
          <w:ilvl w:val="0"/>
          <w:numId w:val="1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 the case of Notes issued on the Issue Date.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004"/>
          </w:cols>
          <w:pgMar w:left="436" w:top="270" w:right="459" w:bottom="1440" w:gutter="0" w:footer="0" w:header="0"/>
        </w:sectPr>
      </w:pPr>
    </w:p>
    <w:bookmarkStart w:id="146" w:name="page147"/>
    <w:bookmarkEnd w:id="146"/>
    <w:p>
      <w:pPr>
        <w:ind w:left="1160" w:hanging="173"/>
        <w:spacing w:after="0"/>
        <w:tabs>
          <w:tab w:leader="none" w:pos="11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8"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June 30, 2031, the Issuer may redeem the Notes, at its option, in whole at any time or in part from time to time at a redemption price equal to 100% of the principal amount thereof, plus accrued and unpaid interest, if any, to, but excluding, the Make-Whole Redemption Date, plus the Make-Whole Premium (a “</w:t>
      </w:r>
      <w:r>
        <w:rPr>
          <w:rFonts w:ascii="Times New Roman" w:cs="Times New Roman" w:eastAsia="Times New Roman" w:hAnsi="Times New Roman"/>
          <w:sz w:val="18"/>
          <w:szCs w:val="18"/>
          <w:u w:val="single" w:color="auto"/>
          <w:color w:val="auto"/>
        </w:rPr>
        <w:t>Make-Whole Redemption</w:t>
      </w:r>
      <w:r>
        <w:rPr>
          <w:rFonts w:ascii="Times New Roman" w:cs="Times New Roman" w:eastAsia="Times New Roman" w:hAnsi="Times New Roman"/>
          <w:sz w:val="18"/>
          <w:szCs w:val="18"/>
          <w:color w:val="auto"/>
        </w:rPr>
        <w:t>”). The Issuer shall notify the Trustee of the Make-Whole Premium by delivering to the Trustee, on or before the Make-Whole Redemption Date, an Officers’ Certificate showing the calculation thereof in reasonable detail, and the Trustee shall have no responsibility for such calculation.</w:t>
      </w:r>
    </w:p>
    <w:p>
      <w:pPr>
        <w:spacing w:after="0" w:line="183"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June 30, 2031, the Issuer may redeem the Notes, at its option, in whole at any time or in part from time to time at a redemption price equal to 100% of the principal amount thereof, plus accrued and unpaid interest, if any, to, but excluding, the applicable redemption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this Indenture.</w:t>
      </w:r>
    </w:p>
    <w:p>
      <w:pPr>
        <w:spacing w:after="0" w:line="176" w:lineRule="exact"/>
        <w:rPr>
          <w:sz w:val="20"/>
          <w:szCs w:val="20"/>
          <w:color w:val="auto"/>
        </w:rPr>
      </w:pPr>
    </w:p>
    <w:p>
      <w:pPr>
        <w:ind w:firstLine="987"/>
        <w:spacing w:after="0" w:line="253" w:lineRule="auto"/>
        <w:tabs>
          <w:tab w:leader="none" w:pos="117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for Changes in Withholding Tax</w:t>
      </w:r>
      <w:r>
        <w:rPr>
          <w:rFonts w:ascii="Times New Roman" w:cs="Times New Roman" w:eastAsia="Times New Roman" w:hAnsi="Times New Roman"/>
          <w:sz w:val="18"/>
          <w:szCs w:val="18"/>
          <w:color w:val="auto"/>
        </w:rPr>
        <w:t>. The Issuer may, at its option, redeem all, but not less than all, of the Notes then outstanding at a redemption price equal to 100% of the principal amount of the Notes, plus accrued and unpaid interest thereon to the Redemption Date. This redemption applies only if as a result of any amendment to, or change in, the laws or treaties (including any rulings or regulations promulgated thereunder) of any Taxing Jurisdiction, or any amendment to or change in any official position of a taxing authority in any Taxing Jurisdiction concerning the interpretation, administration or application of such laws, treaties, rulings or regulations (including by virtue of a holding by a court of competent jurisdiction), which amendment or change in each case is announced and effective on or after the Issue Date (or, (i) in the case of Additional Amounts payable by a successor Person to the Issuer, the date on which such successor Person became such pursuant to applicable provisions of the Indenture or (ii) in the case Additional Amounts caused by a tax imposed by a jurisdiction that became a Taxing Jurisdiction after the Issue Date, the date on which such jurisdiction became a Taxing Jurisdiction), the Issuer has become or will become obligated to pay material Additional Amounts (pursuant to Section 4.20 of the Indenture) on the next date on which any amount would be payable with respect to the Notes and the Issuer reasonably determines in good faith that such obligation cannot be avoided (including, without limitation, by changing the jurisdiction from which or through which payment is made) by the use of reasonable measures available to the Issuer.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000"/>
          </w:cols>
          <w:pgMar w:left="440" w:top="270" w:right="459" w:bottom="1440" w:gutter="0" w:footer="0" w:header="0"/>
        </w:sectPr>
      </w:pPr>
    </w:p>
    <w:bookmarkStart w:id="147" w:name="page148"/>
    <w:bookmarkEnd w:id="147"/>
    <w:p>
      <w:pPr>
        <w:jc w:val="both"/>
        <w:ind w:right="24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such redemption may not be given earlier than 90 days prior to the earliest date on which the Issuer would be obligated to pay such Additional Amounts were a payment in respect of the Notes then due nor later than 180 days after such amendment or change referred to in the preceding paragraph. At the time such notice of redemption is given, such obligation to pay such Additional Amounts must remain in effect.</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Immediately prior to the mailing of any notice of redemption described above, the Issuer shall deliver to the Trustee (i) an Officers’ Certificate stating that the Issuer is entitled to elect to effect such redemption and setting forth a statement of facts showing that the conditions precedent to the right of the Issuer so to elect to redeem have occurred and (ii) an opinion of independent legal counsel qualified under the laws of the relevant jurisdiction to the effect that the Issuer or such successor Person, as the case may be, has or will become obligated to pay such Additional Amounts as a result of such amendment or change.</w:t>
      </w:r>
    </w:p>
    <w:p>
      <w:pPr>
        <w:spacing w:after="0" w:line="187" w:lineRule="exact"/>
        <w:rPr>
          <w:sz w:val="20"/>
          <w:szCs w:val="20"/>
          <w:color w:val="auto"/>
        </w:rPr>
      </w:pPr>
    </w:p>
    <w:p>
      <w:pPr>
        <w:ind w:firstLine="987"/>
        <w:spacing w:after="0" w:line="261" w:lineRule="auto"/>
        <w:tabs>
          <w:tab w:leader="none" w:pos="117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79" w:lineRule="exact"/>
        <w:rPr>
          <w:rFonts w:ascii="Times New Roman" w:cs="Times New Roman" w:eastAsia="Times New Roman" w:hAnsi="Times New Roman"/>
          <w:sz w:val="18"/>
          <w:szCs w:val="18"/>
          <w:color w:val="auto"/>
        </w:rPr>
      </w:pPr>
    </w:p>
    <w:p>
      <w:pPr>
        <w:ind w:right="140" w:firstLine="987"/>
        <w:spacing w:after="0" w:line="312" w:lineRule="auto"/>
        <w:tabs>
          <w:tab w:leader="none" w:pos="117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Offers To Purchase</w:t>
      </w:r>
      <w:r>
        <w:rPr>
          <w:rFonts w:ascii="Times New Roman" w:cs="Times New Roman" w:eastAsia="Times New Roman" w:hAnsi="Times New Roman"/>
          <w:sz w:val="17"/>
          <w:szCs w:val="17"/>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39" w:lineRule="exact"/>
        <w:rPr>
          <w:rFonts w:ascii="Times New Roman" w:cs="Times New Roman" w:eastAsia="Times New Roman" w:hAnsi="Times New Roman"/>
          <w:sz w:val="17"/>
          <w:szCs w:val="17"/>
          <w:color w:val="auto"/>
        </w:rPr>
      </w:pPr>
    </w:p>
    <w:p>
      <w:pPr>
        <w:ind w:right="140" w:firstLine="987"/>
        <w:spacing w:after="0" w:line="256" w:lineRule="auto"/>
        <w:tabs>
          <w:tab w:leader="none" w:pos="117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denominations of €100,000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8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this Note may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5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r>
        <w:rPr>
          <w:rFonts w:ascii="Times New Roman" w:cs="Times New Roman" w:eastAsia="Times New Roman" w:hAnsi="Times New Roman"/>
          <w:sz w:val="18"/>
          <w:szCs w:val="18"/>
          <w:color w:val="auto"/>
        </w:rPr>
        <w:t>. If money for the payment of principal or interest remains unclaimed for two years, the Trustee or any Paying Agent will pay the money back to the Issuer at its written request. After that, Holders entitled to the money must look to the Issuer and the Guarantors for payment as general creditors unless an “abandoned property” law designates another Person.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000"/>
          </w:cols>
          <w:pgMar w:left="440" w:top="270" w:right="459" w:bottom="1440" w:gutter="0" w:footer="0" w:header="0"/>
        </w:sectPr>
      </w:pPr>
    </w:p>
    <w:bookmarkStart w:id="148" w:name="page149"/>
    <w:bookmarkEnd w:id="148"/>
    <w:p>
      <w:pPr>
        <w:ind w:right="20" w:firstLine="987"/>
        <w:spacing w:after="0" w:line="255" w:lineRule="auto"/>
        <w:tabs>
          <w:tab w:leader="none" w:pos="12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Supplement, Waiver, Etc</w:t>
      </w:r>
      <w:r>
        <w:rPr>
          <w:rFonts w:ascii="Times New Roman" w:cs="Times New Roman" w:eastAsia="Times New Roman" w:hAnsi="Times New Roman"/>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88" w:lineRule="exact"/>
        <w:rPr>
          <w:rFonts w:ascii="Times New Roman" w:cs="Times New Roman" w:eastAsia="Times New Roman" w:hAnsi="Times New Roman"/>
          <w:sz w:val="18"/>
          <w:szCs w:val="18"/>
          <w:color w:val="auto"/>
        </w:rPr>
      </w:pPr>
    </w:p>
    <w:p>
      <w:pPr>
        <w:ind w:right="120" w:firstLine="987"/>
        <w:spacing w:after="0" w:line="258" w:lineRule="auto"/>
        <w:tabs>
          <w:tab w:leader="none" w:pos="12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83" w:lineRule="exact"/>
        <w:rPr>
          <w:rFonts w:ascii="Times New Roman" w:cs="Times New Roman" w:eastAsia="Times New Roman" w:hAnsi="Times New Roman"/>
          <w:sz w:val="18"/>
          <w:szCs w:val="18"/>
          <w:color w:val="auto"/>
        </w:rPr>
      </w:pPr>
    </w:p>
    <w:p>
      <w:pPr>
        <w:ind w:right="40" w:firstLine="987"/>
        <w:spacing w:after="0" w:line="266" w:lineRule="auto"/>
        <w:tabs>
          <w:tab w:leader="none" w:pos="12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Corporation</w:t>
      </w:r>
      <w:r>
        <w:rPr>
          <w:rFonts w:ascii="Times New Roman" w:cs="Times New Roman" w:eastAsia="Times New Roman" w:hAnsi="Times New Roman"/>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6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outstanding Notes may rescind and annul such acceleration if:</w:t>
      </w:r>
    </w:p>
    <w:p>
      <w:pPr>
        <w:spacing w:after="0" w:line="99" w:lineRule="exact"/>
        <w:rPr>
          <w:sz w:val="20"/>
          <w:szCs w:val="20"/>
          <w:color w:val="auto"/>
        </w:rPr>
      </w:pPr>
    </w:p>
    <w:p>
      <w:pPr>
        <w:ind w:left="440" w:right="620" w:firstLine="419"/>
        <w:spacing w:after="0" w:line="282" w:lineRule="auto"/>
        <w:tabs>
          <w:tab w:leader="none" w:pos="111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0960"/>
          </w:cols>
          <w:pgMar w:left="440" w:top="270" w:right="499" w:bottom="1440" w:gutter="0" w:footer="0" w:header="0"/>
        </w:sectPr>
      </w:pPr>
    </w:p>
    <w:bookmarkStart w:id="149" w:name="page150"/>
    <w:bookmarkEnd w:id="149"/>
    <w:p>
      <w:pPr>
        <w:ind w:left="440" w:right="60" w:firstLine="419"/>
        <w:spacing w:after="0" w:line="282" w:lineRule="auto"/>
        <w:tabs>
          <w:tab w:leader="none" w:pos="111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and advances;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83" w:lineRule="exact"/>
        <w:rPr>
          <w:sz w:val="20"/>
          <w:szCs w:val="20"/>
          <w:color w:val="auto"/>
        </w:rPr>
      </w:pPr>
    </w:p>
    <w:p>
      <w:pPr>
        <w:ind w:right="380" w:firstLine="987"/>
        <w:spacing w:after="0" w:line="282" w:lineRule="auto"/>
        <w:tabs>
          <w:tab w:leader="none" w:pos="126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Issuer</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61"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6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or stockholder of Parent or of any Subsidiary of Parent,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79" w:lineRule="exact"/>
        <w:rPr>
          <w:rFonts w:ascii="Times New Roman" w:cs="Times New Roman" w:eastAsia="Times New Roman" w:hAnsi="Times New Roman"/>
          <w:sz w:val="18"/>
          <w:szCs w:val="18"/>
          <w:color w:val="auto"/>
        </w:rPr>
      </w:pPr>
    </w:p>
    <w:p>
      <w:pPr>
        <w:ind w:right="240" w:firstLine="987"/>
        <w:spacing w:after="0" w:line="261" w:lineRule="auto"/>
        <w:tabs>
          <w:tab w:leader="none" w:pos="126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Euros, EU Government Obligations or a combination thereof, in such amounts as will be sufficient to pay when due principal of and interest on the Notes to maturity or redemption, as the case may be.</w:t>
      </w:r>
    </w:p>
    <w:p>
      <w:pPr>
        <w:spacing w:after="0" w:line="179"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6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000"/>
          </w:cols>
          <w:pgMar w:left="440" w:top="270" w:right="459" w:bottom="1440" w:gutter="0" w:footer="0" w:header="0"/>
        </w:sectPr>
      </w:pPr>
    </w:p>
    <w:bookmarkStart w:id="150" w:name="page151"/>
    <w:bookmarkEnd w:id="150"/>
    <w:p>
      <w:pPr>
        <w:ind w:left="1180" w:hanging="273"/>
        <w:spacing w:after="0"/>
        <w:tabs>
          <w:tab w:leader="none" w:pos="1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Authentication</w:t>
      </w:r>
      <w:r>
        <w:rPr>
          <w:rFonts w:ascii="Times New Roman" w:cs="Times New Roman" w:eastAsia="Times New Roman" w:hAnsi="Times New Roman"/>
          <w:sz w:val="18"/>
          <w:szCs w:val="18"/>
          <w:color w:val="auto"/>
        </w:rPr>
        <w:t>. This Note shall not be valid until the Trustee signs the certificate of authentication on the other side of this Note.</w:t>
      </w:r>
    </w:p>
    <w:p>
      <w:pPr>
        <w:spacing w:after="0" w:line="225" w:lineRule="exact"/>
        <w:rPr>
          <w:rFonts w:ascii="Times New Roman" w:cs="Times New Roman" w:eastAsia="Times New Roman" w:hAnsi="Times New Roman"/>
          <w:sz w:val="18"/>
          <w:szCs w:val="18"/>
          <w:color w:val="auto"/>
        </w:rPr>
      </w:pPr>
    </w:p>
    <w:p>
      <w:pPr>
        <w:ind w:left="-80" w:firstLine="987"/>
        <w:spacing w:after="0" w:line="266" w:lineRule="auto"/>
        <w:tabs>
          <w:tab w:leader="none" w:pos="118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5" w:lineRule="exact"/>
        <w:rPr>
          <w:rFonts w:ascii="Times New Roman" w:cs="Times New Roman" w:eastAsia="Times New Roman" w:hAnsi="Times New Roman"/>
          <w:sz w:val="18"/>
          <w:szCs w:val="18"/>
          <w:color w:val="auto"/>
        </w:rPr>
      </w:pPr>
    </w:p>
    <w:p>
      <w:pPr>
        <w:ind w:left="-80" w:right="560" w:firstLine="987"/>
        <w:spacing w:after="0" w:line="266" w:lineRule="auto"/>
        <w:tabs>
          <w:tab w:leader="none" w:pos="118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1 Rue Touzet Gaillard</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Attn: Timothy Donahue</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Telephone: 33 1 4918 4000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Facsimile: 33 1 4918 4001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0860"/>
          </w:cols>
          <w:pgMar w:left="520" w:top="270" w:right="5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6995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17145</wp:posOffset>
            </wp:positionV>
            <wp:extent cx="58464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191"/>
        </w:trPr>
        <w:tc>
          <w:tcPr>
            <w:tcW w:w="440" w:type="dxa"/>
            <w:vAlign w:val="bottom"/>
          </w:tcPr>
          <w:p>
            <w:pPr>
              <w:spacing w:after="0"/>
              <w:rPr>
                <w:sz w:val="16"/>
                <w:szCs w:val="16"/>
                <w:color w:val="auto"/>
              </w:rPr>
            </w:pPr>
          </w:p>
        </w:tc>
        <w:tc>
          <w:tcPr>
            <w:tcW w:w="4320" w:type="dxa"/>
            <w:vAlign w:val="bottom"/>
            <w:tcBorders>
              <w:top w:val="single" w:sz="8" w:color="auto"/>
            </w:tcBorders>
          </w:tcPr>
          <w:p>
            <w:pPr>
              <w:spacing w:after="0"/>
              <w:rPr>
                <w:sz w:val="16"/>
                <w:szCs w:val="16"/>
                <w:color w:val="auto"/>
              </w:rPr>
            </w:pPr>
          </w:p>
        </w:tc>
        <w:tc>
          <w:tcPr>
            <w:tcW w:w="1960" w:type="dxa"/>
            <w:vAlign w:val="bottom"/>
          </w:tcPr>
          <w:p>
            <w:pPr>
              <w:spacing w:after="0"/>
              <w:rPr>
                <w:sz w:val="16"/>
                <w:szCs w:val="16"/>
                <w:color w:val="auto"/>
              </w:rPr>
            </w:pPr>
          </w:p>
        </w:tc>
        <w:tc>
          <w:tcPr>
            <w:tcW w:w="43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(Sign exactly as your name appears on the other side of</w:t>
            </w:r>
          </w:p>
        </w:tc>
      </w:tr>
      <w:tr>
        <w:trPr>
          <w:trHeight w:val="234"/>
        </w:trPr>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this Note)</w:t>
            </w:r>
          </w:p>
        </w:tc>
      </w:tr>
      <w:tr>
        <w:trPr>
          <w:trHeight w:val="43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 ______________________________</w:t>
            </w:r>
          </w:p>
        </w:tc>
        <w:tc>
          <w:tcPr>
            <w:tcW w:w="1960" w:type="dxa"/>
            <w:vAlign w:val="bottom"/>
          </w:tcPr>
          <w:p>
            <w:pPr>
              <w:spacing w:after="0"/>
              <w:rPr>
                <w:sz w:val="24"/>
                <w:szCs w:val="24"/>
                <w:color w:val="auto"/>
              </w:rPr>
            </w:pPr>
          </w:p>
        </w:tc>
        <w:tc>
          <w:tcPr>
            <w:tcW w:w="43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A-2-10</w:t>
      </w:r>
    </w:p>
    <w:p>
      <w:pPr>
        <w:sectPr>
          <w:pgSz w:w="11900" w:h="16838" w:orient="portrait"/>
          <w:cols w:equalWidth="0" w:num="1">
            <w:col w:w="11020"/>
          </w:cols>
          <w:pgMar w:left="440" w:top="270" w:right="4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all or any part of this Note purchased by the Issuer pursuant to Section 4.08 of the Indenture, check the appropriate box:</w:t>
      </w:r>
    </w:p>
    <w:p>
      <w:pPr>
        <w:spacing w:after="0" w:line="67" w:lineRule="exact"/>
        <w:rPr>
          <w:sz w:val="20"/>
          <w:szCs w:val="20"/>
          <w:color w:val="auto"/>
        </w:rPr>
      </w:pPr>
    </w:p>
    <w:p>
      <w:pPr>
        <w:ind w:left="1140"/>
        <w:spacing w:after="0"/>
        <w:tabs>
          <w:tab w:leader="none" w:pos="17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Section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-119380</wp:posOffset>
            </wp:positionV>
            <wp:extent cx="454025"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4025" cy="154305"/>
                    </a:xfrm>
                    <a:prstGeom prst="rect">
                      <a:avLst/>
                    </a:prstGeom>
                    <a:noFill/>
                  </pic:spPr>
                </pic:pic>
              </a:graphicData>
            </a:graphic>
          </wp:anchor>
        </w:drawing>
      </w:r>
    </w:p>
    <w:p>
      <w:pPr>
        <w:spacing w:after="0" w:line="23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you want to have only part of the Note purchased by the Issuer pursuant to Section 4.08 of the Indenture, state the amount you elect to have purchased: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-7620</wp:posOffset>
            </wp:positionV>
            <wp:extent cx="22853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(€1,000 or any integral multiple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 not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purchased must be at least €100,000)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13709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(Sign exactly as your name appears on the face of this</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Note)</w:t>
      </w:r>
    </w:p>
    <w:p>
      <w:pPr>
        <w:spacing w:after="0" w:line="200" w:lineRule="exact"/>
        <w:rPr>
          <w:sz w:val="20"/>
          <w:szCs w:val="20"/>
          <w:color w:val="auto"/>
        </w:rPr>
      </w:pPr>
    </w:p>
    <w:p>
      <w:pPr>
        <w:spacing w:after="0" w:line="2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19627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A-2-11</w:t>
      </w:r>
    </w:p>
    <w:p>
      <w:pPr>
        <w:sectPr>
          <w:pgSz w:w="11900" w:h="16838" w:orient="portrait"/>
          <w:cols w:equalWidth="0" w:num="1">
            <w:col w:w="11000"/>
          </w:cols>
          <w:pgMar w:left="440" w:top="270" w:right="45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vertAlign w:val="superscript"/>
        </w:rPr>
        <w:t>*</w:t>
      </w:r>
    </w:p>
    <w:p>
      <w:pPr>
        <w:spacing w:after="0" w:line="17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decrease in</w:t>
            </w:r>
          </w:p>
        </w:tc>
        <w:tc>
          <w:tcPr>
            <w:tcW w:w="2200" w:type="dxa"/>
            <w:vAlign w:val="bottom"/>
            <w:gridSpan w:val="2"/>
            <w:vMerge w:val="restart"/>
          </w:tcPr>
          <w:p>
            <w:pPr>
              <w:jc w:val="center"/>
              <w:ind w:left="848"/>
              <w:spacing w:after="0"/>
              <w:rPr>
                <w:sz w:val="20"/>
                <w:szCs w:val="20"/>
                <w:color w:val="auto"/>
              </w:rPr>
            </w:pPr>
            <w:r>
              <w:rPr>
                <w:rFonts w:ascii="Times New Roman" w:cs="Times New Roman" w:eastAsia="Times New Roman" w:hAnsi="Times New Roman"/>
                <w:sz w:val="14"/>
                <w:szCs w:val="14"/>
                <w:color w:val="auto"/>
              </w:rPr>
              <w:t>Amount of increase in</w:t>
            </w:r>
          </w:p>
        </w:tc>
        <w:tc>
          <w:tcPr>
            <w:tcW w:w="92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w:t>
            </w: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this Global Note following</w:t>
            </w: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9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9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such</w:t>
            </w:r>
          </w:p>
        </w:tc>
        <w:tc>
          <w:tcPr>
            <w:tcW w:w="9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w:t>
            </w:r>
          </w:p>
        </w:tc>
        <w:tc>
          <w:tcPr>
            <w:tcW w:w="1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9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9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9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9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signatory of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248285</wp:posOffset>
            </wp:positionV>
            <wp:extent cx="7715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1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27"/>
          <w:szCs w:val="27"/>
          <w:color w:val="auto"/>
          <w:vertAlign w:val="superscript"/>
        </w:rPr>
        <w:t>*</w:t>
      </w:r>
      <w:r>
        <w:rPr>
          <w:sz w:val="20"/>
          <w:szCs w:val="20"/>
          <w:color w:val="auto"/>
        </w:rPr>
        <w:tab/>
      </w:r>
      <w:r>
        <w:rPr>
          <w:rFonts w:ascii="Times New Roman" w:cs="Times New Roman" w:eastAsia="Times New Roman" w:hAnsi="Times New Roman"/>
          <w:sz w:val="18"/>
          <w:szCs w:val="18"/>
          <w:color w:val="auto"/>
        </w:rPr>
        <w:t>Insert in Global Securities only.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A-2-12</w:t>
      </w:r>
    </w:p>
    <w:p>
      <w:pPr>
        <w:sectPr>
          <w:pgSz w:w="11900" w:h="16838" w:orient="portrait"/>
          <w:cols w:equalWidth="0" w:num="1">
            <w:col w:w="11020"/>
          </w:cols>
          <w:pgMar w:left="440" w:top="270" w:right="4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RESTRICTED SECURITIES]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Any Restricted Note authenticated and delivered hereunder shall bear a legend (which would be in addition to any other legends required in the case of a Global Note) in substantially the following form:</w:t>
      </w:r>
    </w:p>
    <w:p>
      <w:pPr>
        <w:spacing w:after="0" w:line="54"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8"/>
          <w:szCs w:val="18"/>
          <w:color w:val="auto"/>
        </w:rPr>
        <w:t>THIS SECURITY HAS NOT BEEN REGISTERED UNDER THE U.S. SECURITIES ACT OF 1933, AS AMENDED (THE “SECURITIES ACT”), OR THE SECURITIES LAWS OF ANY STATE OR OTHER JURISDICTION, AND, ACCORDINGLY, MAY NOT BE OFFERED OR SOLD EXCEPT AS SET FORTH BELOW. BY ITS ACQUISITION HEREOF, THE HOLDER (1) REPRESENTS THAT (A) IT IS A “QUALIFIED INSTITUTIONAL BUYER” (AS DEFINED IN RULE 144A UNDER THE SECURITIES ACT), (B) IT IS NOT A U.S. PERSON AND IS ACQUIRING THIS SECURITY IN AN OFFSHORE TRANSACTION IN COMPLIANCE WITH RULE 904 UNDER THE SECURITIES ACT OR (C) IT IS AN ACCREDITED INVESTOR (AS DEFINED IN RULE 501(a)(1), (2), (3), OR (7) UNDER THE SECURITIES ACT) (AN “ACCREDITED INVESTOR”), (2) AGREES THAT IT WILL NOT, ON ITS OWN BEHALF AND ON BEHALF OF ANY INVESTOR FOR WHICH IT HAS PURCHASED SECURITIES, PRIOR TO THE DATE (THE “RESALE RESTRICTION TERMINATION DATE”) WHICH IS [IN THE CASE OF RULE 144A NOTES: ONE YEAR] [ IN THE CASE OF REGULATION S NOTES:</w:t>
      </w:r>
    </w:p>
    <w:p>
      <w:pPr>
        <w:spacing w:after="0" w:line="6" w:lineRule="exact"/>
        <w:rPr>
          <w:sz w:val="20"/>
          <w:szCs w:val="20"/>
          <w:color w:val="auto"/>
        </w:rPr>
      </w:pPr>
    </w:p>
    <w:p>
      <w:pPr>
        <w:ind w:left="440" w:right="20"/>
        <w:spacing w:after="0" w:line="250" w:lineRule="auto"/>
        <w:rPr>
          <w:sz w:val="20"/>
          <w:szCs w:val="20"/>
          <w:color w:val="auto"/>
        </w:rPr>
      </w:pPr>
      <w:r>
        <w:rPr>
          <w:rFonts w:ascii="Times New Roman" w:cs="Times New Roman" w:eastAsia="Times New Roman" w:hAnsi="Times New Roman"/>
          <w:sz w:val="18"/>
          <w:szCs w:val="18"/>
          <w:color w:val="auto"/>
        </w:rPr>
        <w:t>40 DAYS] (OR SUCH SHORTER PERIOD OF TIME AS PERMITTED BY [RULE 144] [REGULATION S] UNDER THE SECURITIES ACT OR ANY SUCCESSOR PROVISION THEREUNDER) AFTER THE LATER OF THE ORIGINAL ISSUE DATE OF THIS SECURITY AND THE LAST DATE ON WHICH THE ISSUER OR ANY AFFILIATE OF THE ISSUER WAS THE OWNER OF THIS SECURITY (OR ANY PREDECESSOR OF THIS SECURITY) OR, IF LATER, THE LAST DATE UPON WHICH ADDITIONAL NOTES (AS DEFINED IN THE INDENTURE) HAVE BEEN ISSUED, OFFER, RESELL OR OTHERWISE TRANSFER THIS SECURITY EXCEPT (A) TO THE ISSUER OR ANY SUBSIDIARY THEREOF, (B) INSIDE THE UNITED STATES TO A QUALIFIED INSTITUTIONAL BUYER IN COMPLIANCE WITH RULE 144A UNDER THE SECURITIES ACT, (C) INSIDE THE UNITED STATES TO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w:t>
      </w:r>
    </w:p>
    <w:p>
      <w:pPr>
        <w:spacing w:after="0" w:line="4" w:lineRule="exact"/>
        <w:rPr>
          <w:sz w:val="20"/>
          <w:szCs w:val="20"/>
          <w:color w:val="auto"/>
        </w:rPr>
      </w:pPr>
    </w:p>
    <w:p>
      <w:pPr>
        <w:jc w:val="center"/>
        <w:ind w:left="5360" w:right="1060" w:hanging="4924"/>
        <w:spacing w:after="0" w:line="433" w:lineRule="auto"/>
        <w:tabs>
          <w:tab w:leader="none" w:pos="72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IN AN OFFSHORE TRANSACTION IN COMPLIANCE WITH RULE 904 UNDER THE B-1</w:t>
      </w:r>
    </w:p>
    <w:p>
      <w:pPr>
        <w:sectPr>
          <w:pgSz w:w="11900" w:h="16838" w:orient="portrait"/>
          <w:cols w:equalWidth="0" w:num="1">
            <w:col w:w="11020"/>
          </w:cols>
          <w:pgMar w:left="440" w:top="270" w:right="439" w:bottom="1440" w:gutter="0" w:footer="0" w:header="0"/>
        </w:sectPr>
      </w:pPr>
    </w:p>
    <w:bookmarkStart w:id="155" w:name="page156"/>
    <w:bookmarkEnd w:id="155"/>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ACT (IF AVAILABLE), (E) PURSUANT TO THE EXEMPTION FROM REGISTRATION PROVIDED BY RULE 144 UNDER THE SECURITIES ACT (IF AVAILABLE), (F) IN ACCORDANCE WITH ANOTHER EXEMPTION FROM THE REGISTRATION REQUIREMENTS OF THE SECURITIES ACT (AND BASED UPON AN OPINION OF COUNSEL IF THE ISSUER SO REQUESTS), OR</w:t>
      </w:r>
    </w:p>
    <w:p>
      <w:pPr>
        <w:spacing w:after="0" w:line="2" w:lineRule="exact"/>
        <w:rPr>
          <w:sz w:val="20"/>
          <w:szCs w:val="20"/>
          <w:color w:val="auto"/>
        </w:rPr>
      </w:pPr>
    </w:p>
    <w:p>
      <w:pPr>
        <w:ind w:left="4" w:hanging="4"/>
        <w:spacing w:after="0" w:line="251" w:lineRule="auto"/>
        <w:tabs>
          <w:tab w:leader="none" w:pos="29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AND (3) AGREES THAT IT WILL GIVE TO EACH PERSON TO WHOM THIS SECURITY IS TRANSFERRED A NOTICE SUBSTANTIALLY TO THE EFFECT OF THIS LEGEND. IN CONNECTION WITH ANY TRANSFER OF THIS SECURITY WITHIN ONE YEAR AFTER THE ORIGINAL ISSUANCE OF THIS SECURITY, IF THE PROPOSED TRANSFEREE IS AN ACCREDITED INVESTOR, THE HOLDER MUST, PRIOR TO SUCH TRANSFER, FURNISH TO THE TRUSTEE AND THE ISSUER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UNDER THE SECURITIES ACT.</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564"/>
          </w:cols>
          <w:pgMar w:left="876" w:top="270" w:right="45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GLOBAL NOTE]</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Any Global Note authenticated and delivered hereunder shall bear a legend (which would be in addition to any other legends required in the case of a Restricted Note) in substantially the following form:</w:t>
      </w:r>
    </w:p>
    <w:p>
      <w:pPr>
        <w:spacing w:after="0" w:line="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NOTE IS A GLOBAL NOTE WITHIN THE MEANING OF THE INDENTURE HEREINAFTER REFERRED TO AND IS REGISTERED IN THE NAME OF A COMMON DEPOSITARY OR A NOMINEE OF A COMMON DEPOSITARY. THIS NOTE IS NOT EXCHANGEABLE FOR NOTES REGISTERED IN THE NAME OF A PERSON OTHER THAN THE COMMON DEPOSITARY OR ITS NOMINEE EXCEPT IN THE LIMITED CIRCUMSTANCES DESCRIBED IN THE INDENTURE, AND NO TRANSFER OF THIS NOTE (OTHER THAN A TRANSFER OF THIS NOTE AS A WHOLE BY THE COMMON DEPOSITARY TO A NOMINEE OF THE COMMON DEPOSITARY OR BY A NOMINEE OF THE COMMON DEPOSITARY TO THE COMMON DEPOSITARY OR ANOTHER NOMINEE OF THE COMMON DEPOSITARY) MAY BE REGISTERED EXCEPT IN THE LIMITED CIRCUMSTANCES DESCRIBED IN THE INDENTURE.</w:t>
      </w:r>
    </w:p>
    <w:p>
      <w:pPr>
        <w:spacing w:after="0" w:line="18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U.S. BANK EUROPE DAC (THE “COMMON DEPOSITARY”) TO THE ISSUER OR ITS AGENT FOR REGISTRATION OF TRANSFER, EXCHANGE, OR PAYMENT, AND ANY CERTIFICATE ISSUED IS REGISTERED IN THE NAME OF USB NOMINEES (UK) LIMITED OR IN SUCH OTHER NAME AS IS REQUESTED BY AN AUTHORIZED REPRESENTATIVE OF THE COMMON DEPOSITARY (AND ANY PAYMENT IS MADE TO USB NOMINEES (UK) LIMITED OR SUCH OTHER ENTITY AS IS REQUESTED BY AN AUTHORIZED REPRESENTATIVE OF THE COMMON DEPOSITARY), ANY TRANSFER, PLEDGE OR OTHER USE HEREOF FOR VALUE OR OTHERWISE BY OR TO ANY PERSON IS WRONGFUL INASMUCH AS THE REGISTERED OWNER HEREOF, USB NOMINEES (UK) LIMITED, HAS AN INTEREST HEREIN.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NOTE ISSUED WITH OID]</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Any Note issued with more than de minimis original issue discount for U.S. Federal Income Tax purposes authenticated and delivered hereunder shall bear a legend (which would be in addition to any other legends required in the case of a Restricted Note) in substantially the following form:</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NOTE IS ISSUED WITH ORIGINAL ISSUE DISCOUNT FOR PURPOSES OF SECTION 1271 ET SEQ. OF THE INTERNAL REVENUE CODE. A HOLDER MAY OBTAIN THE ISSUE PRICE, AMOUNT OF ORIGINAL ISSUE DISCOUNT, ISSUE DATE AND YIELD TO MATURITY FOR SUCH NOTE BY SUBMITTING A REQUEST FOR SUCH INFORMATION TO THE ISSUER AT THE FOLLOWING ADDRESS: 1 RUE TOUZET GAILLARD, 93400 SAINT-OUEN, FRANCE, ATTENTION: CHIEF FINANCIAL OFFICER.”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0020"/>
          </w:cols>
          <w:pgMar w:left="1440" w:top="270" w:right="4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 OF TRANSFER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Rue Touzet Gaillard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Bank Europe DAC, as Transfer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Block F1, Cherrywood Business Park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Cherrywood, Dublin 18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D18 W2X7, Ireland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[      ]</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re: Crown European Holdings S.A.</w:t>
      </w:r>
    </w:p>
    <w:p>
      <w:pPr>
        <w:spacing w:after="0" w:line="166" w:lineRule="exact"/>
        <w:rPr>
          <w:sz w:val="20"/>
          <w:szCs w:val="20"/>
          <w:color w:val="auto"/>
        </w:rPr>
      </w:pPr>
    </w:p>
    <w:p>
      <w:pPr>
        <w:ind w:left="1984"/>
        <w:spacing w:after="0" w:line="207" w:lineRule="exact"/>
        <w:rPr>
          <w:sz w:val="20"/>
          <w:szCs w:val="20"/>
          <w:color w:val="auto"/>
        </w:rPr>
      </w:pPr>
      <w:r>
        <w:rPr>
          <w:rFonts w:ascii="Times New Roman" w:cs="Times New Roman" w:eastAsia="Times New Roman" w:hAnsi="Times New Roman"/>
          <w:sz w:val="18"/>
          <w:szCs w:val="18"/>
          <w:color w:val="auto"/>
        </w:rPr>
        <w:t xml:space="preserve">Re: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3.750% Senior Notes due 2031</w:t>
      </w:r>
    </w:p>
    <w:p>
      <w:pPr>
        <w:spacing w:after="0" w:line="266" w:lineRule="exact"/>
        <w:rPr>
          <w:sz w:val="20"/>
          <w:szCs w:val="20"/>
          <w:color w:val="auto"/>
        </w:rPr>
      </w:pPr>
    </w:p>
    <w:p>
      <w:pPr>
        <w:ind w:left="2164" w:hanging="181"/>
        <w:spacing w:after="0"/>
        <w:tabs>
          <w:tab w:leader="none" w:pos="21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(CUSIP _____________)</w:t>
      </w:r>
    </w:p>
    <w:p>
      <w:pPr>
        <w:spacing w:after="0" w:line="27" w:lineRule="exact"/>
        <w:rPr>
          <w:rFonts w:ascii="Times New Roman" w:cs="Times New Roman" w:eastAsia="Times New Roman" w:hAnsi="Times New Roman"/>
          <w:sz w:val="18"/>
          <w:szCs w:val="18"/>
          <w:color w:val="auto"/>
        </w:rPr>
      </w:pPr>
    </w:p>
    <w:p>
      <w:pPr>
        <w:ind w:left="2164" w:hanging="181"/>
        <w:spacing w:after="0"/>
        <w:tabs>
          <w:tab w:leader="none" w:pos="21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(ISIN _______________)</w:t>
      </w:r>
    </w:p>
    <w:p>
      <w:pPr>
        <w:spacing w:after="0" w:line="9" w:lineRule="exact"/>
        <w:rPr>
          <w:rFonts w:ascii="Times New Roman" w:cs="Times New Roman" w:eastAsia="Times New Roman" w:hAnsi="Times New Roman"/>
          <w:sz w:val="18"/>
          <w:szCs w:val="18"/>
          <w:color w:val="auto"/>
        </w:rPr>
      </w:pPr>
    </w:p>
    <w:p>
      <w:pPr>
        <w:ind w:left="2164" w:hanging="181"/>
        <w:spacing w:after="0"/>
        <w:tabs>
          <w:tab w:leader="none" w:pos="21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(Common Code _______)</w:t>
      </w:r>
    </w:p>
    <w:p>
      <w:pPr>
        <w:spacing w:after="0" w:line="207"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October 6,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European Holdings S.A.,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U.S. Bank Trust Company, National Association, as trustee, U.S. Bank Europe DAC, as paying agent, registrar and transfer agent. Capitalized terms used but not defined herein shall have the meanings given to them in the Indenture.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______________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 Annex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hereto. In connection with the Transfer, the Transferor hereby certifies that: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84" w:lineRule="exact"/>
        <w:rPr>
          <w:sz w:val="20"/>
          <w:szCs w:val="20"/>
          <w:color w:val="auto"/>
        </w:rPr>
      </w:pPr>
    </w:p>
    <w:p>
      <w:pPr>
        <w:ind w:left="4" w:right="140" w:hanging="4"/>
        <w:spacing w:after="0" w:line="228" w:lineRule="exact"/>
        <w:tabs>
          <w:tab w:leader="none" w:pos="184" w:val="left"/>
        </w:tabs>
        <w:numPr>
          <w:ilvl w:val="0"/>
          <w:numId w:val="1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 Rule 144A Global Note or a Physical Note pursuant to Rule 144A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accordingly, the Transferor hereby further certifies that the beneficial interest or Physical Note is being transferred to a Person that the Transferor reasonably believed and believes is purchasing the beneficial interest or Physical Note for its own account, or for one or more accounts with respect to which such Person exercises sole investment discretion, and such Person and each such account is a “qualified institutional</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024"/>
          </w:cols>
          <w:pgMar w:left="436" w:top="270" w:right="439" w:bottom="1440" w:gutter="0" w:footer="0" w:header="0"/>
        </w:sectPr>
      </w:pPr>
    </w:p>
    <w:bookmarkStart w:id="160" w:name="page161"/>
    <w:bookmarkEnd w:id="160"/>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Physical Note will be subject to the restrictions on transfer enumerated in the Private Placement Legend printed on the Rule 144A Global Note and/or the Physical Note and in the Indenture and the Securities Act.</w:t>
      </w:r>
    </w:p>
    <w:p>
      <w:pPr>
        <w:spacing w:after="0" w:line="139" w:lineRule="exact"/>
        <w:rPr>
          <w:sz w:val="20"/>
          <w:szCs w:val="20"/>
          <w:color w:val="auto"/>
        </w:rPr>
      </w:pPr>
    </w:p>
    <w:p>
      <w:pPr>
        <w:ind w:left="4" w:hanging="4"/>
        <w:spacing w:after="0" w:line="221" w:lineRule="exact"/>
        <w:tabs>
          <w:tab w:leader="none" w:pos="184"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 Regulation S Global Note or a Physical Note pursuant to 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Physical Note will be subject to the restrictions on Transfer enumerated in the Private Placement Legend printed on the Regulation S Global Note and/or the Physical Note and in the Indenture and the Securities Act.</w:t>
      </w:r>
    </w:p>
    <w:p>
      <w:pPr>
        <w:spacing w:after="0" w:line="158" w:lineRule="exact"/>
        <w:rPr>
          <w:rFonts w:ascii="Times New Roman" w:cs="Times New Roman" w:eastAsia="Times New Roman" w:hAnsi="Times New Roman"/>
          <w:sz w:val="18"/>
          <w:szCs w:val="18"/>
          <w:color w:val="auto"/>
        </w:rPr>
      </w:pPr>
    </w:p>
    <w:p>
      <w:pPr>
        <w:ind w:left="4" w:right="20" w:hanging="4"/>
        <w:spacing w:after="0" w:line="231" w:lineRule="exact"/>
        <w:tabs>
          <w:tab w:leader="none" w:pos="184"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and complete if Transferee will take delivery of a beneficial interest in the Global Note or a Physical Note pursuant to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 the Securities Act other than Rule 144A or 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in compliance with the transfer restrictions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interests in Restricted Global Notes and Restricted Physical Notes and pursuant to and in accordance with the Securities Act and any applicable blue sky securities laws of any state of the United States, and accordingly the Transferor hereby further certifies that (check one):</w:t>
      </w:r>
    </w:p>
    <w:p>
      <w:pPr>
        <w:spacing w:after="0" w:line="50" w:lineRule="exact"/>
        <w:rPr>
          <w:rFonts w:ascii="Times New Roman" w:cs="Times New Roman" w:eastAsia="Times New Roman" w:hAnsi="Times New Roman"/>
          <w:sz w:val="18"/>
          <w:szCs w:val="18"/>
          <w:color w:val="auto"/>
        </w:rPr>
      </w:pPr>
    </w:p>
    <w:p>
      <w:pPr>
        <w:ind w:left="1104" w:hanging="241"/>
        <w:spacing w:after="0" w:line="207" w:lineRule="exact"/>
        <w:tabs>
          <w:tab w:leader="none" w:pos="1104" w:val="left"/>
        </w:tabs>
        <w:numPr>
          <w:ilvl w:val="1"/>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w:t>
      </w:r>
    </w:p>
    <w:p>
      <w:pPr>
        <w:spacing w:after="0" w:line="266"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864"/>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Issuer or a Subsidiary thereof;</w:t>
      </w:r>
    </w:p>
    <w:p>
      <w:pPr>
        <w:spacing w:after="0" w:line="266"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0"/>
          <w:szCs w:val="20"/>
          <w:color w:val="auto"/>
        </w:rPr>
      </w:pPr>
    </w:p>
    <w:p>
      <w:pPr>
        <w:ind w:left="5384"/>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4"/>
          </w:cols>
          <w:pgMar w:left="436" w:top="270" w:right="459" w:bottom="1440" w:gutter="0" w:footer="0" w:header="0"/>
        </w:sectPr>
      </w:pPr>
    </w:p>
    <w:bookmarkStart w:id="161" w:name="page162"/>
    <w:bookmarkEnd w:id="161"/>
    <w:p>
      <w:pPr>
        <w:ind w:left="444" w:right="380" w:firstLine="419"/>
        <w:spacing w:after="0" w:line="245" w:lineRule="exact"/>
        <w:tabs>
          <w:tab w:leader="none" w:pos="1112" w:val="left"/>
        </w:tabs>
        <w:numPr>
          <w:ilvl w:val="0"/>
          <w:numId w:val="15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444" w:firstLine="419"/>
        <w:spacing w:after="0" w:line="222" w:lineRule="exact"/>
        <w:tabs>
          <w:tab w:leader="none" w:pos="1122" w:val="left"/>
        </w:tabs>
        <w:numPr>
          <w:ilvl w:val="1"/>
          <w:numId w:val="15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Physical Notes and the requirements of the exemption claimed, which certification is supported by (1) a certificate executed by the Transferee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Physical Note will be subject to the restrictions on transfer enumerated in the Private Placement Legend printed on the Global Note and/or the Physical Notes and in the Indenture and the Securities Act.</w:t>
      </w:r>
    </w:p>
    <w:p>
      <w:pPr>
        <w:spacing w:after="0" w:line="159" w:lineRule="exact"/>
        <w:rPr>
          <w:rFonts w:ascii="Times New Roman" w:cs="Times New Roman" w:eastAsia="Times New Roman" w:hAnsi="Times New Roman"/>
          <w:sz w:val="18"/>
          <w:szCs w:val="18"/>
          <w:color w:val="auto"/>
        </w:rPr>
      </w:pPr>
    </w:p>
    <w:p>
      <w:pPr>
        <w:ind w:left="184" w:hanging="184"/>
        <w:spacing w:after="0" w:line="207" w:lineRule="exact"/>
        <w:tabs>
          <w:tab w:leader="none" w:pos="184" w:val="left"/>
        </w:tabs>
        <w:numPr>
          <w:ilvl w:val="0"/>
          <w:numId w:val="1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Transferee will take delivery of a beneficial interest in an Unrestricted Global Note or an Unrestricted Physical Note.</w:t>
      </w:r>
    </w:p>
    <w:p>
      <w:pPr>
        <w:spacing w:after="0" w:line="225" w:lineRule="exact"/>
        <w:rPr>
          <w:rFonts w:ascii="Times New Roman" w:cs="Times New Roman" w:eastAsia="Times New Roman" w:hAnsi="Times New Roman"/>
          <w:sz w:val="18"/>
          <w:szCs w:val="18"/>
          <w:color w:val="auto"/>
        </w:rPr>
      </w:pPr>
    </w:p>
    <w:p>
      <w:pPr>
        <w:ind w:left="4" w:right="160" w:firstLine="987"/>
        <w:spacing w:after="0" w:line="226" w:lineRule="exact"/>
        <w:tabs>
          <w:tab w:leader="none" w:pos="1240" w:val="left"/>
        </w:tabs>
        <w:numPr>
          <w:ilvl w:val="2"/>
          <w:numId w:val="1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Rule 144. </w:t>
      </w:r>
      <w:r>
        <w:rPr>
          <w:rFonts w:ascii="Times New Roman" w:cs="Times New Roman" w:eastAsia="Times New Roman" w:hAnsi="Times New Roman"/>
          <w:sz w:val="18"/>
          <w:szCs w:val="18"/>
          <w:color w:val="auto"/>
        </w:rPr>
        <w:t>(i) The Transfer is being effected pursuant to and in accordance with Rule 144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61" w:lineRule="exact"/>
        <w:rPr>
          <w:rFonts w:ascii="Times New Roman" w:cs="Times New Roman" w:eastAsia="Times New Roman" w:hAnsi="Times New Roman"/>
          <w:sz w:val="18"/>
          <w:szCs w:val="18"/>
          <w:color w:val="auto"/>
        </w:rPr>
      </w:pPr>
    </w:p>
    <w:p>
      <w:pPr>
        <w:ind w:left="4" w:right="60" w:firstLine="987"/>
        <w:spacing w:after="0" w:line="226" w:lineRule="exact"/>
        <w:tabs>
          <w:tab w:leader="none" w:pos="1250" w:val="left"/>
        </w:tabs>
        <w:numPr>
          <w:ilvl w:val="2"/>
          <w:numId w:val="15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 </w:t>
      </w:r>
      <w:r>
        <w:rPr>
          <w:rFonts w:ascii="Times New Roman" w:cs="Times New Roman" w:eastAsia="Times New Roman" w:hAnsi="Times New Roman"/>
          <w:sz w:val="18"/>
          <w:szCs w:val="18"/>
          <w:color w:val="auto"/>
        </w:rPr>
        <w:t>(i) The Transfer is being effected pursuant to and in accordance with Rule 903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3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04"/>
          </w:cols>
          <w:pgMar w:left="436" w:top="229" w:right="459" w:bottom="1440" w:gutter="0" w:footer="0" w:header="0"/>
        </w:sectPr>
      </w:pPr>
    </w:p>
    <w:bookmarkStart w:id="162" w:name="page163"/>
    <w:bookmarkEnd w:id="162"/>
    <w:p>
      <w:pPr>
        <w:ind w:right="160" w:firstLine="987"/>
        <w:spacing w:after="0" w:line="225" w:lineRule="exact"/>
        <w:tabs>
          <w:tab w:leader="none" w:pos="1236" w:val="left"/>
        </w:tabs>
        <w:numPr>
          <w:ilvl w:val="0"/>
          <w:numId w:val="16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 xml:space="preserve"> Check if Transfer is pursuant to Other Exemption. </w:t>
      </w:r>
      <w:r>
        <w:rPr>
          <w:rFonts w:ascii="Times New Roman" w:cs="Times New Roman" w:eastAsia="Times New Roman" w:hAnsi="Times New Roman"/>
          <w:sz w:val="18"/>
          <w:szCs w:val="18"/>
          <w:color w:val="auto"/>
        </w:rPr>
        <w:t>(i) The Transfer is being effected pursuant to and in compliance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158" w:lineRule="exact"/>
        <w:rPr>
          <w:rFonts w:ascii="Times New Roman" w:cs="Times New Roman" w:eastAsia="Times New Roman" w:hAnsi="Times New Roman"/>
          <w:sz w:val="18"/>
          <w:szCs w:val="18"/>
          <w:color w:val="auto"/>
        </w:rPr>
      </w:pPr>
    </w:p>
    <w:p>
      <w:pPr>
        <w:ind w:firstLine="987"/>
        <w:spacing w:after="0" w:line="226" w:lineRule="exact"/>
        <w:tabs>
          <w:tab w:leader="none" w:pos="1246" w:val="left"/>
        </w:tabs>
        <w:numPr>
          <w:ilvl w:val="0"/>
          <w:numId w:val="16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an Effective Registration Statement. </w:t>
      </w:r>
      <w:r>
        <w:rPr>
          <w:rFonts w:ascii="Times New Roman" w:cs="Times New Roman" w:eastAsia="Times New Roman" w:hAnsi="Times New Roman"/>
          <w:sz w:val="18"/>
          <w:szCs w:val="18"/>
          <w:color w:val="auto"/>
        </w:rPr>
        <w:t>(i) The Transfer is being effected pursuant to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 effective registration statement under the Securities Act and any applicable blue sky securities laws of any State of the United States and in compliance with the prospectus delivery requirements of the Securities Act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-7620</wp:posOffset>
            </wp:positionV>
            <wp:extent cx="11430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0960"/>
          </w:cols>
          <w:pgMar w:left="440" w:top="229" w:right="499" w:bottom="1440" w:gutter="0" w:footer="0" w:header="0"/>
        </w:sectPr>
      </w:pPr>
    </w:p>
    <w:bookmarkStart w:id="163" w:name="page164"/>
    <w:bookmarkEnd w:id="163"/>
    <w:p>
      <w:pPr>
        <w:ind w:left="36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TO CERTIFICATE OF TRANSFER</w:t>
      </w:r>
    </w:p>
    <w:p>
      <w:pPr>
        <w:spacing w:after="0" w:line="256" w:lineRule="exact"/>
        <w:rPr>
          <w:sz w:val="20"/>
          <w:szCs w:val="20"/>
          <w:color w:val="auto"/>
        </w:rPr>
      </w:pPr>
    </w:p>
    <w:p>
      <w:pPr>
        <w:ind w:left="424" w:hanging="424"/>
        <w:spacing w:after="0"/>
        <w:tabs>
          <w:tab w:leader="none" w:pos="4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22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90" w:lineRule="exact"/>
        <w:rPr>
          <w:sz w:val="20"/>
          <w:szCs w:val="20"/>
          <w:color w:val="auto"/>
        </w:rPr>
      </w:pPr>
    </w:p>
    <w:p>
      <w:pPr>
        <w:ind w:left="964" w:hanging="532"/>
        <w:spacing w:after="0" w:line="207" w:lineRule="exact"/>
        <w:tabs>
          <w:tab w:leader="none" w:pos="964" w:val="left"/>
        </w:tabs>
        <w:numPr>
          <w:ilvl w:val="1"/>
          <w:numId w:val="1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w:t>
      </w:r>
    </w:p>
    <w:p>
      <w:pPr>
        <w:spacing w:after="0" w:line="117" w:lineRule="exact"/>
        <w:rPr>
          <w:rFonts w:ascii="Times New Roman" w:cs="Times New Roman" w:eastAsia="Times New Roman" w:hAnsi="Times New Roman"/>
          <w:sz w:val="18"/>
          <w:szCs w:val="18"/>
          <w:color w:val="auto"/>
        </w:rPr>
      </w:pPr>
    </w:p>
    <w:p>
      <w:pPr>
        <w:ind w:left="1084" w:hanging="221"/>
        <w:spacing w:after="0" w:line="207" w:lineRule="exact"/>
        <w:tabs>
          <w:tab w:leader="none" w:pos="1084" w:val="left"/>
        </w:tabs>
        <w:numPr>
          <w:ilvl w:val="2"/>
          <w:numId w:val="1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144A Global Note (CUSIP ______) (ISIN ______) (Common Code _______________), or</w:t>
      </w:r>
    </w:p>
    <w:p>
      <w:pPr>
        <w:spacing w:after="0" w:line="117" w:lineRule="exact"/>
        <w:rPr>
          <w:rFonts w:ascii="Times New Roman" w:cs="Times New Roman" w:eastAsia="Times New Roman" w:hAnsi="Times New Roman"/>
          <w:sz w:val="18"/>
          <w:szCs w:val="18"/>
          <w:color w:val="auto"/>
        </w:rPr>
      </w:pPr>
    </w:p>
    <w:p>
      <w:pPr>
        <w:ind w:left="1124" w:hanging="261"/>
        <w:spacing w:after="0" w:line="196" w:lineRule="exact"/>
        <w:tabs>
          <w:tab w:leader="none" w:pos="1124" w:val="left"/>
        </w:tabs>
        <w:numPr>
          <w:ilvl w:val="2"/>
          <w:numId w:val="16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(CUSIP ______) (ISIN ______) (Common Code _______________), or</w:t>
      </w:r>
    </w:p>
    <w:p>
      <w:pPr>
        <w:spacing w:after="0" w:line="142" w:lineRule="exact"/>
        <w:rPr>
          <w:rFonts w:ascii="Times New Roman" w:cs="Times New Roman" w:eastAsia="Times New Roman" w:hAnsi="Times New Roman"/>
          <w:sz w:val="17"/>
          <w:szCs w:val="17"/>
          <w:color w:val="auto"/>
        </w:rPr>
      </w:pPr>
    </w:p>
    <w:p>
      <w:pPr>
        <w:ind w:left="964" w:hanging="532"/>
        <w:spacing w:after="0" w:line="207" w:lineRule="exact"/>
        <w:tabs>
          <w:tab w:leader="none" w:pos="964" w:val="left"/>
        </w:tabs>
        <w:numPr>
          <w:ilvl w:val="1"/>
          <w:numId w:val="1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Physical Note.</w:t>
      </w:r>
    </w:p>
    <w:p>
      <w:pPr>
        <w:spacing w:after="0" w:line="17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117"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90" w:lineRule="exact"/>
        <w:rPr>
          <w:sz w:val="20"/>
          <w:szCs w:val="20"/>
          <w:color w:val="auto"/>
        </w:rPr>
      </w:pPr>
    </w:p>
    <w:p>
      <w:pPr>
        <w:ind w:left="964" w:hanging="532"/>
        <w:spacing w:after="0" w:line="207" w:lineRule="exact"/>
        <w:tabs>
          <w:tab w:leader="none" w:pos="964" w:val="left"/>
        </w:tabs>
        <w:numPr>
          <w:ilvl w:val="0"/>
          <w:numId w:val="1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17" w:lineRule="exact"/>
        <w:rPr>
          <w:rFonts w:ascii="Times New Roman" w:cs="Times New Roman" w:eastAsia="Times New Roman" w:hAnsi="Times New Roman"/>
          <w:sz w:val="18"/>
          <w:szCs w:val="18"/>
          <w:color w:val="auto"/>
        </w:rPr>
      </w:pPr>
    </w:p>
    <w:p>
      <w:pPr>
        <w:ind w:left="1084" w:hanging="221"/>
        <w:spacing w:after="0" w:line="207" w:lineRule="exact"/>
        <w:tabs>
          <w:tab w:leader="none" w:pos="1084" w:val="left"/>
        </w:tabs>
        <w:numPr>
          <w:ilvl w:val="1"/>
          <w:numId w:val="1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144A Global Note (CUSIP _______) (ISIN ______) (Common Code _______________), or</w:t>
      </w:r>
    </w:p>
    <w:p>
      <w:pPr>
        <w:spacing w:after="0" w:line="117" w:lineRule="exact"/>
        <w:rPr>
          <w:rFonts w:ascii="Times New Roman" w:cs="Times New Roman" w:eastAsia="Times New Roman" w:hAnsi="Times New Roman"/>
          <w:sz w:val="18"/>
          <w:szCs w:val="18"/>
          <w:color w:val="auto"/>
        </w:rPr>
      </w:pPr>
    </w:p>
    <w:p>
      <w:pPr>
        <w:ind w:left="1124" w:hanging="261"/>
        <w:spacing w:after="0" w:line="207" w:lineRule="exact"/>
        <w:tabs>
          <w:tab w:leader="none" w:pos="1124" w:val="left"/>
        </w:tabs>
        <w:numPr>
          <w:ilvl w:val="1"/>
          <w:numId w:val="1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______)(ISIN ______) (Common Code _______________), or</w:t>
      </w:r>
    </w:p>
    <w:p>
      <w:pPr>
        <w:spacing w:after="0" w:line="117" w:lineRule="exact"/>
        <w:rPr>
          <w:rFonts w:ascii="Times New Roman" w:cs="Times New Roman" w:eastAsia="Times New Roman" w:hAnsi="Times New Roman"/>
          <w:sz w:val="18"/>
          <w:szCs w:val="18"/>
          <w:color w:val="auto"/>
        </w:rPr>
      </w:pPr>
    </w:p>
    <w:p>
      <w:pPr>
        <w:ind w:left="1184" w:hanging="321"/>
        <w:spacing w:after="0" w:line="196" w:lineRule="exact"/>
        <w:tabs>
          <w:tab w:leader="none" w:pos="1184" w:val="left"/>
        </w:tabs>
        <w:numPr>
          <w:ilvl w:val="1"/>
          <w:numId w:val="164"/>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Unrestricted Global Note (CUSIP ______) (ISIN ______) (Common Code _______________), or</w:t>
      </w:r>
    </w:p>
    <w:p>
      <w:pPr>
        <w:spacing w:after="0" w:line="142" w:lineRule="exact"/>
        <w:rPr>
          <w:rFonts w:ascii="Times New Roman" w:cs="Times New Roman" w:eastAsia="Times New Roman" w:hAnsi="Times New Roman"/>
          <w:sz w:val="17"/>
          <w:szCs w:val="17"/>
          <w:color w:val="auto"/>
        </w:rPr>
      </w:pPr>
    </w:p>
    <w:p>
      <w:pPr>
        <w:ind w:left="964" w:hanging="532"/>
        <w:spacing w:after="0" w:line="207" w:lineRule="exact"/>
        <w:tabs>
          <w:tab w:leader="none" w:pos="964" w:val="left"/>
        </w:tabs>
        <w:numPr>
          <w:ilvl w:val="0"/>
          <w:numId w:val="1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Physical Note; or</w:t>
      </w:r>
    </w:p>
    <w:p>
      <w:pPr>
        <w:spacing w:after="0" w:line="130" w:lineRule="exact"/>
        <w:rPr>
          <w:rFonts w:ascii="Times New Roman" w:cs="Times New Roman" w:eastAsia="Times New Roman" w:hAnsi="Times New Roman"/>
          <w:sz w:val="18"/>
          <w:szCs w:val="18"/>
          <w:color w:val="auto"/>
        </w:rPr>
      </w:pPr>
    </w:p>
    <w:p>
      <w:pPr>
        <w:ind w:left="964" w:hanging="532"/>
        <w:spacing w:after="0" w:line="207" w:lineRule="exact"/>
        <w:tabs>
          <w:tab w:leader="none" w:pos="964" w:val="left"/>
        </w:tabs>
        <w:numPr>
          <w:ilvl w:val="0"/>
          <w:numId w:val="1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Physical Note,</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158" w:lineRule="exact"/>
        <w:rPr>
          <w:sz w:val="20"/>
          <w:szCs w:val="20"/>
          <w:color w:val="auto"/>
        </w:rPr>
      </w:pPr>
    </w:p>
    <w:p>
      <w:pPr>
        <w:ind w:left="5384"/>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0023"/>
          </w:cols>
          <w:pgMar w:left="436" w:top="266" w:right="1440"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 OF EXCHANGE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Rue Touzet Gaillard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Bank Europe DAC, as Transfer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Block F1, Cherrywood Business Park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Cherrywood, Dublin 18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D18 W2X7, Ireland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[      ]</w:t>
      </w:r>
    </w:p>
    <w:p>
      <w:pPr>
        <w:spacing w:after="0" w:line="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re: Crown European Holdings S.A.</w:t>
      </w:r>
    </w:p>
    <w:p>
      <w:pPr>
        <w:spacing w:after="0" w:line="166" w:lineRule="exact"/>
        <w:rPr>
          <w:sz w:val="20"/>
          <w:szCs w:val="20"/>
          <w:color w:val="auto"/>
        </w:rPr>
      </w:pPr>
    </w:p>
    <w:p>
      <w:pPr>
        <w:ind w:left="1984"/>
        <w:spacing w:after="0" w:line="207" w:lineRule="exact"/>
        <w:rPr>
          <w:sz w:val="20"/>
          <w:szCs w:val="20"/>
          <w:color w:val="auto"/>
        </w:rPr>
      </w:pPr>
      <w:r>
        <w:rPr>
          <w:rFonts w:ascii="Times New Roman" w:cs="Times New Roman" w:eastAsia="Times New Roman" w:hAnsi="Times New Roman"/>
          <w:sz w:val="18"/>
          <w:szCs w:val="18"/>
          <w:color w:val="auto"/>
        </w:rPr>
        <w:t xml:space="preserve">Re: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3.750% Senior Notes due 2031</w:t>
      </w:r>
    </w:p>
    <w:p>
      <w:pPr>
        <w:spacing w:after="0" w:line="266" w:lineRule="exact"/>
        <w:rPr>
          <w:sz w:val="20"/>
          <w:szCs w:val="20"/>
          <w:color w:val="auto"/>
        </w:rPr>
      </w:pPr>
    </w:p>
    <w:p>
      <w:pPr>
        <w:ind w:left="2164" w:hanging="181"/>
        <w:spacing w:after="0"/>
        <w:tabs>
          <w:tab w:leader="none" w:pos="21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(CUSIP _____________)</w:t>
      </w:r>
    </w:p>
    <w:p>
      <w:pPr>
        <w:spacing w:after="0" w:line="27" w:lineRule="exact"/>
        <w:rPr>
          <w:rFonts w:ascii="Times New Roman" w:cs="Times New Roman" w:eastAsia="Times New Roman" w:hAnsi="Times New Roman"/>
          <w:sz w:val="18"/>
          <w:szCs w:val="18"/>
          <w:color w:val="auto"/>
        </w:rPr>
      </w:pPr>
    </w:p>
    <w:p>
      <w:pPr>
        <w:ind w:left="2164" w:hanging="181"/>
        <w:spacing w:after="0"/>
        <w:tabs>
          <w:tab w:leader="none" w:pos="21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(ISIN _______________)</w:t>
      </w:r>
    </w:p>
    <w:p>
      <w:pPr>
        <w:spacing w:after="0" w:line="9" w:lineRule="exact"/>
        <w:rPr>
          <w:rFonts w:ascii="Times New Roman" w:cs="Times New Roman" w:eastAsia="Times New Roman" w:hAnsi="Times New Roman"/>
          <w:sz w:val="18"/>
          <w:szCs w:val="18"/>
          <w:color w:val="auto"/>
        </w:rPr>
      </w:pPr>
    </w:p>
    <w:p>
      <w:pPr>
        <w:ind w:left="2164" w:hanging="181"/>
        <w:spacing w:after="0"/>
        <w:tabs>
          <w:tab w:leader="none" w:pos="21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(Common Code _______)</w:t>
      </w:r>
    </w:p>
    <w:p>
      <w:pPr>
        <w:spacing w:after="0" w:line="207"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October 6,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European Holdings S.A.,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U.S. Bank Trust Company, National Association, as trustee, U.S. Bank Europe DAC, as paying agent, registrar and transfer agent. Capitalized terms used but not defined herein shall have the meanings given to them in the Indenture.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____________ (the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owns and proposes to exchange the Note[s] or interest in such Note[s] specified herein, in the principal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 of ____________ in such Note[s] or interests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3" w:lineRule="exact"/>
        <w:rPr>
          <w:sz w:val="20"/>
          <w:szCs w:val="20"/>
          <w:color w:val="auto"/>
        </w:rPr>
      </w:pPr>
    </w:p>
    <w:p>
      <w:pPr>
        <w:ind w:left="4" w:right="580" w:hanging="4"/>
        <w:spacing w:after="0" w:line="286" w:lineRule="auto"/>
        <w:tabs>
          <w:tab w:leader="none" w:pos="18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Restricted Physical Notes or Beneficial Interests in a Restricted Global Note for Unrestricted Physical Notes or Beneficial Interests in an Unrestricted Global Note</w:t>
      </w:r>
    </w:p>
    <w:p>
      <w:pPr>
        <w:spacing w:after="0" w:line="118" w:lineRule="exact"/>
        <w:rPr>
          <w:rFonts w:ascii="Times New Roman" w:cs="Times New Roman" w:eastAsia="Times New Roman" w:hAnsi="Times New Roman"/>
          <w:sz w:val="18"/>
          <w:szCs w:val="18"/>
          <w:color w:val="auto"/>
        </w:rPr>
      </w:pPr>
    </w:p>
    <w:p>
      <w:pPr>
        <w:ind w:left="4" w:right="120" w:firstLine="987"/>
        <w:spacing w:after="0" w:line="231" w:lineRule="exact"/>
        <w:tabs>
          <w:tab w:leader="none" w:pos="1240" w:val="left"/>
        </w:tabs>
        <w:numPr>
          <w:ilvl w:val="1"/>
          <w:numId w:val="16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beneficial interest in a Restricted Global Note to beneficial interest in an Unrestricted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Exchange of the Owner’s beneficial interest in a Restricted Global Note for a beneficial interest in an Unrestricted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in an equal principal amount, the Owner hereby certifies (i) the beneficial interest is being acquired for the Owner’s own account without transfer, (ii) such Exchange has been effected in compliance with the transfer restrictions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024"/>
          </w:cols>
          <w:pgMar w:left="436" w:top="270" w:right="439" w:bottom="1440" w:gutter="0" w:footer="0" w:header="0"/>
        </w:sectPr>
      </w:pPr>
    </w:p>
    <w:bookmarkStart w:id="165" w:name="page166"/>
    <w:bookmarkEnd w:id="165"/>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to the Global Notes and pursuant to and in accordance with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39" w:lineRule="exact"/>
        <w:rPr>
          <w:sz w:val="20"/>
          <w:szCs w:val="20"/>
          <w:color w:val="auto"/>
        </w:rPr>
      </w:pPr>
    </w:p>
    <w:p>
      <w:pPr>
        <w:ind w:left="4" w:right="20" w:firstLine="987"/>
        <w:spacing w:after="0" w:line="226" w:lineRule="exact"/>
        <w:tabs>
          <w:tab w:leader="none" w:pos="1250" w:val="left"/>
        </w:tabs>
        <w:numPr>
          <w:ilvl w:val="1"/>
          <w:numId w:val="16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Restricted Physical Note to beneficial interest in an Unrestricted Global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 Exchange of a Restricted Physical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1" w:lineRule="exact"/>
        <w:rPr>
          <w:rFonts w:ascii="Times New Roman" w:cs="Times New Roman" w:eastAsia="Times New Roman" w:hAnsi="Times New Roman"/>
          <w:sz w:val="18"/>
          <w:szCs w:val="18"/>
          <w:color w:val="auto"/>
        </w:rPr>
      </w:pPr>
    </w:p>
    <w:p>
      <w:pPr>
        <w:ind w:left="4" w:firstLine="987"/>
        <w:spacing w:after="0" w:line="226" w:lineRule="exact"/>
        <w:tabs>
          <w:tab w:leader="none" w:pos="1240" w:val="left"/>
        </w:tabs>
        <w:numPr>
          <w:ilvl w:val="1"/>
          <w:numId w:val="16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Restricted Physical Note to Unrestricted Physical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Owner’s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Physical Note for an Unrestricted Physical Note, the Owner hereby certifies (i) the Unrestricted Physical Note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Unrestricted Physical Note is being acquired in compliance with any applicable blue sky securities laws of any state of the United States.</w:t>
      </w:r>
    </w:p>
    <w:p>
      <w:pPr>
        <w:spacing w:after="0" w:line="19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Restricted Physical Notes for Restricted Physical Notes or Beneficial Interests in Restricted Global Notes.</w:t>
      </w:r>
    </w:p>
    <w:p>
      <w:pPr>
        <w:spacing w:after="0" w:line="188" w:lineRule="exact"/>
        <w:rPr>
          <w:rFonts w:ascii="Times New Roman" w:cs="Times New Roman" w:eastAsia="Times New Roman" w:hAnsi="Times New Roman"/>
          <w:sz w:val="18"/>
          <w:szCs w:val="18"/>
          <w:color w:val="auto"/>
        </w:rPr>
      </w:pPr>
    </w:p>
    <w:p>
      <w:pPr>
        <w:ind w:left="4" w:right="120" w:firstLine="987"/>
        <w:spacing w:after="0" w:line="224" w:lineRule="exact"/>
        <w:tabs>
          <w:tab w:leader="none" w:pos="1240" w:val="left"/>
        </w:tabs>
        <w:numPr>
          <w:ilvl w:val="1"/>
          <w:numId w:val="168"/>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Check if Exchange is from Restricted Physical Note to beneficial interest in a Restricted Global Note</w:t>
      </w:r>
      <w:r>
        <w:rPr>
          <w:rFonts w:ascii="Times New Roman" w:cs="Times New Roman" w:eastAsia="Times New Roman" w:hAnsi="Times New Roman"/>
          <w:sz w:val="17"/>
          <w:szCs w:val="17"/>
          <w:color w:val="auto"/>
        </w:rPr>
        <w:t>.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of the Owner’s Restricted Physical Note for a beneficial interest in the [CHECK ONE] __ Rule 144A Global Note or __Regulation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004"/>
          </w:cols>
          <w:pgMar w:left="436" w:top="270" w:right="459" w:bottom="1440" w:gutter="0" w:footer="0" w:header="0"/>
        </w:sectPr>
      </w:pPr>
    </w:p>
    <w:bookmarkStart w:id="166" w:name="page167"/>
    <w:bookmarkEnd w:id="1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-7620</wp:posOffset>
            </wp:positionV>
            <wp:extent cx="11430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0019"/>
          </w:cols>
          <w:pgMar w:left="440" w:top="270" w:right="144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FROM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ACQUIRING INSTITUTIONAL ACCREDITED INVESTOR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European Holdings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Rue Touzet Gaillard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93400 Saint-Ouen, France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Thornall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Station: EX-NJ-E4CM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NJ 08837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Trustee Administration Manager</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re: Crown European Holdings S.A.</w:t>
      </w:r>
    </w:p>
    <w:p>
      <w:pPr>
        <w:spacing w:after="0" w:line="166" w:lineRule="exact"/>
        <w:rPr>
          <w:sz w:val="20"/>
          <w:szCs w:val="20"/>
          <w:color w:val="auto"/>
        </w:rPr>
      </w:pPr>
    </w:p>
    <w:p>
      <w:pPr>
        <w:ind w:left="1980"/>
        <w:spacing w:after="0" w:line="207" w:lineRule="exact"/>
        <w:rPr>
          <w:sz w:val="20"/>
          <w:szCs w:val="20"/>
          <w:color w:val="auto"/>
        </w:rPr>
      </w:pPr>
      <w:r>
        <w:rPr>
          <w:rFonts w:ascii="Times New Roman" w:cs="Times New Roman" w:eastAsia="Times New Roman" w:hAnsi="Times New Roman"/>
          <w:sz w:val="18"/>
          <w:szCs w:val="18"/>
          <w:color w:val="auto"/>
        </w:rPr>
        <w:t xml:space="preserve">Re: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3.750% Senior Notes due 2031</w:t>
      </w:r>
    </w:p>
    <w:p>
      <w:pPr>
        <w:spacing w:after="0" w:line="266" w:lineRule="exact"/>
        <w:rPr>
          <w:sz w:val="20"/>
          <w:szCs w:val="20"/>
          <w:color w:val="auto"/>
        </w:rPr>
      </w:pPr>
    </w:p>
    <w:p>
      <w:pPr>
        <w:ind w:left="2160" w:hanging="181"/>
        <w:spacing w:after="0"/>
        <w:tabs>
          <w:tab w:leader="none" w:pos="21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(CUSIP _____________)</w:t>
      </w:r>
    </w:p>
    <w:p>
      <w:pPr>
        <w:spacing w:after="0" w:line="27" w:lineRule="exact"/>
        <w:rPr>
          <w:rFonts w:ascii="Times New Roman" w:cs="Times New Roman" w:eastAsia="Times New Roman" w:hAnsi="Times New Roman"/>
          <w:sz w:val="18"/>
          <w:szCs w:val="18"/>
          <w:color w:val="auto"/>
        </w:rPr>
      </w:pPr>
    </w:p>
    <w:p>
      <w:pPr>
        <w:ind w:left="2160" w:hanging="181"/>
        <w:spacing w:after="0"/>
        <w:tabs>
          <w:tab w:leader="none" w:pos="21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(ISIN _______________)</w:t>
      </w:r>
    </w:p>
    <w:p>
      <w:pPr>
        <w:spacing w:after="0" w:line="9" w:lineRule="exact"/>
        <w:rPr>
          <w:rFonts w:ascii="Times New Roman" w:cs="Times New Roman" w:eastAsia="Times New Roman" w:hAnsi="Times New Roman"/>
          <w:sz w:val="18"/>
          <w:szCs w:val="18"/>
          <w:color w:val="auto"/>
        </w:rPr>
      </w:pPr>
    </w:p>
    <w:p>
      <w:pPr>
        <w:ind w:left="2160" w:hanging="181"/>
        <w:spacing w:after="0"/>
        <w:tabs>
          <w:tab w:leader="none" w:pos="21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(Common Code _______)</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October 6,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European Holdings S.A.,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U.S. Bank Trust Company, National Association, as trustee, U.S. Bank Europe DAC, as paying agent, registrar and transfer agent. Capitalized terms used but not defined herein shall have the meanings given to them in the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connection with our proposed purchase of ____________ aggregate principal amount of:</w:t>
      </w:r>
    </w:p>
    <w:p>
      <w:pPr>
        <w:spacing w:after="0" w:line="90" w:lineRule="exact"/>
        <w:rPr>
          <w:sz w:val="20"/>
          <w:szCs w:val="20"/>
          <w:color w:val="auto"/>
        </w:rPr>
      </w:pPr>
    </w:p>
    <w:p>
      <w:pPr>
        <w:ind w:left="1420" w:hanging="439"/>
        <w:spacing w:after="0" w:line="207" w:lineRule="exact"/>
        <w:tabs>
          <w:tab w:leader="none" w:pos="1420" w:val="left"/>
        </w:tabs>
        <w:numPr>
          <w:ilvl w:val="0"/>
          <w:numId w:val="17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 Global Note, or</w:t>
      </w:r>
    </w:p>
    <w:p>
      <w:pPr>
        <w:spacing w:after="0" w:line="130" w:lineRule="exact"/>
        <w:rPr>
          <w:rFonts w:ascii="Times New Roman" w:cs="Times New Roman" w:eastAsia="Times New Roman" w:hAnsi="Times New Roman"/>
          <w:sz w:val="18"/>
          <w:szCs w:val="18"/>
          <w:color w:val="auto"/>
        </w:rPr>
      </w:pPr>
    </w:p>
    <w:p>
      <w:pPr>
        <w:ind w:left="1420" w:hanging="439"/>
        <w:spacing w:after="0" w:line="207" w:lineRule="exact"/>
        <w:tabs>
          <w:tab w:leader="none" w:pos="1420" w:val="left"/>
        </w:tabs>
        <w:numPr>
          <w:ilvl w:val="0"/>
          <w:numId w:val="17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Physical Note,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confirm that:</w:t>
      </w:r>
    </w:p>
    <w:p>
      <w:pPr>
        <w:spacing w:after="0" w:line="117" w:lineRule="exact"/>
        <w:rPr>
          <w:sz w:val="20"/>
          <w:szCs w:val="20"/>
          <w:color w:val="auto"/>
        </w:rPr>
      </w:pPr>
    </w:p>
    <w:p>
      <w:pPr>
        <w:ind w:right="160" w:firstLine="987"/>
        <w:spacing w:after="0" w:line="266" w:lineRule="auto"/>
        <w:tabs>
          <w:tab w:leader="none" w:pos="117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020"/>
          </w:cols>
          <w:pgMar w:left="440" w:top="270" w:right="439" w:bottom="1440" w:gutter="0" w:footer="0" w:header="0"/>
        </w:sectPr>
      </w:pPr>
    </w:p>
    <w:bookmarkStart w:id="168" w:name="page169"/>
    <w:bookmarkEnd w:id="168"/>
    <w:p>
      <w:pPr>
        <w:ind w:left="4" w:right="40" w:firstLine="987"/>
        <w:spacing w:after="0" w:line="272" w:lineRule="auto"/>
        <w:tabs>
          <w:tab w:leader="none" w:pos="1175"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w:t>
      </w:r>
    </w:p>
    <w:p>
      <w:pPr>
        <w:spacing w:after="0" w:line="1" w:lineRule="exact"/>
        <w:rPr>
          <w:rFonts w:ascii="Times New Roman" w:cs="Times New Roman" w:eastAsia="Times New Roman" w:hAnsi="Times New Roman"/>
          <w:sz w:val="17"/>
          <w:szCs w:val="17"/>
          <w:color w:val="auto"/>
        </w:rPr>
      </w:pPr>
    </w:p>
    <w:p>
      <w:pPr>
        <w:ind w:left="4" w:right="200" w:hanging="4"/>
        <w:spacing w:after="0" w:line="265" w:lineRule="auto"/>
        <w:tabs>
          <w:tab w:leader="none" w:pos="289"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w:t>
      </w:r>
    </w:p>
    <w:p>
      <w:pPr>
        <w:jc w:val="both"/>
        <w:ind w:left="4" w:right="20" w:hanging="4"/>
        <w:spacing w:after="0" w:line="253" w:lineRule="auto"/>
        <w:tabs>
          <w:tab w:leader="none" w:pos="29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in accordance with Rule 904 of Regulation S under the Securities Act or (E) pursuant to an effective registration statement under the Securities Act, and we further agree to provide to any person purchasing the Physical Note or beneficial interest in a Global Note from us in a transaction meeting the requirements of clauses (A) through (E) of this paragraph a notice advising such purchaser that resales thereof are restricted as stated herein.</w:t>
      </w:r>
    </w:p>
    <w:p>
      <w:pPr>
        <w:spacing w:after="0" w:line="188"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17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17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5"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17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62"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H-2</w:t>
      </w:r>
    </w:p>
    <w:p>
      <w:pPr>
        <w:sectPr>
          <w:pgSz w:w="11900" w:h="16838" w:orient="portrait"/>
          <w:cols w:equalWidth="0" w:num="1">
            <w:col w:w="10964"/>
          </w:cols>
          <w:pgMar w:left="436" w:top="270" w:right="499" w:bottom="1440" w:gutter="0" w:footer="0" w:header="0"/>
        </w:sectPr>
      </w:pPr>
    </w:p>
    <w:bookmarkStart w:id="169" w:name="page170"/>
    <w:bookmarkEnd w:id="169"/>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[Insert Name of Accredited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-120650</wp:posOffset>
            </wp:positionV>
            <wp:extent cx="27946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1430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H-3</w:t>
      </w:r>
    </w:p>
    <w:p>
      <w:pPr>
        <w:sectPr>
          <w:pgSz w:w="11900" w:h="16838" w:orient="portrait"/>
          <w:cols w:equalWidth="0" w:num="1">
            <w:col w:w="10019"/>
          </w:cols>
          <w:pgMar w:left="440" w:top="499"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Each of the undersigned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hereby jointly and severally unconditionally guarantees, to the extent set forth in the Indenture,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as of October 6,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European Holdings S.A.,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U.S. Bank Trust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National Association, as trustee, U.S. Bank Europe DAC, as paying agent, registrar and transfer agent (as amended, restated or supplemented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subject to the Indenture, (a) the due and punctual payment of the principal of, premium, if any, and interest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Note, when and as the same shall become due and payable, whether at maturity, by acceleration or otherwise, the due and punctual payment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on the overdue principal of, and premium and, to the extent permitted by law, interest, and the due and punctual payment of all other obligations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due and punctual performance of all obligations of the Issuer to the Noteholders or the Trustee, all in accordance with the terms set forth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Article Ten of the Indenture, (b) in the case of any extension of time of payment or renewal of any Notes or any of such other obligations, that the same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will be promptly paid in full when due or performed in accordance with the terms of the extension or renewal, at stated maturity, by acceleration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otherwise and (c) all amounts due to the Trustee pursuant to the Indenture.</w:t>
      </w:r>
    </w:p>
    <w:p>
      <w:pPr>
        <w:spacing w:after="0" w:line="207"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The obligations of the Guarantors to the Noteholders and to the Trustee pursuant to this Guarantee and the Indenture are expressly set forth in Article Ten of the Indenture, and reference is hereby made to the Indenture for the precise terms and limitations of this Guarantee. Each Holder of the Note to which this Guarantee is endorsed, by accepting such Note, agrees to and shall be bound by such provisions. Capitalized terms used herein without definition shall have the meanings ascribed thereto in the Indenture.</w:t>
      </w:r>
    </w:p>
    <w:p>
      <w:pPr>
        <w:spacing w:after="0" w:line="180"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62" w:lineRule="exact"/>
        <w:rPr>
          <w:sz w:val="20"/>
          <w:szCs w:val="20"/>
          <w:color w:val="auto"/>
        </w:rPr>
      </w:pPr>
    </w:p>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t>Each Guarantor (i) acknowledges that it has irrevocably designated and appointed CT Corporation System, 111 Eighth Avenue, New York, New York 10011 (and any successor entity) as its authorized agent upon which process may be served in any suit or proceeding arising out of or relating to the Indenture, the Notes and this Guarantee that may be instituted in any Federal or state court in the State of New York, The City of New York, the Borough of Manhattan or brought under Federal or state securities laws, and acknowledges that CT Corporation System has accepted such designation,</w:t>
      </w:r>
    </w:p>
    <w:p>
      <w:pPr>
        <w:spacing w:after="0" w:line="3" w:lineRule="exact"/>
        <w:rPr>
          <w:sz w:val="20"/>
          <w:szCs w:val="20"/>
          <w:color w:val="auto"/>
        </w:rPr>
      </w:pPr>
    </w:p>
    <w:p>
      <w:pPr>
        <w:ind w:left="4" w:right="40" w:hanging="4"/>
        <w:spacing w:after="0" w:line="253" w:lineRule="auto"/>
        <w:tabs>
          <w:tab w:leader="none" w:pos="26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non-exclusive jurisdiction of any such court in any such suit or proceeding in (i) above and (iii) agrees that service of process upon CT Corporation System and written notice of said service to the Issuer in accordance with this Guarantee shall be deemed in every respect effective service of process upon the Issuer or any Guarantor, if any, in any such suit or proceeding. The Issuer and each Guarantor further agrees to take any and all such action, including the execution and filing of any and all such documents and instruments as may be necessary to continue such designation and appointment of CT Corporation System in full force and effect so long as the Indenture shall be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024"/>
          </w:cols>
          <w:pgMar w:left="436" w:top="270" w:right="439" w:bottom="1440" w:gutter="0" w:footer="0" w:header="0"/>
        </w:sectPr>
      </w:pPr>
    </w:p>
    <w:bookmarkStart w:id="171" w:name="page172"/>
    <w:bookmarkEnd w:id="171"/>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full force and effect or any of the Notes shall be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or any Guarantor may, by written notice to the Trustee, designate such additional or alternative agent for service of process under this Guarantee that (i) maintains an office located in the Borough of Manhattan, The City of New York, the State of New York, (ii) is a corporate service company which acts as agent for service of process for other Persons in the ordinary course of its business and (iii) agrees to act as agent for service of process in accordance with this Guarantee. Such notice shall identify the name and address of such agent for process in the Borough of Manhattan, The City of New York, the State of New York.</w:t>
      </w:r>
    </w:p>
    <w:p>
      <w:pPr>
        <w:spacing w:after="0" w:line="18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applicable law, to the extent that the Issuer or any Guarantor has or hereafter may acquire any immunity from jurisdiction of any court or from any legal process with respect to itself or its property, it hereby irrevocably waives such immunity in respect of its obligations under each of the Indenture, the Notes and this Guarantee. In addition, the Issuer and each Guarantor irrevocably waives and agrees not to assert, by way of motion, as a defense, or otherwise in any such suit, action or proceeding, any claim that it is not personally subject to the jurisdiction of the courts mentioned above for any reason whatsoever, that such suit, action or proceeding is brought in an inconvenient forum or that the venue for such suit is improper, or that the Indenture, the Notes or this Guarantee or the subject matter hereof or thereof may not be enforced in such courts.</w:t>
      </w:r>
    </w:p>
    <w:p>
      <w:pPr>
        <w:spacing w:after="0" w:line="187" w:lineRule="exact"/>
        <w:rPr>
          <w:sz w:val="20"/>
          <w:szCs w:val="20"/>
          <w:color w:val="auto"/>
        </w:rPr>
      </w:pPr>
    </w:p>
    <w:p>
      <w:pPr>
        <w:jc w:val="both"/>
        <w:ind w:right="160" w:firstLine="991"/>
        <w:spacing w:after="0" w:line="261" w:lineRule="auto"/>
        <w:rPr>
          <w:sz w:val="20"/>
          <w:szCs w:val="20"/>
          <w:color w:val="auto"/>
        </w:rPr>
      </w:pPr>
      <w:r>
        <w:rPr>
          <w:rFonts w:ascii="Times New Roman" w:cs="Times New Roman" w:eastAsia="Times New Roman" w:hAnsi="Times New Roman"/>
          <w:sz w:val="18"/>
          <w:szCs w:val="18"/>
          <w:color w:val="auto"/>
        </w:rPr>
        <w:t>The Issuer and the Guarantors agree that a final judgment in any such suit, action or proceeding shall be conclusive and may be enforced in other jurisdictions by suit on the judgment or in any other manner provided by law. To the fullest extent permitted by applicable law, nothing in this Guarantee shall affect the right of the Trustee to serve legal process in any other manner permitted by law or affect the right of the Trustee to bring any action or proceeding against the Issuer or any Guarantor or its property in the courts of any other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000"/>
          </w:cols>
          <w:pgMar w:left="440" w:top="268"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Guarantors has caused this Guarantee to be signed by a duly authorized officer.</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7"/>
          <w:szCs w:val="17"/>
          <w:color w:val="auto"/>
        </w:rPr>
        <w:t>Title:</w:t>
        <w:tab/>
        <w:t>Senior Vice President &amp; Chief Financial Officer</w:t>
      </w:r>
    </w:p>
    <w:p>
      <w:pPr>
        <w:spacing w:after="0" w:line="1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I-6</w:t>
      </w:r>
    </w:p>
    <w:p>
      <w:pPr>
        <w:sectPr>
          <w:pgSz w:w="11900" w:h="16838" w:orient="portrait"/>
          <w:cols w:equalWidth="0" w:num="1">
            <w:col w:w="10220"/>
          </w:cols>
          <w:pgMar w:left="880" w:top="270" w:right="799" w:bottom="1440" w:gutter="0" w:footer="0" w:header="0"/>
        </w:sectPr>
      </w:pPr>
    </w:p>
    <w:bookmarkStart w:id="173" w:name="page174"/>
    <w:bookmarkEnd w:id="17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AMERICAS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Vice President &amp; Treasurer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ectPr>
          <w:pgSz w:w="11900" w:h="16838" w:orient="portrait"/>
          <w:cols w:equalWidth="0" w:num="1">
            <w:col w:w="9019"/>
          </w:cols>
          <w:pgMar w:left="1440" w:top="270" w:right="1440" w:bottom="1440" w:gutter="0" w:footer="0" w:header="0"/>
        </w:sectPr>
      </w:pPr>
    </w:p>
    <w:bookmarkStart w:id="174" w:name="page175"/>
    <w:bookmarkEnd w:id="17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PUERTO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RICO,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CORK &amp; SEAL COMPANY (DE),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I-8</w:t>
      </w:r>
    </w:p>
    <w:p>
      <w:pPr>
        <w:sectPr>
          <w:pgSz w:w="11900" w:h="16838" w:orient="portrait"/>
          <w:cols w:equalWidth="0" w:num="1">
            <w:col w:w="9260"/>
          </w:cols>
          <w:pgMar w:left="1440" w:top="270" w:right="1199" w:bottom="1440" w:gutter="0" w:footer="0" w:header="0"/>
        </w:sectPr>
      </w:pPr>
    </w:p>
    <w:bookmarkStart w:id="175" w:name="page176"/>
    <w:bookmarkEnd w:id="17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CORK &amp; SEAL USA,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INTERNATIONAL HOLDINGS, LLC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HOLDINGS,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I-9</w:t>
      </w:r>
    </w:p>
    <w:p>
      <w:pPr>
        <w:sectPr>
          <w:pgSz w:w="11900" w:h="16838" w:orient="portrait"/>
          <w:cols w:equalWidth="0" w:num="1">
            <w:col w:w="9160"/>
          </w:cols>
          <w:pgMar w:left="1440" w:top="270" w:right="1299" w:bottom="1440" w:gutter="0" w:footer="0" w:header="0"/>
        </w:sectPr>
      </w:pPr>
    </w:p>
    <w:bookmarkStart w:id="176" w:name="page177"/>
    <w:bookmarkEnd w:id="17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SIGNODE INDUSTRIAL GROUP HOLDINGS US INC.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INTERNATIONAL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ENGINEERING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AUTOMATION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SEH REAL ESTATE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88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Assistant Treasurer</w:t>
      </w:r>
    </w:p>
    <w:p>
      <w:pPr>
        <w:spacing w:after="0" w:line="1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I-10</w:t>
      </w:r>
    </w:p>
    <w:p>
      <w:pPr>
        <w:sectPr>
          <w:pgSz w:w="11900" w:h="16838" w:orient="portrait"/>
          <w:cols w:equalWidth="0" w:num="1">
            <w:col w:w="9820"/>
          </w:cols>
          <w:pgMar w:left="1440" w:top="270" w:right="639" w:bottom="1440" w:gutter="0" w:footer="0" w:header="0"/>
        </w:sectPr>
      </w:pPr>
    </w:p>
    <w:bookmarkStart w:id="177" w:name="page178"/>
    <w:bookmarkEnd w:id="17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3079939 NOVA SCOTIA COMPANY/3079939</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COMPAGNIE DE LA NOUVELLE ECOSSE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889273 ONTARIO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CANADIAN HOLDINGS ULC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METAL PACKAGING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CANADA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CANADA ULC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Peter Abraham</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7"/>
          <w:szCs w:val="17"/>
          <w:color w:val="auto"/>
        </w:rPr>
        <w:t>CROWN METAL PACKAGING CANADA LP</w:t>
      </w:r>
    </w:p>
    <w:p>
      <w:pPr>
        <w:sectPr>
          <w:pgSz w:w="11900" w:h="16838" w:orient="portrait"/>
          <w:cols w:equalWidth="0" w:num="1">
            <w:col w:w="9720"/>
          </w:cols>
          <w:pgMar w:left="1440" w:top="270" w:right="739" w:bottom="1440" w:gutter="0" w:footer="0" w:header="0"/>
        </w:sectPr>
      </w:pP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Crown Metal Packaging Canada Inc., its General Partner</w:t>
      </w:r>
    </w:p>
    <w:p>
      <w:pPr>
        <w:spacing w:after="0" w:line="162" w:lineRule="exact"/>
        <w:rPr>
          <w:sz w:val="20"/>
          <w:szCs w:val="20"/>
          <w:color w:val="auto"/>
        </w:rPr>
      </w:pPr>
    </w:p>
    <w:p>
      <w:pPr>
        <w:sectPr>
          <w:pgSz w:w="11900" w:h="16838" w:orient="portrait"/>
          <w:cols w:equalWidth="0" w:num="2">
            <w:col w:w="5880" w:space="320"/>
            <w:col w:w="3520"/>
          </w:cols>
          <w:pgMar w:left="1440" w:top="270" w:right="7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Vice President &amp; Treasurer</w:t>
      </w:r>
    </w:p>
    <w:p>
      <w:pPr>
        <w:spacing w:after="0" w:line="15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I-11</w:t>
      </w:r>
    </w:p>
    <w:p>
      <w:pPr>
        <w:sectPr>
          <w:pgSz w:w="11900" w:h="16838" w:orient="portrait"/>
          <w:cols w:equalWidth="0" w:num="1">
            <w:col w:w="9720"/>
          </w:cols>
          <w:pgMar w:left="1440" w:top="270" w:right="739" w:bottom="1440" w:gutter="0" w:footer="0" w:header="0"/>
          <w:type w:val="continuous"/>
        </w:sectPr>
      </w:pPr>
    </w:p>
    <w:bookmarkStart w:id="178" w:name="page179"/>
    <w:bookmarkEnd w:id="17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BEVCAN FRANCE SAS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Louisa Redjdal Piqueras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Directeur Général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DÉVELOPPEMENT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Directeur Général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EUROPE SAS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Jean-Francois Lelouch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Président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I-12</w:t>
      </w:r>
    </w:p>
    <w:p>
      <w:pPr>
        <w:sectPr>
          <w:pgSz w:w="11900" w:h="16838" w:orient="portrait"/>
          <w:cols w:equalWidth="0" w:num="1">
            <w:col w:w="9019"/>
          </w:cols>
          <w:pgMar w:left="1440" w:top="270" w:right="1440" w:bottom="1440" w:gutter="0" w:footer="0" w:header="0"/>
        </w:sectPr>
      </w:pPr>
    </w:p>
    <w:bookmarkStart w:id="179" w:name="page180"/>
    <w:bookmarkEnd w:id="17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SOCIÉTÉ CIVILE IMMOBILIÉRE DES BACQUETS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SOCIÉTÉ CIVILE IMMOBILIÉRE ROUSSEAU IVRY</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Gérant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SPG FRANCE HOLDINGS SAS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FRANCE SAS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Président</w:t>
      </w:r>
    </w:p>
    <w:p>
      <w:pPr>
        <w:spacing w:after="0" w:line="13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I-13</w:t>
      </w:r>
    </w:p>
    <w:p>
      <w:pPr>
        <w:sectPr>
          <w:pgSz w:w="11900" w:h="16838" w:orient="portrait"/>
          <w:cols w:equalWidth="0" w:num="1">
            <w:col w:w="9700"/>
          </w:cols>
          <w:pgMar w:left="1440" w:top="270" w:right="759" w:bottom="1440" w:gutter="0" w:footer="0" w:header="0"/>
        </w:sectPr>
      </w:pPr>
    </w:p>
    <w:bookmarkStart w:id="180" w:name="page181"/>
    <w:bookmarkEnd w:id="18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CORK &amp; SEAL DEUTSCHLAND HOLDINGS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GMBH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Jochen Linzenich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Sergiy Boyko</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I-14</w:t>
      </w:r>
    </w:p>
    <w:p>
      <w:pPr>
        <w:sectPr>
          <w:pgSz w:w="11900" w:h="16838" w:orient="portrait"/>
          <w:cols w:equalWidth="0" w:num="1">
            <w:col w:w="9840"/>
          </w:cols>
          <w:pgMar w:left="1440" w:top="270" w:right="619" w:bottom="1440" w:gutter="0" w:footer="0" w:header="0"/>
        </w:sectPr>
      </w:pPr>
    </w:p>
    <w:bookmarkStart w:id="181" w:name="page182"/>
    <w:bookmarkEnd w:id="18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PACKAGING SYSTEMS GMBH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SMP SCHWEDE MASCHINENBAU WEISCHLITZ</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GMBH</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Emil Lars Peter Krachten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MEZGER HEFTSYSTEME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Hermann Gumbinger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Emil Lars Peter Krachten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SYSTEM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Burkhard Bödefeld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SPG GERMANY SERVICE MANAGEMENT GMBH</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I-15</w:t>
      </w:r>
    </w:p>
    <w:p>
      <w:pPr>
        <w:sectPr>
          <w:pgSz w:w="11900" w:h="16838" w:orient="portrait"/>
          <w:cols w:equalWidth="0" w:num="1">
            <w:col w:w="9600"/>
          </w:cols>
          <w:pgMar w:left="1440" w:top="270" w:right="859" w:bottom="1440" w:gutter="0" w:footer="0" w:header="0"/>
        </w:sectPr>
      </w:pPr>
    </w:p>
    <w:bookmarkStart w:id="182" w:name="page183"/>
    <w:bookmarkEnd w:id="18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PACKAGING LUX III, S.À.R.L.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Christelle Gilson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B</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SPG INDUSTRIAL PACKAGING S.À.R.L.</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Christelle Gilson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B</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I-16</w:t>
      </w:r>
    </w:p>
    <w:p>
      <w:pPr>
        <w:sectPr>
          <w:pgSz w:w="11900" w:h="16838" w:orient="portrait"/>
          <w:cols w:equalWidth="0" w:num="1">
            <w:col w:w="9019"/>
          </w:cols>
          <w:pgMar w:left="1440" w:top="270" w:right="1440" w:bottom="1440" w:gutter="0" w:footer="0" w:header="0"/>
        </w:sectPr>
      </w:pPr>
    </w:p>
    <w:bookmarkStart w:id="183" w:name="page184"/>
    <w:bookmarkEnd w:id="18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LUX S.A.</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Christelle Gilson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 B</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LUXEMBOURG S.À.R.L.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I-17</w:t>
      </w:r>
    </w:p>
    <w:p>
      <w:pPr>
        <w:sectPr>
          <w:pgSz w:w="11900" w:h="16838" w:orient="portrait"/>
          <w:cols w:equalWidth="0" w:num="1">
            <w:col w:w="9019"/>
          </w:cols>
          <w:pgMar w:left="1440" w:top="270" w:right="1440" w:bottom="1440" w:gutter="0" w:footer="0" w:header="0"/>
        </w:sectPr>
      </w:pPr>
    </w:p>
    <w:bookmarkStart w:id="184" w:name="page185"/>
    <w:bookmarkEnd w:id="18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ENVASES MEXICO, S.A.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FÁBRICAS MONTERREY,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FAMOSA,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SILICES DE VERACRUZ,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 DEL ISTMO,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VICHISA, S.A. DE C.V.</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MEXICO S. DE R.L.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SIMPLIMATIC AUTOMATION DE MEXICO, S. DE R.L.</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 C.V.</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Maria Evelia Hernandez Rodriguez</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13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I-18</w:t>
      </w:r>
    </w:p>
    <w:p>
      <w:pPr>
        <w:sectPr>
          <w:pgSz w:w="11900" w:h="16838" w:orient="portrait"/>
          <w:cols w:equalWidth="0" w:num="1">
            <w:col w:w="9920"/>
          </w:cols>
          <w:pgMar w:left="1440" w:top="270" w:right="539" w:bottom="1440" w:gutter="0" w:footer="0" w:header="0"/>
        </w:sectPr>
      </w:pPr>
    </w:p>
    <w:bookmarkStart w:id="185" w:name="page186"/>
    <w:bookmarkEnd w:id="18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FAMOSA B.V.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SIVESA B.V.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SISA MEXICO B.V.</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Marcel Stiphout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SIGNODE NETHERLANDS B.V.</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Jochen Linzenich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I-19</w:t>
      </w:r>
    </w:p>
    <w:p>
      <w:pPr>
        <w:sectPr>
          <w:pgSz w:w="11900" w:h="16838" w:orient="portrait"/>
          <w:cols w:equalWidth="0" w:num="1">
            <w:col w:w="9019"/>
          </w:cols>
          <w:pgMar w:left="1440" w:top="270" w:right="1440" w:bottom="1440" w:gutter="0" w:footer="0" w:header="0"/>
        </w:sectPr>
      </w:pPr>
    </w:p>
    <w:bookmarkStart w:id="186" w:name="page187"/>
    <w:bookmarkEnd w:id="18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PACKAGING EUROPEAN HOLDINGS GMBH</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of the Management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EUROPEAN DIVISION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SWITZERLAND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I-20</w:t>
      </w:r>
    </w:p>
    <w:p>
      <w:pPr>
        <w:sectPr>
          <w:pgSz w:w="11900" w:h="16838" w:orient="portrait"/>
          <w:cols w:equalWidth="0" w:num="1">
            <w:col w:w="9920"/>
          </w:cols>
          <w:pgMar w:left="1440" w:top="270" w:right="539" w:bottom="1440" w:gutter="0" w:footer="0" w:header="0"/>
        </w:sectPr>
      </w:pPr>
    </w:p>
    <w:bookmarkStart w:id="187" w:name="page188"/>
    <w:bookmarkEnd w:id="18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CARNAUDMETALBOX ENGINEERING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GROUP UK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OVERSEAS 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PACKING SERVICES EMEA LIMITED</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MANUFACTURING UK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Jean-Francois Lelouch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PACKAGING DISTRIBUTION UK LIMITED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Tim Conybeare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UK HOLDINGS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I-21</w:t>
      </w:r>
    </w:p>
    <w:p>
      <w:pPr>
        <w:sectPr>
          <w:pgSz w:w="11900" w:h="16838" w:orient="portrait"/>
          <w:cols w:equalWidth="0" w:num="1">
            <w:col w:w="9760"/>
          </w:cols>
          <w:pgMar w:left="1440" w:top="270" w:right="699" w:bottom="1440" w:gutter="0" w:footer="0" w:header="0"/>
        </w:sectPr>
      </w:pPr>
    </w:p>
    <w:bookmarkStart w:id="188" w:name="page189"/>
    <w:bookmarkEnd w:id="18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UK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CARNAUDMETALBOX MEC-A-TEC SERVICES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I-22</w:t>
      </w:r>
    </w:p>
    <w:p>
      <w:pPr>
        <w:sectPr>
          <w:pgSz w:w="11900" w:h="16838" w:orient="portrait"/>
          <w:cols w:equalWidth="0" w:num="1">
            <w:col w:w="9400"/>
          </w:cols>
          <w:pgMar w:left="1440" w:top="270" w:right="1059" w:bottom="1440" w:gutter="0" w:footer="0" w:header="0"/>
        </w:sectPr>
      </w:pPr>
    </w:p>
    <w:bookmarkStart w:id="189" w:name="page190"/>
    <w:bookmarkEnd w:id="18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PUERTO RICO,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Controller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CORK &amp; SEAL COMPANY (DE),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I-23</w:t>
      </w:r>
    </w:p>
    <w:p>
      <w:pPr>
        <w:sectPr>
          <w:pgSz w:w="11900" w:h="16838" w:orient="portrait"/>
          <w:cols w:equalWidth="0" w:num="1">
            <w:col w:w="9260"/>
          </w:cols>
          <w:pgMar w:left="1440" w:top="270" w:right="1199" w:bottom="1440" w:gutter="0" w:footer="0" w:header="0"/>
        </w:sectPr>
      </w:pPr>
    </w:p>
    <w:bookmarkStart w:id="190" w:name="page191"/>
    <w:bookmarkEnd w:id="19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CORK &amp; SEAL USA,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INTERNATIONAL HOLDINGS, LLC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Assistant Treasurer</w:t>
      </w:r>
    </w:p>
    <w:p>
      <w:pPr>
        <w:spacing w:after="0" w:line="1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I-24</w:t>
      </w:r>
    </w:p>
    <w:p>
      <w:pPr>
        <w:sectPr>
          <w:pgSz w:w="11900" w:h="16838" w:orient="portrait"/>
          <w:cols w:equalWidth="0" w:num="1">
            <w:col w:w="9160"/>
          </w:cols>
          <w:pgMar w:left="1440" w:top="270" w:right="1299" w:bottom="1440" w:gutter="0" w:footer="0" w:header="0"/>
        </w:sectPr>
      </w:pPr>
    </w:p>
    <w:bookmarkStart w:id="191" w:name="page192"/>
    <w:bookmarkEnd w:id="19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BEVERAGE HOLDINGS,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I-25</w:t>
      </w:r>
    </w:p>
    <w:p>
      <w:pPr>
        <w:sectPr>
          <w:pgSz w:w="11900" w:h="16838" w:orient="portrait"/>
          <w:cols w:equalWidth="0" w:num="1">
            <w:col w:w="9019"/>
          </w:cols>
          <w:pgMar w:left="1440" w:top="270" w:right="1440" w:bottom="1440" w:gutter="0" w:footer="0" w:header="0"/>
        </w:sectPr>
      </w:pPr>
    </w:p>
    <w:bookmarkStart w:id="192" w:name="page193"/>
    <w:bookmarkEnd w:id="19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SIGNODE INDUSTRIAL GROUP HOLDINGS US INC.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INTERNATIONAL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ENGINEERING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AUTOMATION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SEH REAL ESTATE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Assistant Treasurer</w:t>
      </w:r>
    </w:p>
    <w:p>
      <w:pPr>
        <w:spacing w:after="0" w:line="1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I-26</w:t>
      </w:r>
    </w:p>
    <w:p>
      <w:pPr>
        <w:sectPr>
          <w:pgSz w:w="11900" w:h="16838" w:orient="portrait"/>
          <w:cols w:equalWidth="0" w:num="1">
            <w:col w:w="9820"/>
          </w:cols>
          <w:pgMar w:left="1440" w:top="270" w:right="639" w:bottom="1440" w:gutter="0" w:footer="0" w:header="0"/>
        </w:sectPr>
      </w:pPr>
    </w:p>
    <w:bookmarkStart w:id="193" w:name="page194"/>
    <w:bookmarkEnd w:id="19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3079939 NOVA SCOTIA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COMPANY/3079939 COMPAGNIE DE LA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NOUVELLE ECOSSE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889273 ONTARIO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CANADIAN HOLDINGS ULC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METAL PACKAGING CANADA INC.</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CANADA ULC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Peter Abraham</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METAL PACKAGING CANADA LP</w:t>
      </w:r>
    </w:p>
    <w:p>
      <w:pPr>
        <w:sectPr>
          <w:pgSz w:w="11900" w:h="16838" w:orient="portrait"/>
          <w:cols w:equalWidth="0" w:num="1">
            <w:col w:w="9720"/>
          </w:cols>
          <w:pgMar w:left="1440" w:top="270" w:right="73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Crown Metal Packaging Canada Inc., its General Partner</w:t>
      </w:r>
    </w:p>
    <w:p>
      <w:pPr>
        <w:spacing w:after="0" w:line="162" w:lineRule="exact"/>
        <w:rPr>
          <w:sz w:val="20"/>
          <w:szCs w:val="20"/>
          <w:color w:val="auto"/>
        </w:rPr>
      </w:pPr>
    </w:p>
    <w:p>
      <w:pPr>
        <w:sectPr>
          <w:pgSz w:w="11900" w:h="16838" w:orient="portrait"/>
          <w:cols w:equalWidth="0" w:num="2">
            <w:col w:w="5880" w:space="320"/>
            <w:col w:w="3520"/>
          </w:cols>
          <w:pgMar w:left="1440" w:top="270" w:right="7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Vice President &amp; Treasurer</w:t>
      </w:r>
    </w:p>
    <w:p>
      <w:pPr>
        <w:spacing w:after="0" w:line="15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I-27</w:t>
      </w:r>
    </w:p>
    <w:p>
      <w:pPr>
        <w:sectPr>
          <w:pgSz w:w="11900" w:h="16838" w:orient="portrait"/>
          <w:cols w:equalWidth="0" w:num="1">
            <w:col w:w="9720"/>
          </w:cols>
          <w:pgMar w:left="1440" w:top="270" w:right="739" w:bottom="1440" w:gutter="0" w:footer="0" w:header="0"/>
          <w:type w:val="continuous"/>
        </w:sectPr>
      </w:pPr>
    </w:p>
    <w:bookmarkStart w:id="194" w:name="page195"/>
    <w:bookmarkEnd w:id="19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BEVCAN FRANCE SAS</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Louisa Redjdal Piqueras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Directeur Général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DÉVELOPPEMENT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Directeur Général</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EUROPE SAS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Jean-Francois Lelouch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Président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I-28</w:t>
      </w:r>
    </w:p>
    <w:p>
      <w:pPr>
        <w:sectPr>
          <w:pgSz w:w="11900" w:h="16838" w:orient="portrait"/>
          <w:cols w:equalWidth="0" w:num="1">
            <w:col w:w="9019"/>
          </w:cols>
          <w:pgMar w:left="1440" w:top="270" w:right="1440" w:bottom="1440" w:gutter="0" w:footer="0" w:header="0"/>
        </w:sectPr>
      </w:pPr>
    </w:p>
    <w:bookmarkStart w:id="195" w:name="page196"/>
    <w:bookmarkEnd w:id="19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SOCIÉTÉ CIVILE IMMOBILIÉRE DES BACQUETS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SOCIÉTÉ CIVILE IMMOBILIÉRE ROUSSEAU IVRY</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Gérant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SPG FRANCE HOLDINGS SAS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FRANCE SAS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Président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CORK &amp; SEAL DEUTSCHLAND HOLDINGS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GMBH</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Jochen Linzenich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I-29</w:t>
      </w:r>
    </w:p>
    <w:p>
      <w:pPr>
        <w:sectPr>
          <w:pgSz w:w="11900" w:h="16838" w:orient="portrait"/>
          <w:cols w:equalWidth="0" w:num="1">
            <w:col w:w="9840"/>
          </w:cols>
          <w:pgMar w:left="1440" w:top="270" w:right="619" w:bottom="1440" w:gutter="0" w:footer="0" w:header="0"/>
        </w:sectPr>
      </w:pPr>
    </w:p>
    <w:bookmarkStart w:id="196" w:name="page197"/>
    <w:bookmarkEnd w:id="19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PACKAGING SYSTEMS GMBH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MEZGER HEFTSYSTEME GMBH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SMP SCHWEDE MASCHINENBAU WEISCHLITZ</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GMBH</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Ellen Fleischmann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SYSTEM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Peter Aloys Buderath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SPG GERMANY SERVICE MANAGEMENT GMBH</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I-30</w:t>
      </w:r>
    </w:p>
    <w:p>
      <w:pPr>
        <w:sectPr>
          <w:pgSz w:w="11900" w:h="16838" w:orient="portrait"/>
          <w:cols w:equalWidth="0" w:num="1">
            <w:col w:w="9600"/>
          </w:cols>
          <w:pgMar w:left="1440" w:top="270" w:right="859" w:bottom="1440" w:gutter="0" w:footer="0" w:header="0"/>
        </w:sectPr>
      </w:pPr>
    </w:p>
    <w:bookmarkStart w:id="197" w:name="page198"/>
    <w:bookmarkEnd w:id="19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PACKAGING LUX III, S.À.R.L.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Pierre Neu</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B</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SPG INDUSTRIAL PACKAGING S.À.R.L.</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Pierre Neu</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 B</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I-31</w:t>
      </w:r>
    </w:p>
    <w:p>
      <w:pPr>
        <w:sectPr>
          <w:pgSz w:w="11900" w:h="16838" w:orient="portrait"/>
          <w:cols w:equalWidth="0" w:num="1">
            <w:col w:w="9019"/>
          </w:cols>
          <w:pgMar w:left="1440" w:top="270" w:right="1440" w:bottom="1440" w:gutter="0" w:footer="0" w:header="0"/>
        </w:sectPr>
      </w:pPr>
    </w:p>
    <w:bookmarkStart w:id="198" w:name="page199"/>
    <w:bookmarkEnd w:id="19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LUX S.A.</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Pierre Neu</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 B</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LUXEMBOURG S.À.R.L.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I-32</w:t>
      </w:r>
    </w:p>
    <w:p>
      <w:pPr>
        <w:sectPr>
          <w:pgSz w:w="11900" w:h="16838" w:orient="portrait"/>
          <w:cols w:equalWidth="0" w:num="1">
            <w:col w:w="9019"/>
          </w:cols>
          <w:pgMar w:left="1440" w:top="270" w:right="1440" w:bottom="1440" w:gutter="0" w:footer="0" w:header="0"/>
        </w:sectPr>
      </w:pPr>
    </w:p>
    <w:bookmarkStart w:id="199" w:name="page200"/>
    <w:bookmarkEnd w:id="19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ENVASES MEXICO, S.A.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FÁBRICAS MONTERREY,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FAMOSA,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SILICES DE VERACRUZ,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SILICE DEL ISTMO, S.A. DE C.V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VICHISA, S.A. DE C.V.</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MEXICO S. DE R.L. DE C.V.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SIMPLIMATIC AUTOMATION DE MEXICO, S. DE R.L.</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 C.V.</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Maria Evelia Hernandez Rodriguez</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13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I-33</w:t>
      </w:r>
    </w:p>
    <w:p>
      <w:pPr>
        <w:sectPr>
          <w:pgSz w:w="11900" w:h="16838" w:orient="portrait"/>
          <w:cols w:equalWidth="0" w:num="1">
            <w:col w:w="9920"/>
          </w:cols>
          <w:pgMar w:left="1440" w:top="270" w:right="539" w:bottom="1440" w:gutter="0" w:footer="0" w:header="0"/>
        </w:sectPr>
      </w:pPr>
    </w:p>
    <w:bookmarkStart w:id="200" w:name="page201"/>
    <w:bookmarkEnd w:id="20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FAMOSA B.V.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SIVESA B.V.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SISA MEXICO B.V.</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SIGNODE NETHERLANDS B.V.</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Jochen Linzenich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I-34</w:t>
      </w:r>
    </w:p>
    <w:p>
      <w:pPr>
        <w:sectPr>
          <w:pgSz w:w="11900" w:h="16838" w:orient="portrait"/>
          <w:cols w:equalWidth="0" w:num="1">
            <w:col w:w="9019"/>
          </w:cols>
          <w:pgMar w:left="1440" w:top="270" w:right="1440" w:bottom="1440" w:gutter="0" w:footer="0" w:header="0"/>
        </w:sectPr>
      </w:pPr>
    </w:p>
    <w:bookmarkStart w:id="201" w:name="page202"/>
    <w:bookmarkEnd w:id="20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CROWN PACKAGING EUROPEAN DIVISION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PACKAGING EUROPEAN HOLDINGS GMBH</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Andrea Vavassori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of the Management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SWITZERLAND GMBH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I-35</w:t>
      </w:r>
    </w:p>
    <w:p>
      <w:pPr>
        <w:sectPr>
          <w:pgSz w:w="11900" w:h="16838" w:orient="portrait"/>
          <w:cols w:equalWidth="0" w:num="1">
            <w:col w:w="9920"/>
          </w:cols>
          <w:pgMar w:left="1440" w:top="270" w:right="539" w:bottom="1440" w:gutter="0" w:footer="0" w:header="0"/>
        </w:sectPr>
      </w:pPr>
    </w:p>
    <w:bookmarkStart w:id="202" w:name="page203"/>
    <w:bookmarkEnd w:id="20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CARNAUDMETALBOX ENGINEERING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GROUP UK LTD.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CARNAUDMETALBOX OVERSEAS LTD.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MANUFACTURING UK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PACKING SERVICES EMEA LIMITED</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Paul Browett</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PACKAGING DISTRIBUTION UK LIMITED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Tim Conybeare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UK HOLDINGS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I-36</w:t>
      </w:r>
    </w:p>
    <w:p>
      <w:pPr>
        <w:sectPr>
          <w:pgSz w:w="11900" w:h="16838" w:orient="portrait"/>
          <w:cols w:equalWidth="0" w:num="1">
            <w:col w:w="9760"/>
          </w:cols>
          <w:pgMar w:left="1440" w:top="270" w:right="699" w:bottom="1440" w:gutter="0" w:footer="0" w:header="0"/>
        </w:sectPr>
      </w:pPr>
    </w:p>
    <w:bookmarkStart w:id="203" w:name="page204"/>
    <w:bookmarkEnd w:id="20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UK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Olaf Roth</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CARNAUDMETALBOX MEC-A-TEC SERVICES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[Signature Page to Guarantee]</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I-37</w:t>
      </w:r>
    </w:p>
    <w:sectPr>
      <w:pgSz w:w="11900" w:h="16838" w:orient="portrait"/>
      <w:cols w:equalWidth="0" w:num="1">
        <w:col w:w="9400"/>
      </w:cols>
      <w:pgMar w:left="1440" w:top="27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1)"/>
      <w:numFmt w:val="lowerLetter"/>
      <w:start w:val="4"/>
    </w:lvl>
  </w:abstractNum>
  <w:abstractNum w:abstractNumId="2">
    <w:nsid w:val="3222E7CD"/>
    <w:multiLevelType w:val="hybridMultilevel"/>
    <w:lvl w:ilvl="0">
      <w:lvlJc w:val="left"/>
      <w:lvlText w:val="(%1)"/>
      <w:numFmt w:val="decimal"/>
      <w:start w:val="1"/>
    </w:lvl>
  </w:abstractNum>
  <w:abstractNum w:abstractNumId="3">
    <w:nsid w:val="74DE0EE3"/>
    <w:multiLevelType w:val="hybridMultilevel"/>
    <w:lvl w:ilvl="0">
      <w:lvlJc w:val="left"/>
      <w:lvlText w:val="(%1)"/>
      <w:numFmt w:val="decimal"/>
      <w:start w:val="1"/>
    </w:lvl>
  </w:abstractNum>
  <w:abstractNum w:abstractNumId="4">
    <w:nsid w:val="68EBC550"/>
    <w:multiLevelType w:val="hybridMultilevel"/>
    <w:lvl w:ilvl="0">
      <w:lvlJc w:val="left"/>
      <w:lvlText w:val="(%1)"/>
      <w:numFmt w:val="decimal"/>
      <w:start w:val="1"/>
    </w:lvl>
  </w:abstractNum>
  <w:abstractNum w:abstractNumId="5">
    <w:nsid w:val="2DF6D648"/>
    <w:multiLevelType w:val="hybridMultilevel"/>
    <w:lvl w:ilvl="0">
      <w:lvlJc w:val="left"/>
      <w:lvlText w:val="(%1)"/>
      <w:numFmt w:val="decimal"/>
      <w:start w:val="4"/>
    </w:lvl>
  </w:abstractNum>
  <w:abstractNum w:abstractNumId="6">
    <w:nsid w:val="46B7D447"/>
    <w:multiLevelType w:val="hybridMultilevel"/>
    <w:lvl w:ilvl="0">
      <w:lvlJc w:val="left"/>
      <w:lvlText w:val="(%1)"/>
      <w:numFmt w:val="decimal"/>
      <w:start w:val="1"/>
    </w:lvl>
  </w:abstractNum>
  <w:abstractNum w:abstractNumId="7">
    <w:nsid w:val="4A2AC315"/>
    <w:multiLevelType w:val="hybridMultilevel"/>
    <w:lvl w:ilvl="0">
      <w:lvlJc w:val="left"/>
      <w:lvlText w:val="(%1)"/>
      <w:numFmt w:val="decimal"/>
      <w:start w:val="7"/>
    </w:lvl>
  </w:abstractNum>
  <w:abstractNum w:abstractNumId="8">
    <w:nsid w:val="39EE015C"/>
    <w:multiLevelType w:val="hybridMultilevel"/>
    <w:lvl w:ilvl="0">
      <w:lvlJc w:val="left"/>
      <w:lvlText w:val="(%1)"/>
      <w:numFmt w:val="decimal"/>
      <w:start w:val="1"/>
    </w:lvl>
  </w:abstractNum>
  <w:abstractNum w:abstractNumId="9">
    <w:nsid w:val="57FC4FBB"/>
    <w:multiLevelType w:val="hybridMultilevel"/>
    <w:lvl w:ilvl="0">
      <w:lvlJc w:val="left"/>
      <w:lvlText w:val="(%1)"/>
      <w:numFmt w:val="decimal"/>
      <w:start w:val="1"/>
    </w:lvl>
  </w:abstractNum>
  <w:abstractNum w:abstractNumId="10">
    <w:nsid w:val="CC1016F"/>
    <w:multiLevelType w:val="hybridMultilevel"/>
    <w:lvl w:ilvl="0">
      <w:lvlJc w:val="left"/>
      <w:lvlText w:val="(%1)"/>
      <w:numFmt w:val="decimal"/>
      <w:start w:val="1"/>
    </w:lvl>
  </w:abstractNum>
  <w:abstractNum w:abstractNumId="11">
    <w:nsid w:val="43F18422"/>
    <w:multiLevelType w:val="hybridMultilevel"/>
    <w:lvl w:ilvl="0">
      <w:lvlJc w:val="left"/>
      <w:lvlText w:val="(%1)"/>
      <w:numFmt w:val="decimal"/>
      <w:start w:val="1"/>
    </w:lvl>
  </w:abstractNum>
  <w:abstractNum w:abstractNumId="12">
    <w:nsid w:val="60EF0119"/>
    <w:multiLevelType w:val="hybridMultilevel"/>
    <w:lvl w:ilvl="0">
      <w:lvlJc w:val="left"/>
      <w:lvlText w:val="(%1)"/>
      <w:numFmt w:val="decimal"/>
      <w:start w:val="1"/>
    </w:lvl>
  </w:abstractNum>
  <w:abstractNum w:abstractNumId="13">
    <w:nsid w:val="26F324BA"/>
    <w:multiLevelType w:val="hybridMultilevel"/>
    <w:lvl w:ilvl="0">
      <w:lvlJc w:val="left"/>
      <w:lvlText w:val="(%1)"/>
      <w:numFmt w:val="lowerLetter"/>
      <w:start w:val="1"/>
    </w:lvl>
  </w:abstractNum>
  <w:abstractNum w:abstractNumId="14">
    <w:nsid w:val="7F01579B"/>
    <w:multiLevelType w:val="hybridMultilevel"/>
    <w:lvl w:ilvl="0">
      <w:lvlJc w:val="left"/>
      <w:lvlText w:val="%1"/>
      <w:numFmt w:val="lowerLetter"/>
      <w:start w:val="1"/>
    </w:lvl>
    <w:lvl w:ilvl="1">
      <w:lvlJc w:val="left"/>
      <w:lvlText w:val="(%2)"/>
      <w:numFmt w:val="decimal"/>
      <w:start w:val="1"/>
    </w:lvl>
  </w:abstractNum>
  <w:abstractNum w:abstractNumId="15">
    <w:nsid w:val="49DA307D"/>
    <w:multiLevelType w:val="hybridMultilevel"/>
    <w:lvl w:ilvl="0">
      <w:lvlJc w:val="left"/>
      <w:lvlText w:val="(%1)"/>
      <w:numFmt w:val="lowerLetter"/>
      <w:start w:val="2"/>
    </w:lvl>
    <w:lvl w:ilvl="1">
      <w:lvlJc w:val="left"/>
      <w:lvlText w:val="(%2)"/>
      <w:numFmt w:val="decimal"/>
      <w:start w:val="3"/>
    </w:lvl>
  </w:abstractNum>
  <w:abstractNum w:abstractNumId="16">
    <w:nsid w:val="7055A5F5"/>
    <w:multiLevelType w:val="hybridMultilevel"/>
    <w:lvl w:ilvl="0">
      <w:lvlJc w:val="left"/>
      <w:lvlText w:val="(%1)"/>
      <w:numFmt w:val="decimal"/>
      <w:start w:val="8"/>
    </w:lvl>
  </w:abstractNum>
  <w:abstractNum w:abstractNumId="17">
    <w:nsid w:val="5FB8370B"/>
    <w:multiLevelType w:val="hybridMultilevel"/>
    <w:lvl w:ilvl="0">
      <w:lvlJc w:val="left"/>
      <w:lvlText w:val="(%1)"/>
      <w:numFmt w:val="decimal"/>
      <w:start w:val="14"/>
    </w:lvl>
  </w:abstractNum>
  <w:abstractNum w:abstractNumId="18">
    <w:nsid w:val="50801EE1"/>
    <w:multiLevelType w:val="hybridMultilevel"/>
    <w:lvl w:ilvl="0">
      <w:lvlJc w:val="left"/>
      <w:lvlText w:val="(%1)"/>
      <w:numFmt w:val="decimal"/>
      <w:start w:val="1"/>
    </w:lvl>
  </w:abstractNum>
  <w:abstractNum w:abstractNumId="19">
    <w:nsid w:val="488AC1A"/>
    <w:multiLevelType w:val="hybridMultilevel"/>
    <w:lvl w:ilvl="0">
      <w:lvlJc w:val="left"/>
      <w:lvlText w:val="(%1)"/>
      <w:numFmt w:val="decimal"/>
      <w:start w:val="2"/>
    </w:lvl>
  </w:abstractNum>
  <w:abstractNum w:abstractNumId="20">
    <w:nsid w:val="5FB8011C"/>
    <w:multiLevelType w:val="hybridMultilevel"/>
    <w:lvl w:ilvl="0">
      <w:lvlJc w:val="left"/>
      <w:lvlText w:val="%1"/>
      <w:numFmt w:val="lowerLetter"/>
      <w:start w:val="1"/>
    </w:lvl>
    <w:lvl w:ilvl="1">
      <w:lvlJc w:val="left"/>
      <w:lvlText w:val="(%2)"/>
      <w:numFmt w:val="decimal"/>
      <w:start w:val="1"/>
    </w:lvl>
  </w:abstractNum>
  <w:abstractNum w:abstractNumId="21">
    <w:nsid w:val="6AA78F7F"/>
    <w:multiLevelType w:val="hybridMultilevel"/>
    <w:lvl w:ilvl="0">
      <w:lvlJc w:val="left"/>
      <w:lvlText w:val="(%1)"/>
      <w:numFmt w:val="lowerLetter"/>
      <w:start w:val="2"/>
    </w:lvl>
    <w:lvl w:ilvl="1">
      <w:lvlJc w:val="left"/>
      <w:lvlText w:val="%2"/>
      <w:numFmt w:val="decimal"/>
      <w:start w:val="1"/>
    </w:lvl>
  </w:abstractNum>
  <w:abstractNum w:abstractNumId="22">
    <w:nsid w:val="7672BD23"/>
    <w:multiLevelType w:val="hybridMultilevel"/>
    <w:lvl w:ilvl="0">
      <w:lvlJc w:val="left"/>
      <w:lvlText w:val="(%1)"/>
      <w:numFmt w:val="decimal"/>
      <w:start w:val="1"/>
    </w:lvl>
  </w:abstractNum>
  <w:abstractNum w:abstractNumId="23">
    <w:nsid w:val="6FC75AF8"/>
    <w:multiLevelType w:val="hybridMultilevel"/>
    <w:lvl w:ilvl="0">
      <w:lvlJc w:val="left"/>
      <w:lvlText w:val="(%1)"/>
      <w:numFmt w:val="lowerLetter"/>
      <w:start w:val="1"/>
    </w:lvl>
  </w:abstractNum>
  <w:abstractNum w:abstractNumId="24">
    <w:nsid w:val="6A5F7029"/>
    <w:multiLevelType w:val="hybridMultilevel"/>
    <w:lvl w:ilvl="0">
      <w:lvlJc w:val="left"/>
      <w:lvlText w:val="%1"/>
      <w:numFmt w:val="lowerLetter"/>
      <w:start w:val="1"/>
    </w:lvl>
    <w:lvl w:ilvl="1">
      <w:lvlJc w:val="left"/>
      <w:lvlText w:val="(%2)"/>
      <w:numFmt w:val="lowerLetter"/>
      <w:start w:val="2"/>
    </w:lvl>
  </w:abstractNum>
  <w:abstractNum w:abstractNumId="25">
    <w:nsid w:val="7D5E18F8"/>
    <w:multiLevelType w:val="hybridMultilevel"/>
    <w:lvl w:ilvl="0">
      <w:lvlJc w:val="left"/>
      <w:lvlText w:val="(%1)"/>
      <w:numFmt w:val="lowerLetter"/>
      <w:start w:val="25"/>
    </w:lvl>
    <w:lvl w:ilvl="1">
      <w:lvlJc w:val="left"/>
      <w:lvlText w:val="(%2)"/>
      <w:numFmt w:val="lowerLetter"/>
      <w:start w:val="3"/>
    </w:lvl>
  </w:abstractNum>
  <w:abstractNum w:abstractNumId="26">
    <w:nsid w:val="5F3534A4"/>
    <w:multiLevelType w:val="hybridMultilevel"/>
    <w:lvl w:ilvl="0">
      <w:lvlJc w:val="left"/>
      <w:lvlText w:val="(%1)"/>
      <w:numFmt w:val="lowerLetter"/>
      <w:start w:val="4"/>
    </w:lvl>
  </w:abstractNum>
  <w:abstractNum w:abstractNumId="27">
    <w:nsid w:val="73A1821B"/>
    <w:multiLevelType w:val="hybridMultilevel"/>
    <w:lvl w:ilvl="0">
      <w:lvlJc w:val="left"/>
      <w:lvlText w:val="%1"/>
      <w:numFmt w:val="lowerLetter"/>
      <w:start w:val="1"/>
    </w:lvl>
    <w:lvl w:ilvl="1">
      <w:lvlJc w:val="left"/>
      <w:lvlText w:val="(%2)"/>
      <w:numFmt w:val="lowerLetter"/>
      <w:start w:val="1"/>
    </w:lvl>
  </w:abstractNum>
  <w:abstractNum w:abstractNumId="28">
    <w:nsid w:val="7DE67713"/>
    <w:multiLevelType w:val="hybridMultilevel"/>
    <w:lvl w:ilvl="0">
      <w:lvlJc w:val="left"/>
      <w:lvlText w:val="(%1)"/>
      <w:numFmt w:val="lowerLetter"/>
      <w:start w:val="9"/>
    </w:lvl>
    <w:lvl w:ilvl="1">
      <w:lvlJc w:val="left"/>
      <w:lvlText w:val="%2"/>
      <w:numFmt w:val="lowerLetter"/>
      <w:start w:val="1"/>
    </w:lvl>
  </w:abstractNum>
  <w:abstractNum w:abstractNumId="29">
    <w:nsid w:val="555C55B5"/>
    <w:multiLevelType w:val="hybridMultilevel"/>
    <w:lvl w:ilvl="0">
      <w:lvlJc w:val="left"/>
      <w:lvlText w:val="(%1)"/>
      <w:numFmt w:val="lowerRoman"/>
      <w:start w:val="2"/>
    </w:lvl>
    <w:lvl w:ilvl="1">
      <w:lvlJc w:val="left"/>
      <w:lvlText w:val="(%2)"/>
      <w:numFmt w:val="upperLetter"/>
      <w:start w:val="1"/>
    </w:lvl>
  </w:abstractNum>
  <w:abstractNum w:abstractNumId="30">
    <w:nsid w:val="3FA62ACA"/>
    <w:multiLevelType w:val="hybridMultilevel"/>
    <w:lvl w:ilvl="0">
      <w:lvlJc w:val="left"/>
      <w:lvlText w:val="(%1)"/>
      <w:numFmt w:val="upperLetter"/>
      <w:start w:val="2"/>
    </w:lvl>
  </w:abstractNum>
  <w:abstractNum w:abstractNumId="31">
    <w:nsid w:val="14FCE74E"/>
    <w:multiLevelType w:val="hybridMultilevel"/>
    <w:lvl w:ilvl="0">
      <w:lvlJc w:val="left"/>
      <w:lvlText w:val="(%1)"/>
      <w:numFmt w:val="lowerLetter"/>
      <w:start w:val="22"/>
    </w:lvl>
    <w:lvl w:ilvl="1">
      <w:lvlJc w:val="left"/>
      <w:lvlText w:val="(%2)"/>
      <w:numFmt w:val="lowerLetter"/>
      <w:start w:val="3"/>
    </w:lvl>
  </w:abstractNum>
  <w:abstractNum w:abstractNumId="32">
    <w:nsid w:val="6A3DD3E8"/>
    <w:multiLevelType w:val="hybridMultilevel"/>
    <w:lvl w:ilvl="0">
      <w:lvlJc w:val="left"/>
      <w:lvlText w:val="(%1)"/>
      <w:numFmt w:val="lowerRoman"/>
      <w:start w:val="1"/>
    </w:lvl>
  </w:abstractNum>
  <w:abstractNum w:abstractNumId="33">
    <w:nsid w:val="71C91298"/>
    <w:multiLevelType w:val="hybridMultilevel"/>
    <w:lvl w:ilvl="0">
      <w:lvlJc w:val="left"/>
      <w:lvlText w:val="(%1)"/>
      <w:numFmt w:val="upperLetter"/>
      <w:start w:val="1"/>
    </w:lvl>
  </w:abstractNum>
  <w:abstractNum w:abstractNumId="34">
    <w:nsid w:val="9DAF632"/>
    <w:multiLevelType w:val="hybridMultilevel"/>
    <w:lvl w:ilvl="0">
      <w:lvlJc w:val="left"/>
      <w:lvlText w:val="(%1)"/>
      <w:numFmt w:val="lowerRoman"/>
      <w:start w:val="2"/>
    </w:lvl>
  </w:abstractNum>
  <w:abstractNum w:abstractNumId="35">
    <w:nsid w:val="53299938"/>
    <w:multiLevelType w:val="hybridMultilevel"/>
    <w:lvl w:ilvl="0">
      <w:lvlJc w:val="left"/>
      <w:lvlText w:val="(%1)"/>
      <w:numFmt w:val="upperLetter"/>
      <w:start w:val="1"/>
    </w:lvl>
  </w:abstractNum>
  <w:abstractNum w:abstractNumId="36">
    <w:nsid w:val="1FBFE8E0"/>
    <w:multiLevelType w:val="hybridMultilevel"/>
    <w:lvl w:ilvl="0">
      <w:lvlJc w:val="left"/>
      <w:lvlText w:val="(%1)"/>
      <w:numFmt w:val="lowerRoman"/>
      <w:start w:val="3"/>
    </w:lvl>
  </w:abstractNum>
  <w:abstractNum w:abstractNumId="37">
    <w:nsid w:val="5092CA79"/>
    <w:multiLevelType w:val="hybridMultilevel"/>
    <w:lvl w:ilvl="0">
      <w:lvlJc w:val="left"/>
      <w:lvlText w:val="(%1)"/>
      <w:numFmt w:val="lowerRoman"/>
      <w:start w:val="4"/>
    </w:lvl>
    <w:lvl w:ilvl="1">
      <w:lvlJc w:val="left"/>
      <w:lvlText w:val="(%2)"/>
      <w:numFmt w:val="lowerLetter"/>
      <w:start w:val="5"/>
    </w:lvl>
  </w:abstractNum>
  <w:abstractNum w:abstractNumId="38">
    <w:nsid w:val="1D545C4D"/>
    <w:multiLevelType w:val="hybridMultilevel"/>
    <w:lvl w:ilvl="0">
      <w:lvlJc w:val="left"/>
      <w:lvlText w:val="(%1)"/>
      <w:numFmt w:val="lowerRoman"/>
      <w:start w:val="1"/>
    </w:lvl>
    <w:lvl w:ilvl="1">
      <w:lvlJc w:val="left"/>
      <w:lvlText w:val="(%2)"/>
      <w:numFmt w:val="upperLetter"/>
      <w:start w:val="1"/>
    </w:lvl>
  </w:abstractNum>
  <w:abstractNum w:abstractNumId="39">
    <w:nsid w:val="59ADEA3D"/>
    <w:multiLevelType w:val="hybridMultilevel"/>
    <w:lvl w:ilvl="0">
      <w:lvlJc w:val="left"/>
      <w:lvlText w:val="(%1)"/>
      <w:numFmt w:val="lowerRoman"/>
      <w:start w:val="2"/>
    </w:lvl>
    <w:lvl w:ilvl="1">
      <w:lvlJc w:val="left"/>
      <w:lvlText w:val="(%2)"/>
      <w:numFmt w:val="decimal"/>
      <w:start w:val="3"/>
    </w:lvl>
    <w:lvl w:ilvl="2">
      <w:lvlJc w:val="left"/>
      <w:lvlText w:val="(%3)"/>
      <w:numFmt w:val="decimal"/>
      <w:start w:val="1"/>
    </w:lvl>
  </w:abstractNum>
  <w:abstractNum w:abstractNumId="40">
    <w:nsid w:val="288F1A34"/>
    <w:multiLevelType w:val="hybridMultilevel"/>
    <w:lvl w:ilvl="0">
      <w:lvlJc w:val="left"/>
      <w:lvlText w:val="(%1)"/>
      <w:numFmt w:val="lowerRoman"/>
      <w:start w:val="3"/>
    </w:lvl>
    <w:lvl w:ilvl="1">
      <w:lvlJc w:val="left"/>
      <w:lvlText w:val="(%2)"/>
      <w:numFmt w:val="lowerLetter"/>
      <w:start w:val="6"/>
    </w:lvl>
  </w:abstractNum>
  <w:abstractNum w:abstractNumId="41">
    <w:nsid w:val="2A155DBC"/>
    <w:multiLevelType w:val="hybridMultilevel"/>
    <w:lvl w:ilvl="0">
      <w:lvlJc w:val="left"/>
      <w:lvlText w:val="(%1)"/>
      <w:numFmt w:val="lowerLetter"/>
      <w:start w:val="7"/>
    </w:lvl>
  </w:abstractNum>
  <w:abstractNum w:abstractNumId="42">
    <w:nsid w:val="1D9F6E5F"/>
    <w:multiLevelType w:val="hybridMultilevel"/>
    <w:lvl w:ilvl="0">
      <w:lvlJc w:val="left"/>
      <w:lvlText w:val="(%1)"/>
      <w:numFmt w:val="decimal"/>
      <w:start w:val="1"/>
    </w:lvl>
  </w:abstractNum>
  <w:abstractNum w:abstractNumId="43">
    <w:nsid w:val="97E1B4E"/>
    <w:multiLevelType w:val="hybridMultilevel"/>
    <w:lvl w:ilvl="0">
      <w:lvlJc w:val="left"/>
      <w:lvlText w:val="(%1)"/>
      <w:numFmt w:val="lowerLetter"/>
      <w:start w:val="1"/>
    </w:lvl>
  </w:abstractNum>
  <w:abstractNum w:abstractNumId="44">
    <w:nsid w:val="51088277"/>
    <w:multiLevelType w:val="hybridMultilevel"/>
    <w:lvl w:ilvl="0">
      <w:lvlJc w:val="left"/>
      <w:lvlText w:val="(%1)"/>
      <w:numFmt w:val="lowerRoman"/>
      <w:start w:val="1"/>
    </w:lvl>
  </w:abstractNum>
  <w:abstractNum w:abstractNumId="45">
    <w:nsid w:val="1CA0C5FA"/>
    <w:multiLevelType w:val="hybridMultilevel"/>
    <w:lvl w:ilvl="0">
      <w:lvlJc w:val="left"/>
      <w:lvlText w:val="(%1)"/>
      <w:numFmt w:val="lowerLetter"/>
      <w:start w:val="1"/>
    </w:lvl>
  </w:abstractNum>
  <w:abstractNum w:abstractNumId="46">
    <w:nsid w:val="53584BCB"/>
    <w:multiLevelType w:val="hybridMultilevel"/>
    <w:lvl w:ilvl="0">
      <w:lvlJc w:val="left"/>
      <w:lvlText w:val="(%1)"/>
      <w:numFmt w:val="lowerLetter"/>
      <w:start w:val="3"/>
    </w:lvl>
  </w:abstractNum>
  <w:abstractNum w:abstractNumId="47">
    <w:nsid w:val="415E286C"/>
    <w:multiLevelType w:val="hybridMultilevel"/>
    <w:lvl w:ilvl="0">
      <w:lvlJc w:val="left"/>
      <w:lvlText w:val="%1"/>
      <w:numFmt w:val="decimal"/>
      <w:start w:val="1"/>
    </w:lvl>
    <w:lvl w:ilvl="1">
      <w:lvlJc w:val="left"/>
      <w:lvlText w:val="(%2)"/>
      <w:numFmt w:val="lowerLetter"/>
      <w:start w:val="1"/>
    </w:lvl>
  </w:abstractNum>
  <w:abstractNum w:abstractNumId="48">
    <w:nsid w:val="7C58FD05"/>
    <w:multiLevelType w:val="hybridMultilevel"/>
    <w:lvl w:ilvl="0">
      <w:lvlJc w:val="left"/>
      <w:lvlText w:val="(%1)"/>
      <w:numFmt w:val="decimal"/>
      <w:start w:val="1"/>
    </w:lvl>
    <w:lvl w:ilvl="1">
      <w:lvlJc w:val="left"/>
      <w:lvlText w:val="%2"/>
      <w:numFmt w:val="lowerLetter"/>
      <w:start w:val="1"/>
    </w:lvl>
  </w:abstractNum>
  <w:abstractNum w:abstractNumId="49">
    <w:nsid w:val="23D86AAC"/>
    <w:multiLevelType w:val="hybridMultilevel"/>
    <w:lvl w:ilvl="0">
      <w:lvlJc w:val="left"/>
      <w:lvlText w:val="(%1)"/>
      <w:numFmt w:val="decimal"/>
      <w:start w:val="2"/>
    </w:lvl>
    <w:lvl w:ilvl="1">
      <w:lvlJc w:val="left"/>
      <w:lvlText w:val="(%2)"/>
      <w:numFmt w:val="lowerLetter"/>
      <w:start w:val="3"/>
    </w:lvl>
  </w:abstractNum>
  <w:abstractNum w:abstractNumId="50">
    <w:nsid w:val="45E6D486"/>
    <w:multiLevelType w:val="hybridMultilevel"/>
    <w:lvl w:ilvl="0">
      <w:lvlJc w:val="left"/>
      <w:lvlText w:val="(%1)"/>
      <w:numFmt w:val="decimal"/>
      <w:start w:val="1"/>
    </w:lvl>
  </w:abstractNum>
  <w:abstractNum w:abstractNumId="51">
    <w:nsid w:val="5C10FE21"/>
    <w:multiLevelType w:val="hybridMultilevel"/>
    <w:lvl w:ilvl="0">
      <w:lvlJc w:val="left"/>
      <w:lvlText w:val="(%1)"/>
      <w:numFmt w:val="decimal"/>
      <w:start w:val="2"/>
    </w:lvl>
  </w:abstractNum>
  <w:abstractNum w:abstractNumId="52">
    <w:nsid w:val="E7FFA2B"/>
    <w:multiLevelType w:val="hybridMultilevel"/>
    <w:lvl w:ilvl="0">
      <w:lvlJc w:val="left"/>
      <w:lvlText w:val="(%1)"/>
      <w:numFmt w:val="lowerLetter"/>
      <w:start w:val="4"/>
    </w:lvl>
  </w:abstractNum>
  <w:abstractNum w:abstractNumId="53">
    <w:nsid w:val="3C5991AA"/>
    <w:multiLevelType w:val="hybridMultilevel"/>
    <w:lvl w:ilvl="0">
      <w:lvlJc w:val="left"/>
      <w:lvlText w:val="(%1)"/>
      <w:numFmt w:val="lowerLetter"/>
      <w:start w:val="7"/>
    </w:lvl>
  </w:abstractNum>
  <w:abstractNum w:abstractNumId="54">
    <w:nsid w:val="4BD8591A"/>
    <w:multiLevelType w:val="hybridMultilevel"/>
    <w:lvl w:ilvl="0">
      <w:lvlJc w:val="left"/>
      <w:lvlText w:val="(%1)"/>
      <w:numFmt w:val="lowerLetter"/>
      <w:start w:val="1"/>
    </w:lvl>
  </w:abstractNum>
  <w:abstractNum w:abstractNumId="55">
    <w:nsid w:val="78DF6A55"/>
    <w:multiLevelType w:val="hybridMultilevel"/>
    <w:lvl w:ilvl="0">
      <w:lvlJc w:val="left"/>
      <w:lvlText w:val="(%1)"/>
      <w:numFmt w:val="lowerRoman"/>
      <w:start w:val="1"/>
    </w:lvl>
  </w:abstractNum>
  <w:abstractNum w:abstractNumId="56">
    <w:nsid w:val="39B7AAA2"/>
    <w:multiLevelType w:val="hybridMultilevel"/>
    <w:lvl w:ilvl="0">
      <w:lvlJc w:val="left"/>
      <w:lvlText w:val="%1"/>
      <w:numFmt w:val="decimal"/>
      <w:start w:val="1"/>
    </w:lvl>
    <w:lvl w:ilvl="1">
      <w:lvlJc w:val="left"/>
      <w:lvlText w:val="(%2)"/>
      <w:numFmt w:val="lowerLetter"/>
      <w:start w:val="1"/>
    </w:lvl>
  </w:abstractNum>
  <w:abstractNum w:abstractNumId="57">
    <w:nsid w:val="2B0D8DBE"/>
    <w:multiLevelType w:val="hybridMultilevel"/>
    <w:lvl w:ilvl="0">
      <w:lvlJc w:val="left"/>
      <w:lvlText w:val="(%1)"/>
      <w:numFmt w:val="decimal"/>
      <w:start w:val="1"/>
    </w:lvl>
    <w:lvl w:ilvl="1">
      <w:lvlJc w:val="left"/>
      <w:lvlText w:val="%2"/>
      <w:numFmt w:val="lowerLetter"/>
      <w:start w:val="1"/>
    </w:lvl>
  </w:abstractNum>
  <w:abstractNum w:abstractNumId="58">
    <w:nsid w:val="6C80EC70"/>
    <w:multiLevelType w:val="hybridMultilevel"/>
    <w:lvl w:ilvl="0">
      <w:lvlJc w:val="left"/>
      <w:lvlText w:val="(%1)"/>
      <w:numFmt w:val="lowerLetter"/>
      <w:start w:val="2"/>
    </w:lvl>
  </w:abstractNum>
  <w:abstractNum w:abstractNumId="59">
    <w:nsid w:val="379E21B5"/>
    <w:multiLevelType w:val="hybridMultilevel"/>
    <w:lvl w:ilvl="0">
      <w:lvlJc w:val="left"/>
      <w:lvlText w:val="(%1)"/>
      <w:numFmt w:val="lowerLetter"/>
      <w:start w:val="1"/>
    </w:lvl>
    <w:lvl w:ilvl="1">
      <w:lvlJc w:val="left"/>
      <w:lvlText w:val="(%2)"/>
      <w:numFmt w:val="upperLetter"/>
      <w:start w:val="1"/>
    </w:lvl>
  </w:abstractNum>
  <w:abstractNum w:abstractNumId="60">
    <w:nsid w:val="69E373"/>
    <w:multiLevelType w:val="hybridMultilevel"/>
    <w:lvl w:ilvl="0">
      <w:lvlJc w:val="left"/>
      <w:lvlText w:val="(%1)"/>
      <w:numFmt w:val="lowerLetter"/>
      <w:start w:val="2"/>
    </w:lvl>
  </w:abstractNum>
  <w:abstractNum w:abstractNumId="61">
    <w:nsid w:val="2C27173B"/>
    <w:multiLevelType w:val="hybridMultilevel"/>
    <w:lvl w:ilvl="0">
      <w:lvlJc w:val="left"/>
      <w:lvlText w:val="(%1)"/>
      <w:numFmt w:val="lowerLetter"/>
      <w:start w:val="1"/>
    </w:lvl>
  </w:abstractNum>
  <w:abstractNum w:abstractNumId="62">
    <w:nsid w:val="4C9B0904"/>
    <w:multiLevelType w:val="hybridMultilevel"/>
    <w:lvl w:ilvl="0">
      <w:lvlJc w:val="left"/>
      <w:lvlText w:val="(%1)"/>
      <w:numFmt w:val="decimal"/>
      <w:start w:val="1"/>
    </w:lvl>
  </w:abstractNum>
  <w:abstractNum w:abstractNumId="63">
    <w:nsid w:val="6AA7B75C"/>
    <w:multiLevelType w:val="hybridMultilevel"/>
    <w:lvl w:ilvl="0">
      <w:lvlJc w:val="left"/>
      <w:lvlText w:val="(%1)"/>
      <w:numFmt w:val="lowerLetter"/>
      <w:start w:val="25"/>
    </w:lvl>
    <w:lvl w:ilvl="1">
      <w:lvlJc w:val="left"/>
      <w:lvlText w:val="(%2)"/>
      <w:numFmt w:val="decimal"/>
      <w:start w:val="5"/>
    </w:lvl>
  </w:abstractNum>
  <w:abstractNum w:abstractNumId="64">
    <w:nsid w:val="1DF029D3"/>
    <w:multiLevelType w:val="hybridMultilevel"/>
    <w:lvl w:ilvl="0">
      <w:lvlJc w:val="left"/>
      <w:lvlText w:val="(%1)"/>
      <w:numFmt w:val="lowerLetter"/>
      <w:start w:val="2"/>
    </w:lvl>
  </w:abstractNum>
  <w:abstractNum w:abstractNumId="65">
    <w:nsid w:val="5675FF36"/>
    <w:multiLevelType w:val="hybridMultilevel"/>
    <w:lvl w:ilvl="0">
      <w:lvlJc w:val="left"/>
      <w:lvlText w:val="(%1)"/>
      <w:numFmt w:val="lowerLetter"/>
      <w:start w:val="3"/>
    </w:lvl>
  </w:abstractNum>
  <w:abstractNum w:abstractNumId="66">
    <w:nsid w:val="3DD15094"/>
    <w:multiLevelType w:val="hybridMultilevel"/>
    <w:lvl w:ilvl="0">
      <w:lvlJc w:val="left"/>
      <w:lvlText w:val="(%1)"/>
      <w:numFmt w:val="lowerLetter"/>
      <w:start w:val="1"/>
    </w:lvl>
  </w:abstractNum>
  <w:abstractNum w:abstractNumId="67">
    <w:nsid w:val="3DB012B3"/>
    <w:multiLevelType w:val="hybridMultilevel"/>
    <w:lvl w:ilvl="0">
      <w:lvlJc w:val="left"/>
      <w:lvlText w:val="(%1)"/>
      <w:numFmt w:val="decimal"/>
      <w:start w:val="1"/>
    </w:lvl>
  </w:abstractNum>
  <w:abstractNum w:abstractNumId="68">
    <w:nsid w:val="2708C9AF"/>
    <w:multiLevelType w:val="hybridMultilevel"/>
    <w:lvl w:ilvl="0">
      <w:lvlJc w:val="left"/>
      <w:lvlText w:val="(%1)"/>
      <w:numFmt w:val="upperLetter"/>
      <w:start w:val="2"/>
    </w:lvl>
  </w:abstractNum>
  <w:abstractNum w:abstractNumId="69">
    <w:nsid w:val="5B25ACE2"/>
    <w:multiLevelType w:val="hybridMultilevel"/>
    <w:lvl w:ilvl="0">
      <w:lvlJc w:val="left"/>
      <w:lvlText w:val="(%1)"/>
      <w:numFmt w:val="decimal"/>
      <w:start w:val="2"/>
    </w:lvl>
    <w:lvl w:ilvl="1">
      <w:lvlJc w:val="left"/>
      <w:lvlText w:val="(%2)"/>
      <w:numFmt w:val="lowerLetter"/>
      <w:start w:val="2"/>
    </w:lvl>
  </w:abstractNum>
  <w:abstractNum w:abstractNumId="70">
    <w:nsid w:val="175DFCF0"/>
    <w:multiLevelType w:val="hybridMultilevel"/>
    <w:lvl w:ilvl="0">
      <w:lvlJc w:val="left"/>
      <w:lvlText w:val="(%1)"/>
      <w:numFmt w:val="decimal"/>
      <w:start w:val="1"/>
    </w:lvl>
  </w:abstractNum>
  <w:abstractNum w:abstractNumId="71">
    <w:nsid w:val="4F97E3E4"/>
    <w:multiLevelType w:val="hybridMultilevel"/>
    <w:lvl w:ilvl="0">
      <w:lvlJc w:val="left"/>
      <w:lvlText w:val="%1"/>
      <w:numFmt w:val="decimal"/>
      <w:start w:val="1"/>
    </w:lvl>
    <w:lvl w:ilvl="1">
      <w:lvlJc w:val="left"/>
      <w:lvlText w:val="(%2)"/>
      <w:numFmt w:val="lowerLetter"/>
      <w:start w:val="3"/>
    </w:lvl>
  </w:abstractNum>
  <w:abstractNum w:abstractNumId="72">
    <w:nsid w:val="53B0A9E"/>
    <w:multiLevelType w:val="hybridMultilevel"/>
    <w:lvl w:ilvl="0">
      <w:lvlJc w:val="left"/>
      <w:lvlText w:val="(%1)"/>
      <w:numFmt w:val="decimal"/>
      <w:start w:val="1"/>
    </w:lvl>
    <w:lvl w:ilvl="1">
      <w:lvlJc w:val="left"/>
      <w:lvlText w:val="%2"/>
      <w:numFmt w:val="lowerLetter"/>
      <w:start w:val="1"/>
    </w:lvl>
  </w:abstractNum>
  <w:abstractNum w:abstractNumId="73">
    <w:nsid w:val="34FD6B4F"/>
    <w:multiLevelType w:val="hybridMultilevel"/>
    <w:lvl w:ilvl="0">
      <w:lvlJc w:val="left"/>
      <w:lvlText w:val="(%1)"/>
      <w:numFmt w:val="decimal"/>
      <w:start w:val="1"/>
    </w:lvl>
  </w:abstractNum>
  <w:abstractNum w:abstractNumId="74">
    <w:nsid w:val="5915FF32"/>
    <w:multiLevelType w:val="hybridMultilevel"/>
    <w:lvl w:ilvl="0">
      <w:lvlJc w:val="left"/>
      <w:lvlText w:val="(%1)"/>
      <w:numFmt w:val="decimal"/>
      <w:start w:val="7"/>
    </w:lvl>
  </w:abstractNum>
  <w:abstractNum w:abstractNumId="75">
    <w:nsid w:val="56438D15"/>
    <w:multiLevelType w:val="hybridMultilevel"/>
    <w:lvl w:ilvl="0">
      <w:lvlJc w:val="left"/>
      <w:lvlText w:val="(%1)"/>
      <w:numFmt w:val="decimal"/>
      <w:start w:val="1"/>
    </w:lvl>
  </w:abstractNum>
  <w:abstractNum w:abstractNumId="76">
    <w:nsid w:val="519E3149"/>
    <w:multiLevelType w:val="hybridMultilevel"/>
    <w:lvl w:ilvl="0">
      <w:lvlJc w:val="left"/>
      <w:lvlText w:val="(%1)"/>
      <w:numFmt w:val="lowerLetter"/>
      <w:start w:val="1"/>
    </w:lvl>
  </w:abstractNum>
  <w:abstractNum w:abstractNumId="77">
    <w:nsid w:val="2C6E4AFD"/>
    <w:multiLevelType w:val="hybridMultilevel"/>
    <w:lvl w:ilvl="0">
      <w:lvlJc w:val="left"/>
      <w:lvlText w:val="(%1)"/>
      <w:numFmt w:val="decimal"/>
      <w:start w:val="1"/>
    </w:lvl>
  </w:abstractNum>
  <w:abstractNum w:abstractNumId="78">
    <w:nsid w:val="17A1B582"/>
    <w:multiLevelType w:val="hybridMultilevel"/>
    <w:lvl w:ilvl="0">
      <w:lvlJc w:val="left"/>
      <w:lvlText w:val="(%1)"/>
      <w:numFmt w:val="lowerLetter"/>
      <w:start w:val="1"/>
    </w:lvl>
  </w:abstractNum>
  <w:abstractNum w:abstractNumId="79">
    <w:nsid w:val="4DF72E4E"/>
    <w:multiLevelType w:val="hybridMultilevel"/>
    <w:lvl w:ilvl="0">
      <w:lvlJc w:val="left"/>
      <w:lvlText w:val="%1"/>
      <w:numFmt w:val="decimal"/>
      <w:start w:val="1"/>
    </w:lvl>
    <w:lvl w:ilvl="1">
      <w:lvlJc w:val="left"/>
      <w:lvlText w:val="(%2)"/>
      <w:numFmt w:val="lowerLetter"/>
      <w:start w:val="2"/>
    </w:lvl>
  </w:abstractNum>
  <w:abstractNum w:abstractNumId="80">
    <w:nsid w:val="5046B5A9"/>
    <w:multiLevelType w:val="hybridMultilevel"/>
    <w:lvl w:ilvl="0">
      <w:lvlJc w:val="left"/>
      <w:lvlText w:val="(%1)"/>
      <w:numFmt w:val="decimal"/>
      <w:start w:val="1"/>
    </w:lvl>
    <w:lvl w:ilvl="1">
      <w:lvlJc w:val="left"/>
      <w:lvlText w:val="%2"/>
      <w:numFmt w:val="lowerLetter"/>
      <w:start w:val="1"/>
    </w:lvl>
  </w:abstractNum>
  <w:abstractNum w:abstractNumId="81">
    <w:nsid w:val="5D888A08"/>
    <w:multiLevelType w:val="hybridMultilevel"/>
    <w:lvl w:ilvl="0">
      <w:lvlJc w:val="left"/>
      <w:lvlText w:val="(%1)"/>
      <w:numFmt w:val="decimal"/>
      <w:start w:val="2"/>
    </w:lvl>
    <w:lvl w:ilvl="1">
      <w:lvlJc w:val="left"/>
      <w:lvlText w:val="(%2)"/>
      <w:numFmt w:val="lowerLetter"/>
      <w:start w:val="3"/>
    </w:lvl>
  </w:abstractNum>
  <w:abstractNum w:abstractNumId="82">
    <w:nsid w:val="2A082C70"/>
    <w:multiLevelType w:val="hybridMultilevel"/>
    <w:lvl w:ilvl="0">
      <w:lvlJc w:val="left"/>
      <w:lvlText w:val="(%1)"/>
      <w:numFmt w:val="decimal"/>
      <w:start w:val="1"/>
    </w:lvl>
    <w:lvl w:ilvl="1">
      <w:lvlJc w:val="left"/>
      <w:lvlText w:val="(%2)"/>
      <w:numFmt w:val="lowerLetter"/>
      <w:start w:val="4"/>
    </w:lvl>
  </w:abstractNum>
  <w:abstractNum w:abstractNumId="83">
    <w:nsid w:val="5EC6AFD4"/>
    <w:multiLevelType w:val="hybridMultilevel"/>
    <w:lvl w:ilvl="0">
      <w:lvlJc w:val="left"/>
      <w:lvlText w:val="(%1)"/>
      <w:numFmt w:val="lowerLetter"/>
      <w:start w:val="6"/>
    </w:lvl>
  </w:abstractNum>
  <w:abstractNum w:abstractNumId="84">
    <w:nsid w:val="19E21BB2"/>
    <w:multiLevelType w:val="hybridMultilevel"/>
    <w:lvl w:ilvl="0">
      <w:lvlJc w:val="left"/>
      <w:lvlText w:val="(%1)"/>
      <w:numFmt w:val="decimal"/>
      <w:start w:val="1"/>
    </w:lvl>
  </w:abstractNum>
  <w:abstractNum w:abstractNumId="85">
    <w:nsid w:val="75E0858A"/>
    <w:multiLevelType w:val="hybridMultilevel"/>
    <w:lvl w:ilvl="0">
      <w:lvlJc w:val="left"/>
      <w:lvlText w:val="(%1)"/>
      <w:numFmt w:val="decimal"/>
      <w:start w:val="6"/>
    </w:lvl>
  </w:abstractNum>
  <w:abstractNum w:abstractNumId="86">
    <w:nsid w:val="57A61A29"/>
    <w:multiLevelType w:val="hybridMultilevel"/>
    <w:lvl w:ilvl="0">
      <w:lvlJc w:val="left"/>
      <w:lvlText w:val="§"/>
      <w:numFmt w:val="bullet"/>
      <w:start w:val="1"/>
    </w:lvl>
  </w:abstractNum>
  <w:abstractNum w:abstractNumId="87">
    <w:nsid w:val="5399C654"/>
    <w:multiLevelType w:val="hybridMultilevel"/>
    <w:lvl w:ilvl="0">
      <w:lvlJc w:val="left"/>
      <w:lvlText w:val="(%1)"/>
      <w:numFmt w:val="decimal"/>
      <w:start w:val="1"/>
    </w:lvl>
  </w:abstractNum>
  <w:abstractNum w:abstractNumId="88">
    <w:nsid w:val="20EE1348"/>
    <w:multiLevelType w:val="hybridMultilevel"/>
    <w:lvl w:ilvl="0">
      <w:lvlJc w:val="left"/>
      <w:lvlText w:val="(%1)"/>
      <w:numFmt w:val="decimal"/>
      <w:start w:val="1"/>
    </w:lvl>
  </w:abstractNum>
  <w:abstractNum w:abstractNumId="89">
    <w:nsid w:val="4427069A"/>
    <w:multiLevelType w:val="hybridMultilevel"/>
    <w:lvl w:ilvl="0">
      <w:lvlJc w:val="left"/>
      <w:lvlText w:val="(%1)"/>
      <w:numFmt w:val="decimal"/>
      <w:start w:val="3"/>
    </w:lvl>
  </w:abstractNum>
  <w:abstractNum w:abstractNumId="90">
    <w:nsid w:val="B37E80A"/>
    <w:multiLevelType w:val="hybridMultilevel"/>
    <w:lvl w:ilvl="0">
      <w:lvlJc w:val="left"/>
      <w:lvlText w:val="(%1)"/>
      <w:numFmt w:val="upperLetter"/>
      <w:start w:val="1"/>
    </w:lvl>
  </w:abstractNum>
  <w:abstractNum w:abstractNumId="91">
    <w:nsid w:val="2157F6BC"/>
    <w:multiLevelType w:val="hybridMultilevel"/>
    <w:lvl w:ilvl="0">
      <w:lvlJc w:val="left"/>
      <w:lvlText w:val="(%1)"/>
      <w:numFmt w:val="decimal"/>
      <w:start w:val="1"/>
    </w:lvl>
  </w:abstractNum>
  <w:abstractNum w:abstractNumId="92">
    <w:nsid w:val="704E1DD5"/>
    <w:multiLevelType w:val="hybridMultilevel"/>
    <w:lvl w:ilvl="0">
      <w:lvlJc w:val="left"/>
      <w:lvlText w:val="(%1)"/>
      <w:numFmt w:val="decimal"/>
      <w:start w:val="5"/>
    </w:lvl>
  </w:abstractNum>
  <w:abstractNum w:abstractNumId="93">
    <w:nsid w:val="57D2F10E"/>
    <w:multiLevelType w:val="hybridMultilevel"/>
    <w:lvl w:ilvl="0">
      <w:lvlJc w:val="left"/>
      <w:lvlText w:val="%1"/>
      <w:numFmt w:val="decimal"/>
      <w:start w:val="1"/>
    </w:lvl>
    <w:lvl w:ilvl="1">
      <w:lvlJc w:val="left"/>
      <w:lvlText w:val="(%2)"/>
      <w:numFmt w:val="lowerLetter"/>
      <w:start w:val="1"/>
    </w:lvl>
  </w:abstractNum>
  <w:abstractNum w:abstractNumId="94">
    <w:nsid w:val="BFFAE18"/>
    <w:multiLevelType w:val="hybridMultilevel"/>
    <w:lvl w:ilvl="0">
      <w:lvlJc w:val="left"/>
      <w:lvlText w:val="(%1)"/>
      <w:numFmt w:val="decimal"/>
      <w:start w:val="1"/>
    </w:lvl>
    <w:lvl w:ilvl="1">
      <w:lvlJc w:val="left"/>
      <w:lvlText w:val="%2"/>
      <w:numFmt w:val="lowerLetter"/>
      <w:start w:val="1"/>
    </w:lvl>
  </w:abstractNum>
  <w:abstractNum w:abstractNumId="95">
    <w:nsid w:val="E3E47A8"/>
    <w:multiLevelType w:val="hybridMultilevel"/>
    <w:lvl w:ilvl="0">
      <w:lvlJc w:val="left"/>
      <w:lvlText w:val="(%1)"/>
      <w:numFmt w:val="decimal"/>
      <w:start w:val="2"/>
    </w:lvl>
    <w:lvl w:ilvl="1">
      <w:lvlJc w:val="left"/>
      <w:lvlText w:val="(%2)"/>
      <w:numFmt w:val="lowerLetter"/>
      <w:start w:val="3"/>
    </w:lvl>
  </w:abstractNum>
  <w:abstractNum w:abstractNumId="96">
    <w:nsid w:val="2E48F044"/>
    <w:multiLevelType w:val="hybridMultilevel"/>
    <w:lvl w:ilvl="0">
      <w:lvlJc w:val="left"/>
      <w:lvlText w:val="(%1)"/>
      <w:numFmt w:val="lowerLetter"/>
      <w:start w:val="1"/>
    </w:lvl>
  </w:abstractNum>
  <w:abstractNum w:abstractNumId="97">
    <w:nsid w:val="49D0FEAC"/>
    <w:multiLevelType w:val="hybridMultilevel"/>
    <w:lvl w:ilvl="0">
      <w:lvlJc w:val="left"/>
      <w:lvlText w:val="(%1)"/>
      <w:numFmt w:val="decimal"/>
      <w:start w:val="1"/>
    </w:lvl>
  </w:abstractNum>
  <w:abstractNum w:abstractNumId="98">
    <w:nsid w:val="4BEE5A5B"/>
    <w:multiLevelType w:val="hybridMultilevel"/>
    <w:lvl w:ilvl="0">
      <w:lvlJc w:val="left"/>
      <w:lvlText w:val="(%1)"/>
      <w:numFmt w:val="decimal"/>
      <w:start w:val="1"/>
    </w:lvl>
  </w:abstractNum>
  <w:abstractNum w:abstractNumId="99">
    <w:nsid w:val="5551B9F3"/>
    <w:multiLevelType w:val="hybridMultilevel"/>
    <w:lvl w:ilvl="0">
      <w:lvlJc w:val="left"/>
      <w:lvlText w:val="(%1)"/>
      <w:numFmt w:val="decimal"/>
      <w:start w:val="2"/>
    </w:lvl>
  </w:abstractNum>
  <w:abstractNum w:abstractNumId="100">
    <w:nsid w:val="24F6AB8E"/>
    <w:multiLevelType w:val="hybridMultilevel"/>
    <w:lvl w:ilvl="0">
      <w:lvlJc w:val="left"/>
      <w:lvlText w:val="(%1)"/>
      <w:numFmt w:val="decimal"/>
      <w:start w:val="7"/>
    </w:lvl>
  </w:abstractNum>
  <w:abstractNum w:abstractNumId="101">
    <w:nsid w:val="634C574C"/>
    <w:multiLevelType w:val="hybridMultilevel"/>
    <w:lvl w:ilvl="0">
      <w:lvlJc w:val="left"/>
      <w:lvlText w:val="%1"/>
      <w:numFmt w:val="decimal"/>
      <w:start w:val="1"/>
    </w:lvl>
    <w:lvl w:ilvl="1">
      <w:lvlJc w:val="left"/>
      <w:lvlText w:val="(%2)"/>
      <w:numFmt w:val="lowerLetter"/>
      <w:start w:val="1"/>
    </w:lvl>
  </w:abstractNum>
  <w:abstractNum w:abstractNumId="102">
    <w:nsid w:val="24E99DD7"/>
    <w:multiLevelType w:val="hybridMultilevel"/>
    <w:lvl w:ilvl="0">
      <w:lvlJc w:val="left"/>
      <w:lvlText w:val="(%1)"/>
      <w:numFmt w:val="decimal"/>
      <w:start w:val="1"/>
    </w:lvl>
    <w:lvl w:ilvl="1">
      <w:lvlJc w:val="left"/>
      <w:lvlText w:val="%2"/>
      <w:numFmt w:val="lowerLetter"/>
      <w:start w:val="1"/>
    </w:lvl>
  </w:abstractNum>
  <w:abstractNum w:abstractNumId="103">
    <w:nsid w:val="2A31B62D"/>
    <w:multiLevelType w:val="hybridMultilevel"/>
    <w:lvl w:ilvl="0">
      <w:lvlJc w:val="left"/>
      <w:lvlText w:val="(%1)"/>
      <w:numFmt w:val="decimal"/>
      <w:start w:val="2"/>
    </w:lvl>
    <w:lvl w:ilvl="1">
      <w:lvlJc w:val="left"/>
      <w:lvlText w:val="(%2)"/>
      <w:numFmt w:val="lowerLetter"/>
      <w:start w:val="2"/>
    </w:lvl>
  </w:abstractNum>
  <w:abstractNum w:abstractNumId="104">
    <w:nsid w:val="1849C29B"/>
    <w:multiLevelType w:val="hybridMultilevel"/>
    <w:lvl w:ilvl="0">
      <w:lvlJc w:val="left"/>
      <w:lvlText w:val="%1"/>
      <w:numFmt w:val="decimal"/>
      <w:start w:val="1"/>
    </w:lvl>
    <w:lvl w:ilvl="1">
      <w:lvlJc w:val="left"/>
      <w:lvlText w:val="(%2)"/>
      <w:numFmt w:val="lowerLetter"/>
      <w:start w:val="1"/>
    </w:lvl>
  </w:abstractNum>
  <w:abstractNum w:abstractNumId="105">
    <w:nsid w:val="7DFF9D09"/>
    <w:multiLevelType w:val="hybridMultilevel"/>
    <w:lvl w:ilvl="0">
      <w:lvlJc w:val="left"/>
      <w:lvlText w:val="(%1)"/>
      <w:numFmt w:val="decimal"/>
      <w:start w:val="1"/>
    </w:lvl>
    <w:lvl w:ilvl="1">
      <w:lvlJc w:val="left"/>
      <w:lvlText w:val="%2"/>
      <w:numFmt w:val="lowerLetter"/>
      <w:start w:val="1"/>
    </w:lvl>
  </w:abstractNum>
  <w:abstractNum w:abstractNumId="106">
    <w:nsid w:val="754342"/>
    <w:multiLevelType w:val="hybridMultilevel"/>
    <w:lvl w:ilvl="0">
      <w:lvlJc w:val="left"/>
      <w:lvlText w:val="(%1)"/>
      <w:numFmt w:val="decimal"/>
      <w:start w:val="4"/>
    </w:lvl>
  </w:abstractNum>
  <w:abstractNum w:abstractNumId="107">
    <w:nsid w:val="69E7F3E5"/>
    <w:multiLevelType w:val="hybridMultilevel"/>
    <w:lvl w:ilvl="0">
      <w:lvlJc w:val="left"/>
      <w:lvlText w:val="(%1)"/>
      <w:numFmt w:val="decimal"/>
      <w:start w:val="5"/>
    </w:lvl>
  </w:abstractNum>
  <w:abstractNum w:abstractNumId="108">
    <w:nsid w:val="2A6DE806"/>
    <w:multiLevelType w:val="hybridMultilevel"/>
    <w:lvl w:ilvl="0">
      <w:lvlJc w:val="left"/>
      <w:lvlText w:val="%1"/>
      <w:numFmt w:val="lowerLetter"/>
      <w:start w:val="1"/>
    </w:lvl>
    <w:lvl w:ilvl="1">
      <w:lvlJc w:val="left"/>
      <w:lvlText w:val="(%2)"/>
      <w:numFmt w:val="decimal"/>
      <w:start w:val="6"/>
    </w:lvl>
  </w:abstractNum>
  <w:abstractNum w:abstractNumId="109">
    <w:nsid w:val="1816F8C4"/>
    <w:multiLevelType w:val="hybridMultilevel"/>
    <w:lvl w:ilvl="0">
      <w:lvlJc w:val="left"/>
      <w:lvlText w:val="(%1)"/>
      <w:numFmt w:val="lowerLetter"/>
      <w:start w:val="2"/>
    </w:lvl>
    <w:lvl w:ilvl="1">
      <w:lvlJc w:val="left"/>
      <w:lvlText w:val="(%2)"/>
      <w:numFmt w:val="decimal"/>
      <w:start w:val="7"/>
    </w:lvl>
  </w:abstractNum>
  <w:abstractNum w:abstractNumId="110">
    <w:nsid w:val="37DF22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11">
    <w:nsid w:val="7AB49D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2">
    <w:nsid w:val="759F82CD"/>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113">
    <w:nsid w:val="61E74EA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4">
    <w:nsid w:val="597B4D84"/>
    <w:multiLevelType w:val="hybridMultilevel"/>
    <w:lvl w:ilvl="0">
      <w:lvlJc w:val="left"/>
      <w:lvlText w:val="(%1)"/>
      <w:numFmt w:val="decimal"/>
      <w:start w:val="1"/>
    </w:lvl>
  </w:abstractNum>
  <w:abstractNum w:abstractNumId="115">
    <w:nsid w:val="F819E7F"/>
    <w:multiLevelType w:val="hybridMultilevel"/>
    <w:lvl w:ilvl="0">
      <w:lvlJc w:val="left"/>
      <w:lvlText w:val="(%1)"/>
      <w:numFmt w:val="decimal"/>
      <w:start w:val="1"/>
    </w:lvl>
  </w:abstractNum>
  <w:abstractNum w:abstractNumId="116">
    <w:nsid w:val="57C7D42D"/>
    <w:multiLevelType w:val="hybridMultilevel"/>
    <w:lvl w:ilvl="0">
      <w:lvlJc w:val="left"/>
      <w:lvlText w:val="(%1)"/>
      <w:numFmt w:val="decimal"/>
      <w:start w:val="2"/>
    </w:lvl>
  </w:abstractNum>
  <w:abstractNum w:abstractNumId="117">
    <w:nsid w:val="312167AD"/>
    <w:multiLevelType w:val="hybridMultilevel"/>
    <w:lvl w:ilvl="0">
      <w:lvlJc w:val="left"/>
      <w:lvlText w:val="(%1)"/>
      <w:numFmt w:val="lowerLetter"/>
      <w:start w:val="1"/>
    </w:lvl>
  </w:abstractNum>
  <w:abstractNum w:abstractNumId="118">
    <w:nsid w:val="631B64D4"/>
    <w:multiLevelType w:val="hybridMultilevel"/>
    <w:lvl w:ilvl="0">
      <w:lvlJc w:val="left"/>
      <w:lvlText w:val="(%1)"/>
      <w:numFmt w:val="lowerLetter"/>
      <w:start w:val="3"/>
    </w:lvl>
  </w:abstractNum>
  <w:abstractNum w:abstractNumId="119">
    <w:nsid w:val="78B5E776"/>
    <w:multiLevelType w:val="hybridMultilevel"/>
    <w:lvl w:ilvl="0">
      <w:lvlJc w:val="left"/>
      <w:lvlText w:val="(%1)"/>
      <w:numFmt w:val="lowerLetter"/>
      <w:start w:val="1"/>
    </w:lvl>
  </w:abstractNum>
  <w:abstractNum w:abstractNumId="120">
    <w:nsid w:val="75486E47"/>
    <w:multiLevelType w:val="hybridMultilevel"/>
    <w:lvl w:ilvl="0">
      <w:lvlJc w:val="left"/>
      <w:lvlText w:val="(%1)"/>
      <w:numFmt w:val="lowerLetter"/>
      <w:start w:val="2"/>
    </w:lvl>
  </w:abstractNum>
  <w:abstractNum w:abstractNumId="121">
    <w:nsid w:val="6E534CDE"/>
    <w:multiLevelType w:val="hybridMultilevel"/>
    <w:lvl w:ilvl="0">
      <w:lvlJc w:val="left"/>
      <w:lvlText w:val=" "/>
      <w:numFmt w:val="bullet"/>
      <w:start w:val="1"/>
    </w:lvl>
  </w:abstractNum>
  <w:abstractNum w:abstractNumId="122">
    <w:nsid w:val="1A0DDE32"/>
    <w:multiLevelType w:val="hybridMultilevel"/>
    <w:lvl w:ilvl="0">
      <w:lvlJc w:val="left"/>
      <w:lvlText w:val="(%1)"/>
      <w:numFmt w:val="decimal"/>
      <w:start w:val="2"/>
    </w:lvl>
    <w:lvl w:ilvl="1">
      <w:lvlJc w:val="left"/>
      <w:lvlText w:val="(%2)"/>
      <w:numFmt w:val="lowerLetter"/>
      <w:start w:val="3"/>
    </w:lvl>
  </w:abstractNum>
  <w:abstractNum w:abstractNumId="123">
    <w:nsid w:val="65968C1C"/>
    <w:multiLevelType w:val="hybridMultilevel"/>
    <w:lvl w:ilvl="0">
      <w:lvlJc w:val="left"/>
      <w:lvlText w:val="(%1)"/>
      <w:numFmt w:val="lowerLetter"/>
      <w:start w:val="4"/>
    </w:lvl>
  </w:abstractNum>
  <w:abstractNum w:abstractNumId="124">
    <w:nsid w:val="46263DEC"/>
    <w:multiLevelType w:val="hybridMultilevel"/>
    <w:lvl w:ilvl="0">
      <w:lvlJc w:val="left"/>
      <w:lvlText w:val="(%1)"/>
      <w:numFmt w:val="lowerLetter"/>
      <w:start w:val="1"/>
    </w:lvl>
  </w:abstractNum>
  <w:abstractNum w:abstractNumId="125">
    <w:nsid w:val="260D8C4A"/>
    <w:multiLevelType w:val="hybridMultilevel"/>
    <w:lvl w:ilvl="0">
      <w:lvlJc w:val="left"/>
      <w:lvlText w:val="%1"/>
      <w:numFmt w:val="lowerRoman"/>
      <w:start w:val="1"/>
    </w:lvl>
    <w:lvl w:ilvl="1">
      <w:lvlJc w:val="left"/>
      <w:lvlText w:val="(%2)"/>
      <w:numFmt w:val="lowerLetter"/>
      <w:start w:val="4"/>
    </w:lvl>
  </w:abstractNum>
  <w:abstractNum w:abstractNumId="126">
    <w:nsid w:val="73D4D3C4"/>
    <w:multiLevelType w:val="hybridMultilevel"/>
    <w:lvl w:ilvl="0">
      <w:lvlJc w:val="left"/>
      <w:lvlText w:val="(%1)"/>
      <w:numFmt w:val="lowerRoman"/>
      <w:start w:val="1"/>
    </w:lvl>
    <w:lvl w:ilvl="1">
      <w:lvlJc w:val="left"/>
      <w:lvlText w:val="(%2)"/>
      <w:numFmt w:val="lowerLetter"/>
      <w:start w:val="5"/>
    </w:lvl>
  </w:abstractNum>
  <w:abstractNum w:abstractNumId="127">
    <w:nsid w:val="746F2E30"/>
    <w:multiLevelType w:val="hybridMultilevel"/>
    <w:lvl w:ilvl="0">
      <w:lvlJc w:val="left"/>
      <w:lvlText w:val="%1."/>
      <w:numFmt w:val="decimal"/>
      <w:start w:val="1"/>
    </w:lvl>
  </w:abstractNum>
  <w:abstractNum w:abstractNumId="128">
    <w:nsid w:val="6FDE8AF6"/>
    <w:multiLevelType w:val="hybridMultilevel"/>
    <w:lvl w:ilvl="0">
      <w:lvlJc w:val="left"/>
      <w:lvlText w:val="1"/>
      <w:numFmt w:val="bullet"/>
      <w:start w:val="1"/>
    </w:lvl>
  </w:abstractNum>
  <w:abstractNum w:abstractNumId="129">
    <w:nsid w:val="3FC32E20"/>
    <w:multiLevelType w:val="hybridMultilevel"/>
    <w:lvl w:ilvl="0">
      <w:lvlJc w:val="left"/>
      <w:lvlText w:val="2"/>
      <w:numFmt w:val="bullet"/>
      <w:start w:val="1"/>
    </w:lvl>
  </w:abstractNum>
  <w:abstractNum w:abstractNumId="130">
    <w:nsid w:val="49C0E823"/>
    <w:multiLevelType w:val="hybridMultilevel"/>
    <w:lvl w:ilvl="0">
      <w:lvlJc w:val="left"/>
      <w:lvlText w:val="%1."/>
      <w:numFmt w:val="decimal"/>
      <w:start w:val="5"/>
    </w:lvl>
  </w:abstractNum>
  <w:abstractNum w:abstractNumId="131">
    <w:nsid w:val="14D53685"/>
    <w:multiLevelType w:val="hybridMultilevel"/>
    <w:lvl w:ilvl="0">
      <w:lvlJc w:val="left"/>
      <w:lvlText w:val="(%1)"/>
      <w:numFmt w:val="lowerLetter"/>
      <w:start w:val="1"/>
    </w:lvl>
  </w:abstractNum>
  <w:abstractNum w:abstractNumId="132">
    <w:nsid w:val="230F856C"/>
    <w:multiLevelType w:val="hybridMultilevel"/>
    <w:lvl w:ilvl="0">
      <w:lvlJc w:val="left"/>
      <w:lvlText w:val="%1."/>
      <w:numFmt w:val="decimal"/>
      <w:start w:val="6"/>
    </w:lvl>
  </w:abstractNum>
  <w:abstractNum w:abstractNumId="133">
    <w:nsid w:val="6EAA85FB"/>
    <w:multiLevelType w:val="hybridMultilevel"/>
    <w:lvl w:ilvl="0">
      <w:lvlJc w:val="left"/>
      <w:lvlText w:val="%1."/>
      <w:numFmt w:val="decimal"/>
      <w:start w:val="7"/>
    </w:lvl>
  </w:abstractNum>
  <w:abstractNum w:abstractNumId="134">
    <w:nsid w:val="3F06ECB2"/>
    <w:multiLevelType w:val="hybridMultilevel"/>
    <w:lvl w:ilvl="0">
      <w:lvlJc w:val="left"/>
      <w:lvlText w:val="%1."/>
      <w:numFmt w:val="decimal"/>
      <w:start w:val="12"/>
    </w:lvl>
  </w:abstractNum>
  <w:abstractNum w:abstractNumId="135">
    <w:nsid w:val="3B594807"/>
    <w:multiLevelType w:val="hybridMultilevel"/>
    <w:lvl w:ilvl="0">
      <w:lvlJc w:val="left"/>
      <w:lvlText w:val="(%1)"/>
      <w:numFmt w:val="decimal"/>
      <w:start w:val="1"/>
    </w:lvl>
  </w:abstractNum>
  <w:abstractNum w:abstractNumId="136">
    <w:nsid w:val="6CAA2304"/>
    <w:multiLevelType w:val="hybridMultilevel"/>
    <w:lvl w:ilvl="0">
      <w:lvlJc w:val="left"/>
      <w:lvlText w:val="(%1)"/>
      <w:numFmt w:val="decimal"/>
      <w:start w:val="2"/>
    </w:lvl>
  </w:abstractNum>
  <w:abstractNum w:abstractNumId="137">
    <w:nsid w:val="3F7C2FF4"/>
    <w:multiLevelType w:val="hybridMultilevel"/>
    <w:lvl w:ilvl="0">
      <w:lvlJc w:val="left"/>
      <w:lvlText w:val="%1."/>
      <w:numFmt w:val="decimal"/>
      <w:start w:val="16"/>
    </w:lvl>
  </w:abstractNum>
  <w:abstractNum w:abstractNumId="138">
    <w:nsid w:val="25413BEC"/>
    <w:multiLevelType w:val="hybridMultilevel"/>
    <w:lvl w:ilvl="0">
      <w:lvlJc w:val="left"/>
      <w:lvlText w:val="%1."/>
      <w:numFmt w:val="decimal"/>
      <w:start w:val="20"/>
    </w:lvl>
  </w:abstractNum>
  <w:abstractNum w:abstractNumId="139">
    <w:nsid w:val="17180B0B"/>
    <w:multiLevelType w:val="hybridMultilevel"/>
    <w:lvl w:ilvl="0">
      <w:lvlJc w:val="left"/>
      <w:lvlText w:val="%1."/>
      <w:numFmt w:val="decimal"/>
      <w:start w:val="1"/>
    </w:lvl>
  </w:abstractNum>
  <w:abstractNum w:abstractNumId="140">
    <w:nsid w:val="579328B9"/>
    <w:multiLevelType w:val="hybridMultilevel"/>
    <w:lvl w:ilvl="0">
      <w:lvlJc w:val="left"/>
      <w:lvlText w:val="3"/>
      <w:numFmt w:val="bullet"/>
      <w:start w:val="1"/>
    </w:lvl>
  </w:abstractNum>
  <w:abstractNum w:abstractNumId="141">
    <w:nsid w:val="5D205E20"/>
    <w:multiLevelType w:val="hybridMultilevel"/>
    <w:lvl w:ilvl="0">
      <w:lvlJc w:val="left"/>
      <w:lvlText w:val="4"/>
      <w:numFmt w:val="bullet"/>
      <w:start w:val="1"/>
    </w:lvl>
  </w:abstractNum>
  <w:abstractNum w:abstractNumId="142">
    <w:nsid w:val="11CCA8BA"/>
    <w:multiLevelType w:val="hybridMultilevel"/>
    <w:lvl w:ilvl="0">
      <w:lvlJc w:val="left"/>
      <w:lvlText w:val="%1."/>
      <w:numFmt w:val="decimal"/>
      <w:start w:val="5"/>
    </w:lvl>
  </w:abstractNum>
  <w:abstractNum w:abstractNumId="143">
    <w:nsid w:val="4D32AB86"/>
    <w:multiLevelType w:val="hybridMultilevel"/>
    <w:lvl w:ilvl="0">
      <w:lvlJc w:val="left"/>
      <w:lvlText w:val="(%1)"/>
      <w:numFmt w:val="lowerLetter"/>
      <w:start w:val="1"/>
    </w:lvl>
  </w:abstractNum>
  <w:abstractNum w:abstractNumId="144">
    <w:nsid w:val="3F07ACC3"/>
    <w:multiLevelType w:val="hybridMultilevel"/>
    <w:lvl w:ilvl="0">
      <w:lvlJc w:val="left"/>
      <w:lvlText w:val="%1."/>
      <w:numFmt w:val="decimal"/>
      <w:start w:val="6"/>
    </w:lvl>
  </w:abstractNum>
  <w:abstractNum w:abstractNumId="145">
    <w:nsid w:val="6B47F63E"/>
    <w:multiLevelType w:val="hybridMultilevel"/>
    <w:lvl w:ilvl="0">
      <w:lvlJc w:val="left"/>
      <w:lvlText w:val="%1."/>
      <w:numFmt w:val="decimal"/>
      <w:start w:val="7"/>
    </w:lvl>
  </w:abstractNum>
  <w:abstractNum w:abstractNumId="146">
    <w:nsid w:val="5CB44A05"/>
    <w:multiLevelType w:val="hybridMultilevel"/>
    <w:lvl w:ilvl="0">
      <w:lvlJc w:val="left"/>
      <w:lvlText w:val="%1."/>
      <w:numFmt w:val="decimal"/>
      <w:start w:val="12"/>
    </w:lvl>
  </w:abstractNum>
  <w:abstractNum w:abstractNumId="147">
    <w:nsid w:val="16CF80F1"/>
    <w:multiLevelType w:val="hybridMultilevel"/>
    <w:lvl w:ilvl="0">
      <w:lvlJc w:val="left"/>
      <w:lvlText w:val="(%1)"/>
      <w:numFmt w:val="decimal"/>
      <w:start w:val="1"/>
    </w:lvl>
  </w:abstractNum>
  <w:abstractNum w:abstractNumId="148">
    <w:nsid w:val="1C695DEC"/>
    <w:multiLevelType w:val="hybridMultilevel"/>
    <w:lvl w:ilvl="0">
      <w:lvlJc w:val="left"/>
      <w:lvlText w:val="(%1)"/>
      <w:numFmt w:val="decimal"/>
      <w:start w:val="2"/>
    </w:lvl>
  </w:abstractNum>
  <w:abstractNum w:abstractNumId="149">
    <w:nsid w:val="3FCFAED9"/>
    <w:multiLevelType w:val="hybridMultilevel"/>
    <w:lvl w:ilvl="0">
      <w:lvlJc w:val="left"/>
      <w:lvlText w:val="%1."/>
      <w:numFmt w:val="decimal"/>
      <w:start w:val="16"/>
    </w:lvl>
  </w:abstractNum>
  <w:abstractNum w:abstractNumId="150">
    <w:nsid w:val="F856867"/>
    <w:multiLevelType w:val="hybridMultilevel"/>
    <w:lvl w:ilvl="0">
      <w:lvlJc w:val="left"/>
      <w:lvlText w:val="%1."/>
      <w:numFmt w:val="decimal"/>
      <w:start w:val="20"/>
    </w:lvl>
  </w:abstractNum>
  <w:abstractNum w:abstractNumId="151">
    <w:nsid w:val="11B1CC33"/>
    <w:multiLevelType w:val="hybridMultilevel"/>
    <w:lvl w:ilvl="0">
      <w:lvlJc w:val="left"/>
      <w:lvlText w:val="(%1)"/>
      <w:numFmt w:val="upperLetter"/>
      <w:start w:val="4"/>
    </w:lvl>
  </w:abstractNum>
  <w:abstractNum w:abstractNumId="152">
    <w:nsid w:val="2E22FBB7"/>
    <w:multiLevelType w:val="hybridMultilevel"/>
    <w:lvl w:ilvl="0">
      <w:lvlJc w:val="left"/>
      <w:lvlText w:val="(%1)"/>
      <w:numFmt w:val="upperLetter"/>
      <w:start w:val="7"/>
    </w:lvl>
  </w:abstractNum>
  <w:abstractNum w:abstractNumId="153">
    <w:nsid w:val="29934699"/>
    <w:multiLevelType w:val="hybridMultilevel"/>
    <w:lvl w:ilvl="0">
      <w:lvlJc w:val="left"/>
      <w:lvlText w:val=" "/>
      <w:numFmt w:val="bullet"/>
      <w:start w:val="1"/>
    </w:lvl>
  </w:abstractNum>
  <w:abstractNum w:abstractNumId="154">
    <w:nsid w:val="77485850"/>
    <w:multiLevelType w:val="hybridMultilevel"/>
    <w:lvl w:ilvl="0">
      <w:lvlJc w:val="left"/>
      <w:lvlText w:val="%1."/>
      <w:numFmt w:val="decimal"/>
      <w:start w:val="1"/>
    </w:lvl>
  </w:abstractNum>
  <w:abstractNum w:abstractNumId="155">
    <w:nsid w:val="744939A3"/>
    <w:multiLevelType w:val="hybridMultilevel"/>
    <w:lvl w:ilvl="0">
      <w:lvlJc w:val="left"/>
      <w:lvlText w:val="%1."/>
      <w:numFmt w:val="decimal"/>
      <w:start w:val="2"/>
    </w:lvl>
    <w:lvl w:ilvl="1">
      <w:lvlJc w:val="left"/>
      <w:lvlText w:val="(%2)"/>
      <w:numFmt w:val="lowerLetter"/>
      <w:start w:val="1"/>
    </w:lvl>
  </w:abstractNum>
  <w:abstractNum w:abstractNumId="156">
    <w:nsid w:val="4FA0D2E3"/>
    <w:multiLevelType w:val="hybridMultilevel"/>
    <w:lvl w:ilvl="0">
      <w:lvlJc w:val="left"/>
      <w:lvlText w:val="(%1)"/>
      <w:numFmt w:val="lowerLetter"/>
      <w:start w:val="3"/>
    </w:lvl>
  </w:abstractNum>
  <w:abstractNum w:abstractNumId="157">
    <w:nsid w:val="6B1D2C14"/>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58">
    <w:nsid w:val="68B867D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59">
    <w:nsid w:val="3F7F5DD9"/>
    <w:multiLevelType w:val="hybridMultilevel"/>
    <w:lvl w:ilvl="0">
      <w:lvlJc w:val="left"/>
      <w:lvlText w:val="(%1)"/>
      <w:numFmt w:val="lowerLetter"/>
      <w:start w:val="3"/>
    </w:lvl>
  </w:abstractNum>
  <w:abstractNum w:abstractNumId="160">
    <w:nsid w:val="2AE05A34"/>
    <w:multiLevelType w:val="hybridMultilevel"/>
    <w:lvl w:ilvl="0">
      <w:lvlJc w:val="left"/>
      <w:lvlText w:val="%1."/>
      <w:numFmt w:val="decimal"/>
      <w:start w:val="1"/>
    </w:lvl>
  </w:abstractNum>
  <w:abstractNum w:abstractNumId="161">
    <w:nsid w:val="32794F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2">
    <w:nsid w:val="545494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3">
    <w:nsid w:val="4DEFDFA0"/>
    <w:multiLevelType w:val="hybridMultilevel"/>
    <w:lvl w:ilvl="0">
      <w:lvlJc w:val="left"/>
      <w:lvlText w:val="(%1)"/>
      <w:numFmt w:val="lowerLetter"/>
      <w:start w:val="1"/>
    </w:lvl>
    <w:lvl w:ilvl="1">
      <w:lvlJc w:val="left"/>
      <w:lvlText w:val="(%2)"/>
      <w:numFmt w:val="lowerRoman"/>
      <w:start w:val="1"/>
    </w:lvl>
  </w:abstractNum>
  <w:abstractNum w:abstractNumId="164">
    <w:nsid w:val="2123D5F2"/>
    <w:multiLevelType w:val="hybridMultilevel"/>
    <w:lvl w:ilvl="0">
      <w:lvlJc w:val="left"/>
      <w:lvlText w:val=" "/>
      <w:numFmt w:val="bullet"/>
      <w:start w:val="1"/>
    </w:lvl>
  </w:abstractNum>
  <w:abstractNum w:abstractNumId="165">
    <w:nsid w:val="135B8110"/>
    <w:multiLevelType w:val="hybridMultilevel"/>
    <w:lvl w:ilvl="0">
      <w:lvlJc w:val="left"/>
      <w:lvlText w:val="%1."/>
      <w:numFmt w:val="decimal"/>
      <w:start w:val="1"/>
    </w:lvl>
    <w:lvl w:ilvl="1">
      <w:lvlJc w:val="left"/>
      <w:lvlText w:val="(%2)"/>
      <w:numFmt w:val="lowerLetter"/>
      <w:start w:val="1"/>
    </w:lvl>
  </w:abstractNum>
  <w:abstractNum w:abstractNumId="166">
    <w:nsid w:val="94927A8"/>
    <w:multiLevelType w:val="hybridMultilevel"/>
    <w:lvl w:ilvl="0">
      <w:lvlJc w:val="left"/>
      <w:lvlText w:val="%1"/>
      <w:numFmt w:val="decimal"/>
      <w:start w:val="1"/>
    </w:lvl>
    <w:lvl w:ilvl="1">
      <w:lvlJc w:val="left"/>
      <w:lvlText w:val="(%2)"/>
      <w:numFmt w:val="lowerLetter"/>
      <w:start w:val="2"/>
    </w:lvl>
  </w:abstractNum>
  <w:abstractNum w:abstractNumId="167">
    <w:nsid w:val="DCDF8F6"/>
    <w:multiLevelType w:val="hybridMultilevel"/>
    <w:lvl w:ilvl="0">
      <w:lvlJc w:val="left"/>
      <w:lvlText w:val="%1."/>
      <w:numFmt w:val="decimal"/>
      <w:start w:val="2"/>
    </w:lvl>
    <w:lvl w:ilvl="1">
      <w:lvlJc w:val="left"/>
      <w:lvlText w:val="(%2)"/>
      <w:numFmt w:val="lowerLetter"/>
      <w:start w:val="1"/>
    </w:lvl>
  </w:abstractNum>
  <w:abstractNum w:abstractNumId="168">
    <w:nsid w:val="52D7B105"/>
    <w:multiLevelType w:val="hybridMultilevel"/>
    <w:lvl w:ilvl="0">
      <w:lvlJc w:val="left"/>
      <w:lvlText w:val=" "/>
      <w:numFmt w:val="bullet"/>
      <w:start w:val="1"/>
    </w:lvl>
  </w:abstractNum>
  <w:abstractNum w:abstractNumId="169">
    <w:nsid w:val="2E8A6394"/>
    <w:multiLevelType w:val="hybridMultilevel"/>
    <w:lvl w:ilvl="0">
      <w:lvlJc w:val="left"/>
      <w:lvlText w:val="(%1)"/>
      <w:numFmt w:val="lowerLetter"/>
      <w:start w:val="1"/>
    </w:lvl>
  </w:abstractNum>
  <w:abstractNum w:abstractNumId="170">
    <w:nsid w:val="24E60401"/>
    <w:multiLevelType w:val="hybridMultilevel"/>
    <w:lvl w:ilvl="0">
      <w:lvlJc w:val="left"/>
      <w:lvlText w:val="%1."/>
      <w:numFmt w:val="decimal"/>
      <w:start w:val="1"/>
    </w:lvl>
  </w:abstractNum>
  <w:abstractNum w:abstractNumId="171">
    <w:nsid w:val="2A6AD9BE"/>
    <w:multiLevelType w:val="hybridMultilevel"/>
    <w:lvl w:ilvl="0">
      <w:lvlJc w:val="left"/>
      <w:lvlText w:val="%1"/>
      <w:numFmt w:val="upperLetter"/>
      <w:start w:val="1"/>
    </w:lvl>
    <w:lvl w:ilvl="1">
      <w:lvlJc w:val="left"/>
      <w:lvlText w:val="%2."/>
      <w:numFmt w:val="decimal"/>
      <w:start w:val="2"/>
    </w:lvl>
  </w:abstractNum>
  <w:abstractNum w:abstractNumId="172">
    <w:nsid w:val="BAAC1B4"/>
    <w:multiLevelType w:val="hybridMultilevel"/>
    <w:lvl w:ilvl="0">
      <w:lvlJc w:val="left"/>
      <w:lvlText w:val="(%1)"/>
      <w:numFmt w:val="upperLetter"/>
      <w:start w:val="2"/>
    </w:lvl>
    <w:lvl w:ilvl="1">
      <w:lvlJc w:val="left"/>
      <w:lvlText w:val="%2"/>
      <w:numFmt w:val="decimal"/>
      <w:start w:val="1"/>
    </w:lvl>
  </w:abstractNum>
  <w:abstractNum w:abstractNumId="173">
    <w:nsid w:val="36B2ACBC"/>
    <w:multiLevelType w:val="hybridMultilevel"/>
    <w:lvl w:ilvl="0">
      <w:lvlJc w:val="left"/>
      <w:lvlText w:val="(%1)"/>
      <w:numFmt w:val="upperLetter"/>
      <w:start w:val="4"/>
    </w:lvl>
    <w:lvl w:ilvl="1">
      <w:lvlJc w:val="left"/>
      <w:lvlText w:val="%2."/>
      <w:numFmt w:val="decimal"/>
      <w:start w:val="3"/>
    </w:lvl>
  </w:abstractNum>
  <w:abstractNum w:abstractNumId="174">
    <w:nsid w:val="779D854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2025-10-08T15:43:30Z</dcterms:created>
  <dcterms:modified xsi:type="dcterms:W3CDTF">2025-10-08T15:43:30Z</dcterms:modified>
</cp:coreProperties>
</file>