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January 26, 2026</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333-291765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AMENDMENT NO. 1</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TO</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S-4</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CROWN HOLDINGS, INC.</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Registrants as specified in their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740" w:type="dxa"/>
            <w:vAlign w:val="bottom"/>
          </w:tcPr>
          <w:p>
            <w:pPr>
              <w:jc w:val="center"/>
              <w:ind w:right="974"/>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3411</w:t>
            </w:r>
          </w:p>
        </w:tc>
        <w:tc>
          <w:tcPr>
            <w:tcW w:w="2160" w:type="dxa"/>
            <w:vAlign w:val="bottom"/>
          </w:tcPr>
          <w:p>
            <w:pPr>
              <w:jc w:val="center"/>
              <w:ind w:left="1114"/>
              <w:spacing w:after="0"/>
              <w:rPr>
                <w:sz w:val="20"/>
                <w:szCs w:val="20"/>
                <w:color w:val="auto"/>
              </w:rPr>
            </w:pPr>
            <w:r>
              <w:rPr>
                <w:rFonts w:ascii="Times New Roman" w:cs="Times New Roman" w:eastAsia="Times New Roman" w:hAnsi="Times New Roman"/>
                <w:sz w:val="14"/>
                <w:szCs w:val="14"/>
                <w:b w:val="1"/>
                <w:bCs w:val="1"/>
                <w:color w:val="auto"/>
              </w:rPr>
              <w:t>75-3099507</w:t>
            </w:r>
          </w:p>
        </w:tc>
      </w:tr>
      <w:tr>
        <w:trPr>
          <w:trHeight w:val="135"/>
        </w:trPr>
        <w:tc>
          <w:tcPr>
            <w:tcW w:w="2740" w:type="dxa"/>
            <w:vAlign w:val="bottom"/>
          </w:tcPr>
          <w:p>
            <w:pPr>
              <w:jc w:val="center"/>
              <w:ind w:right="974"/>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38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160" w:type="dxa"/>
            <w:vAlign w:val="bottom"/>
          </w:tcPr>
          <w:p>
            <w:pPr>
              <w:jc w:val="center"/>
              <w:ind w:left="1114"/>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40" w:type="dxa"/>
            <w:vAlign w:val="bottom"/>
          </w:tcPr>
          <w:p>
            <w:pPr>
              <w:jc w:val="center"/>
              <w:ind w:right="974"/>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160" w:type="dxa"/>
            <w:vAlign w:val="bottom"/>
          </w:tcPr>
          <w:p>
            <w:pPr>
              <w:jc w:val="center"/>
              <w:ind w:left="111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14025 Riveredge Drive, Suite 300</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Tampa, FL 33637</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(215) 698-5100</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CROWN AMERICAS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142875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4"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2740" w:type="dxa"/>
            <w:vAlign w:val="bottom"/>
          </w:tcPr>
          <w:p>
            <w:pPr>
              <w:jc w:val="center"/>
              <w:ind w:right="974"/>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3411</w:t>
            </w:r>
          </w:p>
        </w:tc>
        <w:tc>
          <w:tcPr>
            <w:tcW w:w="2160" w:type="dxa"/>
            <w:vAlign w:val="bottom"/>
          </w:tcPr>
          <w:p>
            <w:pPr>
              <w:jc w:val="center"/>
              <w:ind w:left="1114"/>
              <w:spacing w:after="0"/>
              <w:rPr>
                <w:sz w:val="20"/>
                <w:szCs w:val="20"/>
                <w:color w:val="auto"/>
              </w:rPr>
            </w:pPr>
            <w:r>
              <w:rPr>
                <w:rFonts w:ascii="Times New Roman" w:cs="Times New Roman" w:eastAsia="Times New Roman" w:hAnsi="Times New Roman"/>
                <w:sz w:val="14"/>
                <w:szCs w:val="14"/>
                <w:b w:val="1"/>
                <w:bCs w:val="1"/>
                <w:color w:val="auto"/>
              </w:rPr>
              <w:t>23-1526444</w:t>
            </w:r>
          </w:p>
        </w:tc>
      </w:tr>
      <w:tr>
        <w:trPr>
          <w:trHeight w:val="135"/>
        </w:trPr>
        <w:tc>
          <w:tcPr>
            <w:tcW w:w="2740" w:type="dxa"/>
            <w:vAlign w:val="bottom"/>
          </w:tcPr>
          <w:p>
            <w:pPr>
              <w:jc w:val="center"/>
              <w:ind w:right="974"/>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(State or Other Jurisdiction of</w:t>
            </w:r>
          </w:p>
        </w:tc>
        <w:tc>
          <w:tcPr>
            <w:tcW w:w="38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160" w:type="dxa"/>
            <w:vAlign w:val="bottom"/>
          </w:tcPr>
          <w:p>
            <w:pPr>
              <w:jc w:val="center"/>
              <w:ind w:left="1114"/>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40" w:type="dxa"/>
            <w:vAlign w:val="bottom"/>
          </w:tcPr>
          <w:p>
            <w:pPr>
              <w:jc w:val="center"/>
              <w:ind w:right="974"/>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38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6"/>
              </w:rPr>
              <w:t>Classification Code Number)</w:t>
            </w:r>
          </w:p>
        </w:tc>
        <w:tc>
          <w:tcPr>
            <w:tcW w:w="2160" w:type="dxa"/>
            <w:vAlign w:val="bottom"/>
          </w:tcPr>
          <w:p>
            <w:pPr>
              <w:jc w:val="center"/>
              <w:ind w:left="111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 Crown Holdings, Inc.</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14025 Riveredge Drive, Suite 300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Tampa, FL 33637</w:t>
      </w:r>
    </w:p>
    <w:p>
      <w:pPr>
        <w:jc w:val="center"/>
        <w:ind w:right="-119"/>
        <w:spacing w:after="0" w:line="226" w:lineRule="auto"/>
        <w:rPr>
          <w:sz w:val="20"/>
          <w:szCs w:val="20"/>
          <w:color w:val="auto"/>
        </w:rPr>
      </w:pPr>
      <w:r>
        <w:rPr>
          <w:rFonts w:ascii="Times New Roman" w:cs="Times New Roman" w:eastAsia="Times New Roman" w:hAnsi="Times New Roman"/>
          <w:sz w:val="14"/>
          <w:szCs w:val="14"/>
          <w:b w:val="1"/>
          <w:bCs w:val="1"/>
          <w:color w:val="auto"/>
        </w:rPr>
        <w:t>(215) 698-5100</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Adam J. Dickstein, Esquire</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General Counsel and Corporate Secretary</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Crown Holdings, Inc.</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14025 Riveredge Drive, Suite 300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Tampa, FL 33637</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(215) 698-5100</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See Table of Additional Registrants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Ian A. Hartman, Esquire</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Dechert LLP</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Cira Centre</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2929 Arch Street</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Philadelphia, Pennsylvania 19104</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(215) 994-4000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25" w:right="439" w:bottom="995" w:gutter="0" w:footer="0" w:header="0"/>
        </w:sectPr>
      </w:pPr>
    </w:p>
    <w:p>
      <w:pPr>
        <w:spacing w:after="0" w:line="2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Approximate date of commencement of proposed sale to public: As soon as practicable after this Registration Statement becomes effective.</w:t>
      </w:r>
    </w:p>
    <w:p>
      <w:pPr>
        <w:spacing w:after="0" w:line="42" w:lineRule="exact"/>
        <w:rPr>
          <w:sz w:val="24"/>
          <w:szCs w:val="24"/>
          <w:color w:val="auto"/>
        </w:rPr>
      </w:pPr>
    </w:p>
    <w:p>
      <w:pPr>
        <w:ind w:left="120" w:right="360"/>
        <w:spacing w:after="0" w:line="186" w:lineRule="exact"/>
        <w:rPr>
          <w:sz w:val="20"/>
          <w:szCs w:val="20"/>
          <w:color w:val="auto"/>
        </w:rPr>
      </w:pPr>
      <w:r>
        <w:rPr>
          <w:rFonts w:ascii="Times New Roman" w:cs="Times New Roman" w:eastAsia="Times New Roman" w:hAnsi="Times New Roman"/>
          <w:sz w:val="14"/>
          <w:szCs w:val="14"/>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12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right="1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 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 w:lineRule="exact"/>
        <w:rPr>
          <w:sz w:val="24"/>
          <w:szCs w:val="24"/>
          <w:color w:val="auto"/>
        </w:rPr>
      </w:pPr>
    </w:p>
    <w:p>
      <w:pPr>
        <w:ind w:left="12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81" w:lineRule="exact"/>
        <w:rPr>
          <w:sz w:val="24"/>
          <w:szCs w:val="24"/>
          <w:color w:val="auto"/>
        </w:rPr>
      </w:pPr>
    </w:p>
    <w:p>
      <w:pPr>
        <w:ind w:left="120"/>
        <w:spacing w:after="0" w:line="161" w:lineRule="exact"/>
        <w:tabs>
          <w:tab w:leader="none" w:pos="1640" w:val="left"/>
          <w:tab w:leader="none" w:pos="912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10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42" w:lineRule="exact"/>
        <w:rPr>
          <w:sz w:val="24"/>
          <w:szCs w:val="24"/>
          <w:color w:val="auto"/>
        </w:rPr>
      </w:pPr>
    </w:p>
    <w:p>
      <w:pPr>
        <w:ind w:left="120" w:right="1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pursuant to Section 7(a)(2)(B) of the Securities Act.  </w:t>
      </w:r>
      <w:r>
        <w:rPr>
          <w:rFonts w:ascii="MS PGothic" w:cs="MS PGothic" w:eastAsia="MS PGothic" w:hAnsi="MS PGothic"/>
          <w:sz w:val="14"/>
          <w:szCs w:val="14"/>
          <w:color w:val="auto"/>
        </w:rPr>
        <w:t>☐</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37" w:lineRule="exact"/>
        <w:rPr>
          <w:sz w:val="24"/>
          <w:szCs w:val="24"/>
          <w:color w:val="auto"/>
        </w:rPr>
      </w:pPr>
    </w:p>
    <w:p>
      <w:pPr>
        <w:ind w:left="560"/>
        <w:spacing w:after="0" w:line="161" w:lineRule="exact"/>
        <w:tabs>
          <w:tab w:leader="none" w:pos="5920" w:val="left"/>
        </w:tabs>
        <w:rPr>
          <w:sz w:val="20"/>
          <w:szCs w:val="20"/>
          <w:color w:val="auto"/>
        </w:rPr>
      </w:pPr>
      <w:r>
        <w:rPr>
          <w:rFonts w:ascii="Times New Roman" w:cs="Times New Roman" w:eastAsia="Times New Roman" w:hAnsi="Times New Roman"/>
          <w:sz w:val="14"/>
          <w:szCs w:val="14"/>
          <w:color w:val="auto"/>
        </w:rPr>
        <w:t>Exchange Act Rule 13e-4(i) (Cross-Border Issuer Tender Offer)</w:t>
      </w:r>
      <w:r>
        <w:rPr>
          <w:sz w:val="20"/>
          <w:szCs w:val="20"/>
          <w:color w:val="auto"/>
        </w:rPr>
        <w:tab/>
      </w:r>
      <w:r>
        <w:rPr>
          <w:rFonts w:ascii="MS PGothic" w:cs="MS PGothic" w:eastAsia="MS PGothic" w:hAnsi="MS PGothic"/>
          <w:sz w:val="12"/>
          <w:szCs w:val="12"/>
          <w:color w:val="auto"/>
        </w:rPr>
        <w:t>☐</w:t>
      </w:r>
    </w:p>
    <w:p>
      <w:pPr>
        <w:spacing w:after="0" w:line="48" w:lineRule="exact"/>
        <w:rPr>
          <w:sz w:val="24"/>
          <w:szCs w:val="24"/>
          <w:color w:val="auto"/>
        </w:rPr>
      </w:pPr>
    </w:p>
    <w:p>
      <w:pPr>
        <w:ind w:left="560"/>
        <w:spacing w:after="0" w:line="161" w:lineRule="exact"/>
        <w:tabs>
          <w:tab w:leader="none" w:pos="5920" w:val="left"/>
        </w:tabs>
        <w:rPr>
          <w:sz w:val="20"/>
          <w:szCs w:val="20"/>
          <w:color w:val="auto"/>
        </w:rPr>
      </w:pPr>
      <w:r>
        <w:rPr>
          <w:rFonts w:ascii="Times New Roman" w:cs="Times New Roman" w:eastAsia="Times New Roman" w:hAnsi="Times New Roman"/>
          <w:sz w:val="14"/>
          <w:szCs w:val="14"/>
          <w:color w:val="auto"/>
        </w:rPr>
        <w:t>Exchange Act Rule 14d-1(d) (Cross-Border Third-Party Tender Offer)</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61" w:lineRule="exact"/>
        <w:rPr>
          <w:sz w:val="24"/>
          <w:szCs w:val="24"/>
          <w:color w:val="auto"/>
        </w:rPr>
      </w:pPr>
    </w:p>
    <w:p>
      <w:pPr>
        <w:sectPr>
          <w:pgSz w:w="11900" w:h="16838" w:orient="portrait"/>
          <w:cols w:equalWidth="0" w:num="2">
            <w:col w:w="10920" w:space="80"/>
            <w:col w:w="140"/>
          </w:cols>
          <w:pgMar w:left="320" w:top="225" w:right="439" w:bottom="995" w:gutter="0" w:footer="0" w:header="0"/>
          <w:type w:val="continuous"/>
        </w:sectPr>
      </w:pPr>
    </w:p>
    <w:p>
      <w:pPr>
        <w:spacing w:after="0" w:line="40" w:lineRule="exact"/>
        <w:rPr>
          <w:sz w:val="24"/>
          <w:szCs w:val="24"/>
          <w:color w:val="auto"/>
        </w:rPr>
      </w:pPr>
    </w:p>
    <w:p>
      <w:pPr>
        <w:jc w:val="both"/>
        <w:ind w:left="120" w:right="12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99695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5" w:right="439" w:bottom="995"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Table of Additional Registrants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Jurisdiction of</w:t>
            </w:r>
          </w:p>
        </w:tc>
        <w:tc>
          <w:tcPr>
            <w:tcW w:w="2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Exact Name of Additional Registrants</w:t>
            </w:r>
          </w:p>
        </w:tc>
        <w:tc>
          <w:tcPr>
            <w:tcW w:w="2480" w:type="dxa"/>
            <w:vAlign w:val="bottom"/>
            <w:vMerge w:val="restart"/>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w:t>
            </w:r>
          </w:p>
        </w:tc>
        <w:tc>
          <w:tcPr>
            <w:tcW w:w="0" w:type="dxa"/>
            <w:vAlign w:val="bottom"/>
          </w:tcPr>
          <w:p>
            <w:pPr>
              <w:spacing w:after="0"/>
              <w:rPr>
                <w:sz w:val="1"/>
                <w:szCs w:val="1"/>
                <w:color w:val="auto"/>
              </w:rPr>
            </w:pPr>
          </w:p>
        </w:tc>
      </w:tr>
      <w:tr>
        <w:trPr>
          <w:trHeight w:val="180"/>
        </w:trPr>
        <w:tc>
          <w:tcPr>
            <w:tcW w:w="2340" w:type="dxa"/>
            <w:vAlign w:val="bottom"/>
            <w:tcBorders>
              <w:bottom w:val="single" w:sz="8" w:color="auto"/>
            </w:tcBorders>
            <w:vMerge w:val="continue"/>
          </w:tcPr>
          <w:p>
            <w:pPr>
              <w:spacing w:after="0"/>
              <w:rPr>
                <w:sz w:val="15"/>
                <w:szCs w:val="15"/>
                <w:color w:val="auto"/>
              </w:rPr>
            </w:pPr>
          </w:p>
        </w:tc>
        <w:tc>
          <w:tcPr>
            <w:tcW w:w="248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300" w:type="dxa"/>
            <w:vAlign w:val="bottom"/>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280" w:type="dxa"/>
            <w:vAlign w:val="bottom"/>
          </w:tcPr>
          <w:p>
            <w:pPr>
              <w:spacing w:after="0"/>
              <w:rPr>
                <w:sz w:val="15"/>
                <w:szCs w:val="15"/>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CROWN Beverage Packaging Puerto Rico, Inc.</w:t>
            </w:r>
          </w:p>
        </w:tc>
        <w:tc>
          <w:tcPr>
            <w:tcW w:w="13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Delaware</w:t>
            </w:r>
          </w:p>
        </w:tc>
        <w:tc>
          <w:tcPr>
            <w:tcW w:w="2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Consultants, Inc.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Pennsylvania</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23-2846356</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Cork &amp; Seal Company (DE), LLC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Cork &amp; Seal Company, Inc.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Pennsylvania</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23-1526444</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Financial Corporation</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Pennsylvania</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23-1603914</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International Holdings, LLC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75-3099512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Packaging Technology, Inc.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52-2006645</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Manufacturers Finance Corporation</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51-0099971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Cork &amp; Seal USA, Inc.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52-2006645</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 USA, Inc.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23-2162641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Beverage Packaging, LLC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13-2853410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Crown Beverage Holdings, Inc.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87-1855354</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Signode Industrial Group LLC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80-0935607</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Signode Pickling Holding LLC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Signode US IP Holdings LLC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46-5417288</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Signode Industrial Group US Inc.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46-5152538</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Signode Industrial Group Holdings US Inc.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46-5152404</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Signode International IP Holdings LLC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Delaware</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32-0453191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Simplimatic Engineering Holdings LLC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Ohio</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34-1933983</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Simplimatic Automation LLC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Ohio</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27-4464512</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SEH Real Estate Holdings LLC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Virginia</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46-4557904</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 International Holdings LLC</w:t>
            </w:r>
          </w:p>
        </w:tc>
        <w:tc>
          <w:tcPr>
            <w:tcW w:w="26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Ohio</w:t>
            </w:r>
          </w:p>
        </w:tc>
        <w:tc>
          <w:tcPr>
            <w:tcW w:w="1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86-1198810</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 International Holdings II LLC</w:t>
            </w:r>
          </w:p>
        </w:tc>
        <w:tc>
          <w:tcPr>
            <w:tcW w:w="266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Ohio</w:t>
            </w:r>
          </w:p>
        </w:tc>
        <w:tc>
          <w:tcPr>
            <w:tcW w:w="1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86-1304089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left="680"/>
        <w:spacing w:after="0" w:line="282" w:lineRule="auto"/>
        <w:rPr>
          <w:sz w:val="20"/>
          <w:szCs w:val="20"/>
          <w:color w:val="auto"/>
        </w:rPr>
      </w:pPr>
      <w:r>
        <w:rPr>
          <w:rFonts w:ascii="Times New Roman" w:cs="Times New Roman" w:eastAsia="Times New Roman" w:hAnsi="Times New Roman"/>
          <w:sz w:val="18"/>
          <w:szCs w:val="18"/>
          <w:color w:val="auto"/>
        </w:rPr>
        <w:t>The address for service of each of the additional registrants is c/o Crown Holdings, Inc., 14025 Riveredge Drive, Suite 300 Tampa, Florida 33637, telephone (215) 698-5100. The primary industrial classifications number for each of the additional registrants is 3411.</w:t>
      </w:r>
    </w:p>
    <w:p>
      <w:pPr>
        <w:sectPr>
          <w:pgSz w:w="11900" w:h="16838" w:orient="portrait"/>
          <w:cols w:equalWidth="0" w:num="1">
            <w:col w:w="10880"/>
          </w:cols>
          <w:pgMar w:left="320" w:top="455" w:right="6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220"/>
          </w:cols>
          <w:pgMar w:left="320" w:top="455" w:right="1359" w:bottom="1440" w:gutter="0" w:footer="0" w:header="0"/>
        </w:sectPr>
      </w:pPr>
    </w:p>
    <w:p>
      <w:pPr>
        <w:spacing w:after="0" w:line="200" w:lineRule="exact"/>
        <w:rPr>
          <w:sz w:val="20"/>
          <w:szCs w:val="20"/>
          <w:color w:val="auto"/>
        </w:rPr>
      </w:pPr>
    </w:p>
    <w:p>
      <w:pPr>
        <w:spacing w:after="0" w:line="288" w:lineRule="exact"/>
        <w:rPr>
          <w:sz w:val="20"/>
          <w:szCs w:val="20"/>
          <w:color w:val="auto"/>
        </w:rPr>
      </w:pPr>
    </w:p>
    <w:tbl>
      <w:tblPr>
        <w:tblLayout w:type="fixed"/>
        <w:tblInd w:w="120" w:type="dxa"/>
        <w:tblCellMar>
          <w:top w:w="0" w:type="dxa"/>
          <w:left w:w="0" w:type="dxa"/>
          <w:bottom w:w="0" w:type="dxa"/>
          <w:right w:w="0" w:type="dxa"/>
        </w:tblCellMar>
      </w:tblPr>
      <w:tr>
        <w:trPr>
          <w:trHeight w:val="4998"/>
        </w:trPr>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4338"/>
              </w:rPr>
              <w:t>sell these securities until the registration statement filed with the</w:t>
            </w: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4338"/>
              </w:rPr>
              <w:t>an offer to sell these securities and it is not soliciting an offer to</w:t>
            </w:r>
          </w:p>
        </w:tc>
        <w:tc>
          <w:tcPr>
            <w:tcW w:w="160" w:type="dxa"/>
            <w:vAlign w:val="bottom"/>
          </w:tcPr>
          <w:p>
            <w:pPr>
              <w:spacing w:after="0"/>
              <w:rPr>
                <w:sz w:val="24"/>
                <w:szCs w:val="24"/>
                <w:color w:val="auto"/>
              </w:rPr>
            </w:pPr>
          </w:p>
        </w:tc>
      </w:tr>
      <w:tr>
        <w:trPr>
          <w:trHeight w:val="2310"/>
        </w:trPr>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4338"/>
              </w:rPr>
              <w:t>may be changed. We may not</w:t>
            </w: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4338"/>
              </w:rPr>
              <w:t>preliminary prospectus is not</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4338"/>
              </w:rPr>
              <w:t>is not permitted.</w:t>
            </w:r>
          </w:p>
        </w:tc>
      </w:tr>
      <w:tr>
        <w:trPr>
          <w:trHeight w:val="4276"/>
        </w:trPr>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4338"/>
              </w:rPr>
              <w:t>The information in this prospectus is not complete and</w:t>
            </w:r>
          </w:p>
        </w:tc>
        <w:tc>
          <w:tcPr>
            <w:tcW w:w="200" w:type="dxa"/>
            <w:vAlign w:val="bottom"/>
            <w:textDirection w:val="btLr"/>
          </w:tcPr>
          <w:p>
            <w:pPr>
              <w:ind w:left="16"/>
              <w:spacing w:after="0"/>
              <w:rPr>
                <w:sz w:val="20"/>
                <w:szCs w:val="20"/>
                <w:color w:val="auto"/>
              </w:rPr>
            </w:pPr>
            <w:r>
              <w:rPr>
                <w:rFonts w:ascii="Arial" w:cs="Arial" w:eastAsia="Arial" w:hAnsi="Arial"/>
                <w:sz w:val="16"/>
                <w:szCs w:val="16"/>
                <w:b w:val="1"/>
                <w:bCs w:val="1"/>
                <w:color w:val="FF4338"/>
              </w:rPr>
              <w:t>Securities and Exchange Commission is effective. This</w:t>
            </w:r>
          </w:p>
        </w:tc>
        <w:tc>
          <w:tcPr>
            <w:tcW w:w="160" w:type="dxa"/>
            <w:vAlign w:val="bottom"/>
            <w:textDirection w:val="btLr"/>
          </w:tcPr>
          <w:p>
            <w:pPr>
              <w:spacing w:after="0"/>
              <w:rPr>
                <w:sz w:val="20"/>
                <w:szCs w:val="20"/>
                <w:color w:val="auto"/>
              </w:rPr>
            </w:pPr>
            <w:r>
              <w:rPr>
                <w:rFonts w:ascii="Arial" w:cs="Arial" w:eastAsia="Arial" w:hAnsi="Arial"/>
                <w:sz w:val="16"/>
                <w:szCs w:val="16"/>
                <w:b w:val="1"/>
                <w:bCs w:val="1"/>
                <w:color w:val="FF4338"/>
              </w:rPr>
              <w:t>buy these securities in any state where the offer or sale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FF4338"/>
        </w:rPr>
        <w:t>SUBJECT TO COMPLETION, DATED          ,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173990</wp:posOffset>
            </wp:positionV>
            <wp:extent cx="2785745" cy="351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8574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Crown Americas LLC</w:t>
      </w:r>
    </w:p>
    <w:p>
      <w:pPr>
        <w:spacing w:after="0" w:line="2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5"/>
          <w:szCs w:val="25"/>
          <w:b w:val="1"/>
          <w:bCs w:val="1"/>
          <w:color w:val="auto"/>
        </w:rPr>
        <w:t>OFFER TO EXCHANGE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5"/>
          <w:szCs w:val="25"/>
          <w:b w:val="1"/>
          <w:bCs w:val="1"/>
          <w:color w:val="auto"/>
        </w:rPr>
        <w:t>$700,000,000 5.875% Senior Notes due 2033 and related Guarantees for all</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5"/>
          <w:szCs w:val="25"/>
          <w:b w:val="1"/>
          <w:bCs w:val="1"/>
          <w:color w:val="auto"/>
        </w:rPr>
        <w:t>outstanding 5.875% Senior Notes due 2033</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exchange offer expires at 5:00 p.m., New York City time, on         , 2026, unless extended. Crown Americas LLC (“Crown Americas” and the “Issuer”) will exchange all old notes that are validly tendered and not validly withdrawn prior to the expiration of the exchange offer. You may withdraw tenders of old notes at any time before the exchange offer expires.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form and terms of the new notes will be identical in all material respects to the form and terms of the old notes, except that the new notes:</w:t>
      </w:r>
    </w:p>
    <w:p>
      <w:pPr>
        <w:spacing w:after="0" w:line="67" w:lineRule="exact"/>
        <w:rPr>
          <w:sz w:val="20"/>
          <w:szCs w:val="20"/>
          <w:color w:val="auto"/>
        </w:rPr>
      </w:pPr>
    </w:p>
    <w:p>
      <w:pPr>
        <w:ind w:left="340" w:hanging="259"/>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been registered under the Securities Act;</w:t>
      </w:r>
    </w:p>
    <w:p>
      <w:pPr>
        <w:spacing w:after="0" w:line="130" w:lineRule="exact"/>
        <w:rPr>
          <w:rFonts w:ascii="Times New Roman" w:cs="Times New Roman" w:eastAsia="Times New Roman" w:hAnsi="Times New Roman"/>
          <w:sz w:val="18"/>
          <w:szCs w:val="18"/>
          <w:color w:val="auto"/>
        </w:rPr>
      </w:pPr>
    </w:p>
    <w:p>
      <w:pPr>
        <w:ind w:left="340" w:hanging="259"/>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bear restrictive legends restricting their transfer under the Securities Act;</w:t>
      </w:r>
    </w:p>
    <w:p>
      <w:pPr>
        <w:spacing w:after="0" w:line="130" w:lineRule="exact"/>
        <w:rPr>
          <w:rFonts w:ascii="Times New Roman" w:cs="Times New Roman" w:eastAsia="Times New Roman" w:hAnsi="Times New Roman"/>
          <w:sz w:val="18"/>
          <w:szCs w:val="18"/>
          <w:color w:val="auto"/>
        </w:rPr>
      </w:pPr>
    </w:p>
    <w:p>
      <w:pPr>
        <w:ind w:left="340" w:hanging="259"/>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the registration rights that apply to the old notes; and</w:t>
      </w:r>
    </w:p>
    <w:p>
      <w:pPr>
        <w:spacing w:after="0" w:line="130" w:lineRule="exact"/>
        <w:rPr>
          <w:rFonts w:ascii="Times New Roman" w:cs="Times New Roman" w:eastAsia="Times New Roman" w:hAnsi="Times New Roman"/>
          <w:sz w:val="18"/>
          <w:szCs w:val="18"/>
          <w:color w:val="auto"/>
        </w:rPr>
      </w:pPr>
    </w:p>
    <w:p>
      <w:pPr>
        <w:ind w:left="340" w:right="120" w:hanging="259"/>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contain provisions relating to increased interest rates in connection with the old notes under circumstances related to the timing of the exchange offer.</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new notes will be senior obligations of the Issuer and initially will be fully and unconditionally guaranteed on a senior basis by its indirect parent, Crown Holdings, Inc. (“we” or “Crown”), and by each of Crown’s U.S. subsidiaries (other than the Issuer, Crown Americas Capital Corp., Crown Americas Capital Corp. V and Crown Americas Capital Corp. VI) that guarantees obligations under Crown’s senior secured credit facilities, subject to customary release provisions. The entities providing such guarantees are referred to collectively as the guarantors. The notes will not be guaranteed by Crown’s foreign subsidiaries. The new notes and new note guarantees will be effectively junior in right of payment to all existing and future secured indebtedness of the Issuer and the guarantors to the extent of the value of the assets securing such indebtedness and will be junior in right of payment to all indebtedness of Crown’s non-guarantor subsidiaries.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pursuant to the exchange offer must acknowledge that it will deliver a prospectus in connection with any resale of such new notes. The letter of transmittal states that by so acknowledging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Crown has agreed that, starting on the expiration date of the exchange offer and ending on the close of business one year after the expiration date, it will make this prospectus available to any broker-dealer for use in connection with any such resale. See “Plan of Distribution.”</w:t>
      </w:r>
    </w:p>
    <w:p>
      <w:pPr>
        <w:spacing w:after="0" w:line="176"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See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i w:val="1"/>
          <w:iCs w:val="1"/>
          <w:color w:val="auto"/>
        </w:rPr>
        <w:t>” beginning on page 7 for a discussion of risks that should be considered by holders prior to tendering their old notes.</w:t>
      </w:r>
    </w:p>
    <w:p>
      <w:pPr>
        <w:spacing w:after="0" w:line="15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The date of this prospectus is          , 2026.</w:t>
      </w:r>
    </w:p>
    <w:p>
      <w:pPr>
        <w:sectPr>
          <w:pgSz w:w="11900" w:h="16838" w:orient="portrait"/>
          <w:cols w:equalWidth="0" w:num="2">
            <w:col w:w="640" w:space="340"/>
            <w:col w:w="9240"/>
          </w:cols>
          <w:pgMar w:left="320" w:top="455" w:right="1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7"/>
              </w:rPr>
              <w:t>Summary</w:t>
            </w:r>
          </w:p>
        </w:tc>
        <w:tc>
          <w:tcPr>
            <w:tcW w:w="3320" w:type="dxa"/>
            <w:vAlign w:val="bottom"/>
            <w:gridSpan w:val="10"/>
            <w:vMerge w:val="restart"/>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2"/>
            <w:vMerge w:val="continue"/>
          </w:tcPr>
          <w:p>
            <w:pPr>
              <w:spacing w:after="0"/>
              <w:rPr>
                <w:sz w:val="14"/>
                <w:szCs w:val="14"/>
                <w:color w:val="auto"/>
              </w:rPr>
            </w:pPr>
          </w:p>
        </w:tc>
        <w:tc>
          <w:tcPr>
            <w:tcW w:w="3320" w:type="dxa"/>
            <w:vAlign w:val="bottom"/>
            <w:gridSpan w:val="10"/>
            <w:vMerge w:val="continue"/>
          </w:tcPr>
          <w:p>
            <w:pPr>
              <w:spacing w:after="0"/>
              <w:rPr>
                <w:sz w:val="14"/>
                <w:szCs w:val="14"/>
                <w:color w:val="auto"/>
              </w:rPr>
            </w:pPr>
          </w:p>
        </w:tc>
        <w:tc>
          <w:tcPr>
            <w:tcW w:w="664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920" w:type="dxa"/>
            <w:vAlign w:val="bottom"/>
            <w:gridSpan w:val="4"/>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Exchange Offer</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2260" w:type="dxa"/>
            <w:vAlign w:val="bottom"/>
            <w:gridSpan w:val="5"/>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U.S. Federal Income Tax Considerations</w:t>
            </w:r>
          </w:p>
        </w:tc>
        <w:tc>
          <w:tcPr>
            <w:tcW w:w="520" w:type="dxa"/>
            <w:vAlign w:val="bottom"/>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560" w:type="dxa"/>
            <w:vAlign w:val="bottom"/>
            <w:gridSpan w:val="6"/>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020" w:type="dxa"/>
            <w:vAlign w:val="bottom"/>
            <w:gridSpan w:val="8"/>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of Documents by Reference</w:t>
            </w:r>
          </w:p>
        </w:tc>
        <w:tc>
          <w:tcPr>
            <w:tcW w:w="200" w:type="dxa"/>
            <w:vAlign w:val="bottom"/>
            <w:tcBorders>
              <w:top w:val="single" w:sz="8" w:color="0000EE"/>
            </w:tcBorders>
          </w:tcPr>
          <w:p>
            <w:pPr>
              <w:spacing w:after="0"/>
              <w:rPr>
                <w:sz w:val="17"/>
                <w:szCs w:val="17"/>
                <w:color w:val="auto"/>
              </w:rPr>
            </w:pPr>
          </w:p>
        </w:tc>
        <w:tc>
          <w:tcPr>
            <w:tcW w:w="780" w:type="dxa"/>
            <w:vAlign w:val="bottom"/>
            <w:gridSpan w:val="2"/>
          </w:tcPr>
          <w:p>
            <w:pPr>
              <w:spacing w:after="0"/>
              <w:rPr>
                <w:sz w:val="17"/>
                <w:szCs w:val="17"/>
                <w:color w:val="auto"/>
              </w:rPr>
            </w:pPr>
          </w:p>
        </w:tc>
        <w:tc>
          <w:tcPr>
            <w:tcW w:w="69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This prospectus incorporates important business and financial information that is not included in or delivered with this document. This information is available without charge upon written or oral request. To obtain timely delivery, note holders must request the information no later than five business days before the expiration date. The expiration date is         , 2026. See “Incorporation of Documents by Reference.”</w:t>
      </w:r>
    </w:p>
    <w:p>
      <w:pPr>
        <w:spacing w:after="0" w:line="171" w:lineRule="exact"/>
        <w:rPr>
          <w:sz w:val="20"/>
          <w:szCs w:val="20"/>
          <w:color w:val="auto"/>
        </w:rPr>
      </w:pPr>
    </w:p>
    <w:p>
      <w:pPr>
        <w:ind w:left="120" w:right="8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document and any supplement, including the periodic reports and other information we file with the Securities and Exchange Commission or to which we have referred you. See “Where You Can Find Additional Information.” Neither the Issuer nor Crown has authorized anyone to provide you with information that is different. If anyone provides you with different or inconsistent information, you should not rely on it. Neither the Issuer nor Crown is making an offer to sell these securities in any jurisdiction where the offer or sale is not permitted, where the person making the offer is not qualified to do so, or to any person who cannot legally be offered the securities.</w:t>
      </w:r>
    </w:p>
    <w:p>
      <w:pPr>
        <w:spacing w:after="0" w:line="18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distribution of this prospectus and the offer or sale of the new notes may be restricted by law in certain jurisdictions. Persons who possess this prospectus must inform themselves about, and observe, any such restrictions. See “Plan of Distribution.” Neither the Issuer, nor Crown nor any of their respective representatives is making any representation to any offeree or purchaser under applicable legal investment or similar laws or regulations. Each prospective investor must comply with all applicable laws and regulations in force in any jurisdiction in which it purchases, offers or sells notes or possesses or distributes this prospectus and must obtain any consent, approval or permission required by it for the purchase, offer or sale by it of notes under the laws and regulations in force in any jurisdiction to which it is subject or in which it makes such purchases, offers or sales, and neither the Issuer, nor Crown nor any of their respective representatives shall have any responsibility therefor.</w:t>
      </w:r>
    </w:p>
    <w:p>
      <w:pPr>
        <w:spacing w:after="0" w:line="18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This prospectus does not constitute an offer to sell or a solicitation of an offer to buy securities to any person in any jurisdiction where it is unlawful to make such an offer or solicitation.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MARKETS, RANKING AND OTHER DATA</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data included in this prospectus regarding markets and ranking, including the position of Crown and its competitors within these markets, are based on independent industry publications, reports of government agencies or other published industry sources and the estimates of Crown based on its management’s knowledge and experience in the markets in which it operates. We believe these data are accurate in all material respects as of the date of this prospectus. Crown’s estimates have been based on information obtained from customers, suppliers, trade and business organizations and other contacts in the markets in which it operates. This information may prove to be inaccurate because of the method by which Crown obtained some of the data for these estimates or because this information cannot always be independently verified with complete certainty due to the limits on the availability and reliability of raw data, the voluntary nature of the data gathering process and other inherent limitations and uncertainties. Furthermore, facts, statistics and estimates upon which these publications and data are based and to which Crown cites in this prospectus may become outdated, obsolete or inaccurate as underlying facts or markets or industry conditions change.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60"/>
          </w:cols>
          <w:pgMar w:left="320" w:top="455"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21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42132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should be read in connection with, and is qualified in its entirety by, the more detailed information and financial statements (including the accompanying notes) appearing elsewhere in, or incorporated by reference in, this prospectus. See “Risk Factors” for a discussion of certain factors that should be considered in connection with this offering. Unless the context otherwise requires: (i) “Crown” refers to Crown Holdings, Inc. and its subsidiaries on a consolidated basis; (ii) “Crown Cork” refers to Crown Cork &amp; Seal Company, Inc. and not its subsidiaries; (iii) “Crown European Holdings” refers to Crown European Holdings S.A. and not its subsidiaries; (iv) “Crown Americas” refers to Crown Americas LLC and not its subsidiaries; (v) “old notes” refers to the $700 million aggregate principal amount of 5.875% Senior Notes due 2033 issued on May 27, 2025; (vi) “new notes” refers to the $700 million aggregate principal amount of 5.875% Senior Notes due 2033 offered in exchange for the old notes pursuant to this prospectus; and (vii) “notes” refers collectively to the old notes and the new notes.</w:t>
      </w: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29"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Crown is a worldwide leader in the design, manufacture and sale of packaging products for consumer goods and industrial products. Crown’s consumer packaging solutions primarily support the beverage and food industries through the sale of aluminum and steel cans. Crown’s packaging for industrial products includes steel and plastic strap consumables and equipment, paper-based protective packaging, and plastic film consumables and equipment, which are sold into the metals, food and beverage, construction, agricultural, corrugated and general industries.</w:t>
      </w:r>
    </w:p>
    <w:p>
      <w:pPr>
        <w:spacing w:after="0" w:line="180"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These products are manufactured in Crown’s plants both within and outside the United States and are sold through Crown’s sales organization to the soft drink, food, citrus, brewing, household products, personal care and various other industries. As of December 31, 2024, Crown operated 189 plants along with sales and service facilities throughout 39 countries and had approximately 23,000 employees. In 2024, consolidated net sales for Crown were $11.8 billion with 63% derived from operations outside the United States.</w:t>
      </w:r>
    </w:p>
    <w:p>
      <w:pPr>
        <w:spacing w:after="0" w:line="180"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auto"/>
        </w:rPr>
        <w:t xml:space="preserve">Crown is a Pennsylvania corporation. Crown’s principal executive offices are located at 14025 Riveredge Drive, Suite 300 Tampa, Florida 33637, and its telephone number is (215) 698-5100. Crown Cork is a Pennsylvania corporation. Crown Americas (formerly known as Crown Americas, Inc.) is a Pennsylvania limited liability company. Crown European Holdings (formerly known as CarnaudMetalbox SA) is a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organized under the laws of France. Each of Crown Americas and Crown European Holdings is an indirect, wholly-owned subsidiary of Crown, and Crown Cork is a direct, wholly-owned subsidiary of Crown.</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07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9" w:lineRule="exact"/>
        <w:rPr>
          <w:sz w:val="20"/>
          <w:szCs w:val="20"/>
          <w:color w:val="auto"/>
        </w:rPr>
      </w:pPr>
    </w:p>
    <w:p>
      <w:pPr>
        <w:ind w:left="300" w:right="300"/>
        <w:spacing w:after="0" w:line="266" w:lineRule="auto"/>
        <w:rPr>
          <w:sz w:val="20"/>
          <w:szCs w:val="20"/>
          <w:color w:val="auto"/>
        </w:rPr>
      </w:pPr>
      <w:r>
        <w:rPr>
          <w:rFonts w:ascii="Times New Roman" w:cs="Times New Roman" w:eastAsia="Times New Roman" w:hAnsi="Times New Roman"/>
          <w:sz w:val="18"/>
          <w:szCs w:val="18"/>
          <w:color w:val="auto"/>
        </w:rPr>
        <w:t>The summary below describes the principal terms of the exchange offer and is not intended to be complete. Certain of the terms and conditions described below are subject to important limitations and exceptions. The section of this prospectus entitled “The Exchange Offer” contains a more detailed description of the terms and conditions of the exchange offer.</w:t>
      </w:r>
    </w:p>
    <w:p>
      <w:pPr>
        <w:spacing w:after="0" w:line="176" w:lineRule="exact"/>
        <w:rPr>
          <w:sz w:val="20"/>
          <w:szCs w:val="20"/>
          <w:color w:val="auto"/>
        </w:rPr>
      </w:pPr>
    </w:p>
    <w:p>
      <w:pPr>
        <w:jc w:val="both"/>
        <w:ind w:left="300" w:right="500"/>
        <w:spacing w:after="0" w:line="266" w:lineRule="auto"/>
        <w:rPr>
          <w:sz w:val="20"/>
          <w:szCs w:val="20"/>
          <w:color w:val="auto"/>
        </w:rPr>
      </w:pPr>
      <w:r>
        <w:rPr>
          <w:rFonts w:ascii="Times New Roman" w:cs="Times New Roman" w:eastAsia="Times New Roman" w:hAnsi="Times New Roman"/>
          <w:sz w:val="18"/>
          <w:szCs w:val="18"/>
          <w:color w:val="auto"/>
        </w:rPr>
        <w:t>On May 27, 2025, we issued and sold $700,000,000 of 5.875% Senior Notes due 2033. In connection with this sale, we entered into a separate registration rights agreement with the initial purchasers of the old notes in which we agreed to deliver this prospectus to you and to complete an exchange offer for the old notes.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$700,000,000 of 5.875% Senior Notes due 2033.</w:t>
            </w:r>
          </w:p>
        </w:tc>
      </w:tr>
      <w:tr>
        <w:trPr>
          <w:trHeight w:val="454"/>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issuance of the new notes will be registered under the Securities Act. The terms of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new notes and old notes are identical in all material respects, except for transfer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restrictions, registration rights relating to the old notes and certain provisions relating to</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increased interest rates in connection with the old notes under circumstances related to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timing of the exchange offer. You are urged to read the discussions under the heading “The</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New Notes” in this Summary for further information regarding the new notes.</w:t>
            </w:r>
          </w:p>
        </w:tc>
      </w:tr>
      <w:tr>
        <w:trPr>
          <w:trHeight w:val="441"/>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Exchange Offer</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We are offering to exchange the new notes for up to $700 million aggregate principal</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amount of the old notes.</w:t>
            </w:r>
          </w:p>
        </w:tc>
      </w:tr>
      <w:tr>
        <w:trPr>
          <w:trHeight w:val="441"/>
        </w:trPr>
        <w:tc>
          <w:tcPr>
            <w:tcW w:w="3600" w:type="dxa"/>
            <w:vAlign w:val="bottom"/>
          </w:tcPr>
          <w:p>
            <w:pPr>
              <w:spacing w:after="0"/>
              <w:rPr>
                <w:sz w:val="24"/>
                <w:szCs w:val="24"/>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Old notes may be exchanged only in denominations of $2,000 and any integral multiple of</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$1,000 in excess thereof. In this prospectus, the term “exchange offer” means this offer to</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exchange new notes for old notes in accordance with the terms set forth in this prospectus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 the accompanying letter of transmittal. You are entitled to exchange your old notes for</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new notes.</w:t>
            </w:r>
          </w:p>
        </w:tc>
      </w:tr>
      <w:tr>
        <w:trPr>
          <w:trHeight w:val="441"/>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Expiration Date; Withdrawal of Tender</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exchange offer will expire at 5:00 p.m., New York City time, on             , 2026, or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such later date and time to which it may be extended by us. The tender of old notes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pursuant to the exchange offer may be withdrawn at any time prior to the expiration date of</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the exchange offer. Any old notes not accepted for exchange for any reason will be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returned without expense to the tendering holder thereof promptly after the expiration or</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termination of the exchange offer.</w:t>
            </w:r>
          </w:p>
        </w:tc>
      </w:tr>
      <w:tr>
        <w:trPr>
          <w:trHeight w:val="441"/>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the Exchange Offer</w:t>
            </w: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Our obligation to accept for exchange, or to issue new notes in exchange for, any old notes</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is subject to customary conditions relating to compliance with any applicable law or any</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applicable interpretation by the staff of the Securities and Exchange Commission,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receipt of any applicable governmental approvals and the absence of any actions or</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proceedings of any governmental agency or court which could materially impair the</w:t>
            </w:r>
          </w:p>
        </w:tc>
      </w:tr>
      <w:tr>
        <w:trPr>
          <w:trHeight w:val="216"/>
        </w:trPr>
        <w:tc>
          <w:tcPr>
            <w:tcW w:w="3600" w:type="dxa"/>
            <w:vAlign w:val="bottom"/>
          </w:tcPr>
          <w:p>
            <w:pPr>
              <w:spacing w:after="0"/>
              <w:rPr>
                <w:sz w:val="18"/>
                <w:szCs w:val="18"/>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Issuer’s or Crown’s ability to consummate the exchange offer. See “The Exchange Offer—</w:t>
            </w:r>
          </w:p>
        </w:tc>
      </w:tr>
      <w:tr>
        <w:trPr>
          <w:trHeight w:val="234"/>
        </w:trPr>
        <w:tc>
          <w:tcPr>
            <w:tcW w:w="3600" w:type="dxa"/>
            <w:vAlign w:val="bottom"/>
          </w:tcPr>
          <w:p>
            <w:pPr>
              <w:spacing w:after="0"/>
              <w:rPr>
                <w:sz w:val="20"/>
                <w:szCs w:val="20"/>
                <w:color w:val="auto"/>
              </w:rPr>
            </w:pPr>
          </w:p>
        </w:tc>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Conditions to the Exchange Offer.”</w:t>
            </w:r>
          </w:p>
        </w:tc>
      </w:tr>
      <w:tr>
        <w:trPr>
          <w:trHeight w:val="172"/>
        </w:trPr>
        <w:tc>
          <w:tcPr>
            <w:tcW w:w="3600" w:type="dxa"/>
            <w:vAlign w:val="bottom"/>
            <w:tcBorders>
              <w:bottom w:val="single" w:sz="8" w:color="auto"/>
            </w:tcBorders>
          </w:tcPr>
          <w:p>
            <w:pPr>
              <w:spacing w:after="0"/>
              <w:rPr>
                <w:sz w:val="14"/>
                <w:szCs w:val="14"/>
                <w:color w:val="auto"/>
              </w:rPr>
            </w:pPr>
          </w:p>
        </w:tc>
        <w:tc>
          <w:tcPr>
            <w:tcW w:w="7420" w:type="dxa"/>
            <w:vAlign w:val="bottom"/>
            <w:tcBorders>
              <w:bottom w:val="single" w:sz="8" w:color="auto"/>
            </w:tcBorders>
          </w:tcPr>
          <w:p>
            <w:pPr>
              <w:spacing w:after="0"/>
              <w:rPr>
                <w:sz w:val="14"/>
                <w:szCs w:val="14"/>
                <w:color w:val="auto"/>
              </w:rPr>
            </w:pPr>
          </w:p>
        </w:tc>
      </w:tr>
      <w:tr>
        <w:trPr>
          <w:trHeight w:val="361"/>
        </w:trPr>
        <w:tc>
          <w:tcPr>
            <w:tcW w:w="3600" w:type="dxa"/>
            <w:vAlign w:val="bottom"/>
          </w:tcPr>
          <w:p>
            <w:pPr>
              <w:spacing w:after="0"/>
              <w:rPr>
                <w:sz w:val="24"/>
                <w:szCs w:val="24"/>
                <w:color w:val="auto"/>
              </w:rPr>
            </w:pPr>
          </w:p>
        </w:tc>
        <w:tc>
          <w:tcPr>
            <w:tcW w:w="74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364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Procedures for Tendering Old Notes</w:t>
            </w:r>
          </w:p>
        </w:tc>
        <w:tc>
          <w:tcPr>
            <w:tcW w:w="73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If you wish to accept the exchange offer and tender your old notes, you must either:</w:t>
            </w:r>
          </w:p>
        </w:tc>
      </w:tr>
      <w:tr>
        <w:trPr>
          <w:trHeight w:val="333"/>
        </w:trPr>
        <w:tc>
          <w:tcPr>
            <w:tcW w:w="364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complete, sign and date the Letter of Transmittal, or a facsimile of the Letter of</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Transmittal, in accordance with its instructions and the instructions in this prospectus,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and mail or otherwise deliver such Letter of Transmittal, or the facsimile, together with</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the old notes and any other required documentation, to the exchange agent at the address</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set forth herein; or</w:t>
            </w:r>
          </w:p>
        </w:tc>
      </w:tr>
      <w:tr>
        <w:trPr>
          <w:trHeight w:val="319"/>
        </w:trPr>
        <w:tc>
          <w:tcPr>
            <w:tcW w:w="3640" w:type="dxa"/>
            <w:vAlign w:val="bottom"/>
            <w:tcBorders>
              <w:left w:val="single" w:sz="8" w:color="auto"/>
            </w:tcBorders>
          </w:tcPr>
          <w:p>
            <w:pPr>
              <w:spacing w:after="0"/>
              <w:rPr>
                <w:sz w:val="24"/>
                <w:szCs w:val="24"/>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  if old notes are tendered pursuant to book-entry procedures, the tendering holder must</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arrange with the Depository Trust Company, or DTC, to cause an agent’s message to be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transmitted through DTC’s Automated Tender Offer Program System with the required</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information (including a book-entry confirmation) to the exchange agent.</w:t>
            </w:r>
          </w:p>
        </w:tc>
      </w:tr>
      <w:tr>
        <w:trPr>
          <w:trHeight w:val="441"/>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Broker-Dealers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Each broker-dealer that receives new notes for its own account in exchange for old notes,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where such old notes were acquired by such broker-dealer as a result of market-making</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activities or other trading activities, must acknowledge that it will deliver a prospectus in</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connection with any resale of such new notes. See “Plan of Distribution.”</w:t>
            </w:r>
          </w:p>
        </w:tc>
      </w:tr>
      <w:tr>
        <w:trPr>
          <w:trHeight w:val="45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We will not receive any proceeds from the exchange offer. See “Use of Proceeds.”</w:t>
            </w:r>
          </w:p>
        </w:tc>
      </w:tr>
      <w:tr>
        <w:trPr>
          <w:trHeight w:val="454"/>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Agent</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U.S. Bank Trust Company, National Association (as successor to U.S. Bank National</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Association) is serving as the exchange agent in connection with the exchange offer.</w:t>
            </w:r>
          </w:p>
        </w:tc>
      </w:tr>
      <w:tr>
        <w:trPr>
          <w:trHeight w:val="441"/>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Consequences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exchange of old notes for new notes pursuant to the exchange offer should not be a</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taxable event for U.S. federal income tax purposes. See “Certain U.S. Federal Income Tax</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172"/>
        </w:trPr>
        <w:tc>
          <w:tcPr>
            <w:tcW w:w="3640" w:type="dxa"/>
            <w:vAlign w:val="bottom"/>
            <w:tcBorders>
              <w:left w:val="single" w:sz="8" w:color="auto"/>
              <w:bottom w:val="single" w:sz="8" w:color="auto"/>
            </w:tcBorders>
          </w:tcPr>
          <w:p>
            <w:pPr>
              <w:spacing w:after="0"/>
              <w:rPr>
                <w:sz w:val="14"/>
                <w:szCs w:val="14"/>
                <w:color w:val="auto"/>
              </w:rPr>
            </w:pPr>
          </w:p>
        </w:tc>
        <w:tc>
          <w:tcPr>
            <w:tcW w:w="7380" w:type="dxa"/>
            <w:vAlign w:val="bottom"/>
            <w:tcBorders>
              <w:bottom w:val="single" w:sz="8" w:color="auto"/>
              <w:right w:val="single" w:sz="8" w:color="auto"/>
            </w:tcBorders>
          </w:tcPr>
          <w:p>
            <w:pPr>
              <w:spacing w:after="0"/>
              <w:rPr>
                <w:sz w:val="14"/>
                <w:szCs w:val="14"/>
                <w:color w:val="auto"/>
              </w:rPr>
            </w:pPr>
          </w:p>
        </w:tc>
      </w:tr>
      <w:tr>
        <w:trPr>
          <w:trHeight w:val="361"/>
        </w:trPr>
        <w:tc>
          <w:tcPr>
            <w:tcW w:w="3640" w:type="dxa"/>
            <w:vAlign w:val="bottom"/>
          </w:tcPr>
          <w:p>
            <w:pPr>
              <w:spacing w:after="0"/>
              <w:rPr>
                <w:sz w:val="24"/>
                <w:szCs w:val="24"/>
                <w:color w:val="auto"/>
              </w:rPr>
            </w:pPr>
          </w:p>
        </w:tc>
        <w:tc>
          <w:tcPr>
            <w:tcW w:w="73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55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Consequences of Exchanging Old Notes Pursuant to the Exchange Offer</w:t>
      </w:r>
    </w:p>
    <w:p>
      <w:pPr>
        <w:spacing w:after="0" w:line="229"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 xml:space="preserve">Based on certain interpretive letters issued by the staff of the Securities and Exchange Commission to third parties in unrelated transactions, the Issuer is of the view that holders of old notes (other than any holder who is an “affiliate” of the Issuer within the meaning of Rule 405 under the Securities Act) who exchange their old notes for new notes pursuant to the exchange offer generally may offer the new notes for resale, resell such new notes and otherwise transfer the new notes without compliance with the registration and prospectus delivery provisions of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9" w:lineRule="exact"/>
        <w:rPr>
          <w:sz w:val="20"/>
          <w:szCs w:val="20"/>
          <w:color w:val="auto"/>
        </w:rPr>
      </w:pPr>
    </w:p>
    <w:p>
      <w:pPr>
        <w:ind w:left="700" w:hanging="30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are acquired in the ordinary course of the holders’ business;</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have no arrangement or understanding with any person to participate in a distribution of the new notes; and</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other person is engaging in or intends to engage in a distribution of the new notes.</w:t>
      </w:r>
    </w:p>
    <w:p>
      <w:pPr>
        <w:spacing w:after="0" w:line="225"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in exchange for old notes that were acquired as a result of market-making or other trading activity must acknowledge that it will deliver a prospectus in connection with any resale of the new notes. See “Plan of Distribution.” If a holder of old notes does not exchange the old notes for new notes according to the terms of the exchange offer, the old notes will continue to be subject to the restrictions on transfer contained in the legend printed on the old notes. In general, the old notes may not be offered or sold, unless registered under the Securities Act, except under an exemption from, or in a transaction not subject to, the Securities Act and applicable state securities laws. Holders of old notes do not have any appraisal or dissenters’ rights in connection with the exchange offer. See “The Exchange Offer —Resales of New Notes.”</w:t>
      </w:r>
    </w:p>
    <w:p>
      <w:pPr>
        <w:spacing w:after="0" w:line="189"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Additionally, if you do not participate in the exchange offer, you will not be able to require us to register your old notes under the Securities Act except in limited circumstances. These circumstances are:</w:t>
      </w:r>
    </w:p>
    <w:p>
      <w:pPr>
        <w:spacing w:after="0" w:line="67" w:lineRule="exact"/>
        <w:rPr>
          <w:sz w:val="20"/>
          <w:szCs w:val="20"/>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not permitted by applicable law or SEC policy,</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not completed within 360 days of the issue date of the old notes, or</w:t>
      </w:r>
    </w:p>
    <w:p>
      <w:pPr>
        <w:spacing w:after="0" w:line="130"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20th day following consummation of the exchange offer:</w:t>
      </w:r>
    </w:p>
    <w:p>
      <w:pPr>
        <w:spacing w:after="0" w:line="130" w:lineRule="exact"/>
        <w:rPr>
          <w:rFonts w:ascii="Times New Roman" w:cs="Times New Roman" w:eastAsia="Times New Roman" w:hAnsi="Times New Roman"/>
          <w:sz w:val="18"/>
          <w:szCs w:val="18"/>
          <w:color w:val="auto"/>
        </w:rPr>
      </w:pPr>
    </w:p>
    <w:p>
      <w:pPr>
        <w:ind w:left="700" w:right="160" w:hanging="307"/>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purchaser of the old notes requests that we register old notes that were not eligible to be exchanged for new notes in the exchange offer and that are held by it following consummation of the exchange offer; or</w:t>
      </w:r>
    </w:p>
    <w:p>
      <w:pPr>
        <w:spacing w:after="0" w:line="67"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old notes notifies us that it is not eligible to participate in the exchange offer; or</w:t>
      </w:r>
    </w:p>
    <w:p>
      <w:pPr>
        <w:spacing w:after="0" w:line="130" w:lineRule="exact"/>
        <w:rPr>
          <w:rFonts w:ascii="Times New Roman" w:cs="Times New Roman" w:eastAsia="Times New Roman" w:hAnsi="Times New Roman"/>
          <w:sz w:val="18"/>
          <w:szCs w:val="18"/>
          <w:color w:val="auto"/>
        </w:rPr>
      </w:pPr>
    </w:p>
    <w:p>
      <w:pPr>
        <w:ind w:left="700" w:right="280" w:hanging="307"/>
        <w:spacing w:after="0" w:line="282" w:lineRule="auto"/>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purchaser of the old notes notifies us that it will not receive freely tradable new notes in exchange for old notes constituting any portion of an unsold allotment.</w:t>
      </w:r>
    </w:p>
    <w:p>
      <w:pPr>
        <w:spacing w:after="0" w:line="162" w:lineRule="exact"/>
        <w:rPr>
          <w:sz w:val="20"/>
          <w:szCs w:val="20"/>
          <w:color w:val="auto"/>
        </w:rPr>
      </w:pPr>
    </w:p>
    <w:p>
      <w:pPr>
        <w:ind w:left="300" w:right="120"/>
        <w:spacing w:after="0" w:line="266" w:lineRule="auto"/>
        <w:rPr>
          <w:sz w:val="20"/>
          <w:szCs w:val="20"/>
          <w:color w:val="auto"/>
        </w:rPr>
      </w:pPr>
      <w:r>
        <w:rPr>
          <w:rFonts w:ascii="Times New Roman" w:cs="Times New Roman" w:eastAsia="Times New Roman" w:hAnsi="Times New Roman"/>
          <w:sz w:val="18"/>
          <w:szCs w:val="18"/>
          <w:color w:val="auto"/>
        </w:rPr>
        <w:t>In these cases, the registration rights agreement requires us to file a registration statement for a continuous offering in accordance with Rule 415 under the Securities Act for the benefit of the holders of the old notes. We do not currently anticipate that we will register under the Securities Act any old notes that remain outstanding after completion of the exchange offer.</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New Notes</w:t>
      </w:r>
    </w:p>
    <w:p>
      <w:pPr>
        <w:spacing w:after="0" w:line="229" w:lineRule="exact"/>
        <w:rPr>
          <w:sz w:val="20"/>
          <w:szCs w:val="20"/>
          <w:color w:val="auto"/>
        </w:rPr>
      </w:pPr>
    </w:p>
    <w:p>
      <w:pPr>
        <w:ind w:left="300" w:right="260"/>
        <w:spacing w:after="0" w:line="266" w:lineRule="auto"/>
        <w:rPr>
          <w:sz w:val="20"/>
          <w:szCs w:val="20"/>
          <w:color w:val="auto"/>
        </w:rPr>
      </w:pPr>
      <w:r>
        <w:rPr>
          <w:rFonts w:ascii="Times New Roman" w:cs="Times New Roman" w:eastAsia="Times New Roman" w:hAnsi="Times New Roman"/>
          <w:sz w:val="18"/>
          <w:szCs w:val="18"/>
          <w:color w:val="auto"/>
        </w:rPr>
        <w:t>The summary below describes the principal terms of the new notes and is not intended to be complete. Many of the terms and conditions described below are subject to important limitations and exceptions. The “Description of the Notes” section of this prospectus contains a more detailed description of the terms and conditions of the new notes.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Crown Americas LLC, a Pennsylvania limited liability company.</w:t>
            </w:r>
          </w:p>
        </w:tc>
      </w:tr>
      <w:tr>
        <w:trPr>
          <w:trHeight w:val="47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$700,000,000 principal amount of 5.875% Senior Notes due 2033.</w:t>
            </w:r>
          </w:p>
        </w:tc>
      </w:tr>
      <w:tr>
        <w:trPr>
          <w:trHeight w:val="473"/>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June 1, 2033.</w:t>
            </w:r>
          </w:p>
        </w:tc>
      </w:tr>
      <w:tr>
        <w:trPr>
          <w:trHeight w:val="454"/>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Interest on the new notes will accrue from and including the original issue date of the old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notes and will be payable semi-annually on June 1 and December 1 of each year,</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commencing on December 1, 2025.</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Ranking and Guarantees</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new notes will be senior obligations of the Issuer, ranking senior in right of payment to</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all its subordinated indebtedness, and will be unconditionally guaranteed on an unsecured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senior basis by Crown and each of Crown’s present and future U.S. subsidiaries (other than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Issuer, Crown Americas Capital Corp., Crown Americas Capital Corp. V and Crown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Americas Capital Corp. VI) that from time to time are obligors under or guarantee Crown’s</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senior secured credit facilities.</w:t>
            </w:r>
          </w:p>
        </w:tc>
      </w:tr>
      <w:tr>
        <w:trPr>
          <w:trHeight w:val="441"/>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new notes and new note guarantees will be senior unsecured obligations of the Issuer</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and the guarantors,</w:t>
            </w:r>
          </w:p>
        </w:tc>
      </w:tr>
      <w:tr>
        <w:trPr>
          <w:trHeight w:val="31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effectively subordinated to all existing and future secured indebtedness of the Issuer and</w:t>
            </w:r>
          </w:p>
        </w:tc>
      </w:tr>
      <w:tr>
        <w:trPr>
          <w:trHeight w:val="216"/>
        </w:trPr>
        <w:tc>
          <w:tcPr>
            <w:tcW w:w="3080" w:type="dxa"/>
            <w:vAlign w:val="bottom"/>
          </w:tcPr>
          <w:p>
            <w:pPr>
              <w:spacing w:after="0"/>
              <w:rPr>
                <w:sz w:val="18"/>
                <w:szCs w:val="18"/>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guarantors to the extent of the value of the assets securing such indebtedness,</w:t>
            </w:r>
          </w:p>
        </w:tc>
      </w:tr>
      <w:tr>
        <w:trPr>
          <w:trHeight w:val="216"/>
        </w:trPr>
        <w:tc>
          <w:tcPr>
            <w:tcW w:w="3080" w:type="dxa"/>
            <w:vAlign w:val="bottom"/>
          </w:tcPr>
          <w:p>
            <w:pPr>
              <w:spacing w:after="0"/>
              <w:rPr>
                <w:sz w:val="18"/>
                <w:szCs w:val="18"/>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including any borrowings under Crown’s senior secured credit facilities, to the extent of</w:t>
            </w:r>
          </w:p>
        </w:tc>
      </w:tr>
      <w:tr>
        <w:trPr>
          <w:trHeight w:val="234"/>
        </w:trPr>
        <w:tc>
          <w:tcPr>
            <w:tcW w:w="3080" w:type="dxa"/>
            <w:vAlign w:val="bottom"/>
          </w:tcPr>
          <w:p>
            <w:pPr>
              <w:spacing w:after="0"/>
              <w:rPr>
                <w:sz w:val="20"/>
                <w:szCs w:val="20"/>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value of the assets securing such indebtedness;</w:t>
            </w:r>
          </w:p>
        </w:tc>
      </w:tr>
      <w:tr>
        <w:trPr>
          <w:trHeight w:val="31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structurally subordinated to all indebtedness of subsidiaries of Crown that do not</w:t>
            </w:r>
          </w:p>
        </w:tc>
      </w:tr>
      <w:tr>
        <w:trPr>
          <w:trHeight w:val="216"/>
        </w:trPr>
        <w:tc>
          <w:tcPr>
            <w:tcW w:w="3080" w:type="dxa"/>
            <w:vAlign w:val="bottom"/>
          </w:tcPr>
          <w:p>
            <w:pPr>
              <w:spacing w:after="0"/>
              <w:rPr>
                <w:sz w:val="18"/>
                <w:szCs w:val="18"/>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guarantee the notes offered hereby which include all of Crown’s foreign subsidiaries,</w:t>
            </w:r>
          </w:p>
        </w:tc>
      </w:tr>
      <w:tr>
        <w:trPr>
          <w:trHeight w:val="216"/>
        </w:trPr>
        <w:tc>
          <w:tcPr>
            <w:tcW w:w="3080" w:type="dxa"/>
            <w:vAlign w:val="bottom"/>
          </w:tcPr>
          <w:p>
            <w:pPr>
              <w:spacing w:after="0"/>
              <w:rPr>
                <w:sz w:val="18"/>
                <w:szCs w:val="18"/>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and any U.S. subsidiaries that are neither obligors nor guarantors of Crown’s senior</w:t>
            </w:r>
          </w:p>
        </w:tc>
      </w:tr>
      <w:tr>
        <w:trPr>
          <w:trHeight w:val="234"/>
        </w:trPr>
        <w:tc>
          <w:tcPr>
            <w:tcW w:w="3080" w:type="dxa"/>
            <w:vAlign w:val="bottom"/>
          </w:tcPr>
          <w:p>
            <w:pPr>
              <w:spacing w:after="0"/>
              <w:rPr>
                <w:sz w:val="20"/>
                <w:szCs w:val="20"/>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secured credit facilities;</w:t>
            </w:r>
          </w:p>
        </w:tc>
      </w:tr>
      <w:tr>
        <w:trPr>
          <w:trHeight w:val="31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ranking equal in right of payment to any existing or future senior indebtedness of the</w:t>
            </w:r>
          </w:p>
        </w:tc>
      </w:tr>
      <w:tr>
        <w:trPr>
          <w:trHeight w:val="234"/>
        </w:trPr>
        <w:tc>
          <w:tcPr>
            <w:tcW w:w="3080" w:type="dxa"/>
            <w:vAlign w:val="bottom"/>
          </w:tcPr>
          <w:p>
            <w:pPr>
              <w:spacing w:after="0"/>
              <w:rPr>
                <w:sz w:val="20"/>
                <w:szCs w:val="20"/>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Issuer and the guarantors; and</w:t>
            </w:r>
          </w:p>
        </w:tc>
      </w:tr>
      <w:tr>
        <w:trPr>
          <w:trHeight w:val="319"/>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  ranking senior in right of payment to all existing and future subordinated indebtedness of</w:t>
            </w:r>
          </w:p>
        </w:tc>
      </w:tr>
      <w:tr>
        <w:trPr>
          <w:trHeight w:val="234"/>
        </w:trPr>
        <w:tc>
          <w:tcPr>
            <w:tcW w:w="3080" w:type="dxa"/>
            <w:vAlign w:val="bottom"/>
          </w:tcPr>
          <w:p>
            <w:pPr>
              <w:spacing w:after="0"/>
              <w:rPr>
                <w:sz w:val="20"/>
                <w:szCs w:val="20"/>
                <w:color w:val="auto"/>
              </w:rPr>
            </w:pPr>
          </w:p>
        </w:tc>
        <w:tc>
          <w:tcPr>
            <w:tcW w:w="79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the Issuer and the guarantors.</w:t>
            </w:r>
          </w:p>
        </w:tc>
      </w:tr>
      <w:tr>
        <w:trPr>
          <w:trHeight w:val="441"/>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Upon the release of any new note guarantor from its obligations under Crown’s senior</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secured credit facilities, unless there is a default or event of default existing or continuing</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under the indenture governing the new notes, the guarantee of such new notes by such new</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note guarantor will also be released.</w:t>
            </w:r>
          </w:p>
        </w:tc>
      </w:tr>
      <w:tr>
        <w:trPr>
          <w:trHeight w:val="172"/>
        </w:trPr>
        <w:tc>
          <w:tcPr>
            <w:tcW w:w="3080" w:type="dxa"/>
            <w:vAlign w:val="bottom"/>
            <w:tcBorders>
              <w:bottom w:val="single" w:sz="8" w:color="auto"/>
            </w:tcBorders>
          </w:tcPr>
          <w:p>
            <w:pPr>
              <w:spacing w:after="0"/>
              <w:rPr>
                <w:sz w:val="14"/>
                <w:szCs w:val="14"/>
                <w:color w:val="auto"/>
              </w:rPr>
            </w:pPr>
          </w:p>
        </w:tc>
        <w:tc>
          <w:tcPr>
            <w:tcW w:w="7940" w:type="dxa"/>
            <w:vAlign w:val="bottom"/>
            <w:tcBorders>
              <w:bottom w:val="single" w:sz="8" w:color="auto"/>
            </w:tcBorders>
          </w:tcPr>
          <w:p>
            <w:pPr>
              <w:spacing w:after="0"/>
              <w:rPr>
                <w:sz w:val="14"/>
                <w:szCs w:val="14"/>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10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104765"/>
                    </a:xfrm>
                    <a:prstGeom prst="rect">
                      <a:avLst/>
                    </a:prstGeom>
                    <a:noFill/>
                  </pic:spPr>
                </pic:pic>
              </a:graphicData>
            </a:graphic>
          </wp:anchor>
        </w:drawing>
      </w:r>
    </w:p>
    <w:p>
      <w:pPr>
        <w:sectPr>
          <w:pgSz w:w="11900" w:h="16838" w:orient="portrait"/>
          <w:cols w:equalWidth="0" w:num="1">
            <w:col w:w="10920"/>
          </w:cols>
          <w:pgMar w:left="320" w:top="455" w:right="6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 Indebtedness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and the Issuer may be able to incur additional debt in the future. Although Crown’s senior secured credit facilities contain restrictions on Crown’s ability to incur indebtedness, those restrictions are subject to a number of exceptions.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Optional Redemption</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The Issuer may redeem some or all of the new notes prior to June 1, 2028 at a price equal to 100% of the principal amount of the notes redeemed, plus accrued and unpaid interest, if any, to, but excluding, the applicable redemption date and a “make-whole” premium, as described in this prospectus. Thereafter, the Issuer may redeem all or some of the notes at the redemption prices set forth in this prospectus. In addition, on or prior to June 1, 2028, the Issuer may redeem up to 40% of the notes with the net cash proceeds of certain equity offerings of capital stock of Crown that are contributed as capital or are used to subscribe for qualified capital stock of the Issuer. See “Description of the Notes—Optional Redemption.”</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Change of Control</w:t>
      </w:r>
    </w:p>
    <w:p>
      <w:pPr>
        <w:spacing w:after="0" w:line="20" w:lineRule="exact"/>
        <w:rPr>
          <w:sz w:val="20"/>
          <w:szCs w:val="20"/>
          <w:color w:val="auto"/>
        </w:rPr>
      </w:pPr>
      <w:r>
        <w:rPr>
          <w:sz w:val="20"/>
          <w:szCs w:val="20"/>
          <w:color w:val="auto"/>
        </w:rPr>
        <w:br w:type="column"/>
      </w:r>
    </w:p>
    <w:p>
      <w:pPr>
        <w:ind w:right="100"/>
        <w:spacing w:after="0" w:line="254" w:lineRule="auto"/>
        <w:rPr>
          <w:sz w:val="20"/>
          <w:szCs w:val="20"/>
          <w:color w:val="auto"/>
        </w:rPr>
      </w:pPr>
      <w:r>
        <w:rPr>
          <w:rFonts w:ascii="Times New Roman" w:cs="Times New Roman" w:eastAsia="Times New Roman" w:hAnsi="Times New Roman"/>
          <w:sz w:val="18"/>
          <w:szCs w:val="18"/>
          <w:color w:val="auto"/>
        </w:rPr>
        <w:t>Upon a “change of control repurchase event” of Crown or the Issuer, as defined under the caption “Description of the Notes—Repurchase at the Option of Holders,” you will have the right, as a holder of new notes, to require the Issuer to repurchase all or part of your new notes at a repurchase price equal to 101% of their principal amount, plus accrued and unpaid interest, if any, to, but excluding, the repurchase date. Crown will comply, to the extent applicable, with requirements of Section 14(e) of the Securities Exchange Act of 1934, as amended, and any other securities laws or regulations in connection with the repurchase of notes in the event of a change of control repurchase event.</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Restrictive Covenants</w:t>
      </w:r>
    </w:p>
    <w:p>
      <w:pPr>
        <w:spacing w:after="0" w:line="20" w:lineRule="exact"/>
        <w:rPr>
          <w:sz w:val="20"/>
          <w:szCs w:val="20"/>
          <w:color w:val="auto"/>
        </w:rPr>
      </w:pPr>
      <w:r>
        <w:rPr>
          <w:sz w:val="20"/>
          <w:szCs w:val="20"/>
          <w:color w:val="auto"/>
        </w:rPr>
        <w:br w:type="column"/>
      </w: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indenture governing the new notes will limit, among other things, Crown’s ability and the ability of certain of its subsidiaries (including the Issuer) to incur secured indebtedness and engage in certain sale and leaseback transactions.</w:t>
      </w:r>
    </w:p>
    <w:p>
      <w:pPr>
        <w:spacing w:after="0" w:line="200" w:lineRule="exact"/>
        <w:rPr>
          <w:sz w:val="20"/>
          <w:szCs w:val="20"/>
          <w:color w:val="auto"/>
        </w:rPr>
      </w:pPr>
    </w:p>
    <w:p>
      <w:pPr>
        <w:sectPr>
          <w:pgSz w:w="11900" w:h="16838" w:orient="portrait"/>
          <w:cols w:equalWidth="0" w:num="2">
            <w:col w:w="3620" w:space="720"/>
            <w:col w:w="6580"/>
          </w:cols>
          <w:pgMar w:left="320" w:top="455" w:right="659" w:bottom="1440" w:gutter="0" w:footer="0" w:header="0"/>
          <w:type w:val="continuous"/>
        </w:sectPr>
      </w:pPr>
    </w:p>
    <w:p>
      <w:pPr>
        <w:spacing w:after="0" w:line="3" w:lineRule="exact"/>
        <w:rPr>
          <w:sz w:val="20"/>
          <w:szCs w:val="20"/>
          <w:color w:val="auto"/>
        </w:rPr>
      </w:pPr>
    </w:p>
    <w:p>
      <w:pPr>
        <w:ind w:left="4340" w:right="220"/>
        <w:spacing w:after="0" w:line="282" w:lineRule="auto"/>
        <w:rPr>
          <w:sz w:val="20"/>
          <w:szCs w:val="20"/>
          <w:color w:val="auto"/>
        </w:rPr>
      </w:pPr>
      <w:r>
        <w:rPr>
          <w:rFonts w:ascii="Times New Roman" w:cs="Times New Roman" w:eastAsia="Times New Roman" w:hAnsi="Times New Roman"/>
          <w:sz w:val="18"/>
          <w:szCs w:val="18"/>
          <w:color w:val="auto"/>
        </w:rPr>
        <w:t>These covenants are subject to a number of important exceptions and limitations that are described under the caption “Description of the Notes—Certain Covenants.”</w:t>
      </w:r>
    </w:p>
    <w:p>
      <w:pPr>
        <w:sectPr>
          <w:pgSz w:w="11900" w:h="16838" w:orient="portrait"/>
          <w:cols w:equalWidth="0" w:num="1">
            <w:col w:w="10920"/>
          </w:cols>
          <w:pgMar w:left="320" w:top="455" w:right="659" w:bottom="1440" w:gutter="0" w:footer="0" w:header="0"/>
          <w:type w:val="continuous"/>
        </w:sectPr>
      </w:pPr>
    </w:p>
    <w:p>
      <w:pPr>
        <w:spacing w:after="0" w:line="3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Participation in the exchange offer involves risks. You should carefully consider all of the information in this prospectus. In particular, you should evaluate the specific risk factors set forth under the caption “Risk Factors” in this prospectus.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40"/>
        <w:spacing w:after="0" w:line="281" w:lineRule="auto"/>
        <w:rPr>
          <w:sz w:val="20"/>
          <w:szCs w:val="20"/>
          <w:color w:val="auto"/>
        </w:rPr>
      </w:pPr>
      <w:r>
        <w:rPr>
          <w:rFonts w:ascii="Times New Roman" w:cs="Times New Roman" w:eastAsia="Times New Roman" w:hAnsi="Times New Roman"/>
          <w:sz w:val="17"/>
          <w:szCs w:val="17"/>
          <w:i w:val="1"/>
          <w:iCs w:val="1"/>
          <w:color w:val="auto"/>
        </w:rPr>
        <w:t>You should carefully consider the risks described below, as well as the other information contained in this prospectus, before deciding whether to participate in the exchange offer. The risks described below are not the only ones that we face. Additional risks not presently known to us may also impair our business operations. The actual occurrence of any of these risks could materially adversely affect our business, financial condition and results of operations. In that case, the value of the new notes could decline substantially, and you may lose part or all of your investment.</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old notes for new notes your old notes will continue to be subject to restrictions on transfer and may become less liquid.</w:t>
      </w:r>
    </w:p>
    <w:p>
      <w:pPr>
        <w:spacing w:after="0" w:line="121"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We did not register the old notes under the Securities Act or any state securities laws, nor do we intend to do so after the exchange offer. In general, you may only offer or sell the old notes if they are registered under the Securities Act and applicable state securities laws, or offered and sold under an exemption from these requirements. If you do not exchange your old notes in the exchange offer, you will lose your right to have the old notes registered under the Securities Act, subject to certain limitations. If you continue to hold old notes after the exchange offer, you may be unable to sell the old notes.</w:t>
      </w:r>
    </w:p>
    <w:p>
      <w:pPr>
        <w:spacing w:after="0" w:line="16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Because we anticipate that most holders of old notes will elect to exchange their old notes, we expect that the liquidity of the market for any old notes remaining after the completion of the exchange offer will be substantially limited. Any old notes tendered and exchanged in the exchange offer will reduce the aggregate principal amount of the old notes outstanding. Following the exchange offer, if you do not tender your old notes you generally will not have any further registration rights, and your old notes will continue to be subject to certain transfer restrictions. Accordingly, the liquidity of the market for the old notes could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an active trading market for the new notes does not develop, the liquidity and value of the new notes could be harmed.</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There is no existing market for the new notes, and the Issuer cannot assure you that an active trading market will develop for the new notes. If no active trading market develops, you may not be able to resell your new notes at their fair market value or at all. Even if a public market for the new notes develops, trading prices of the new notes will depend on many factors, including, among other things, the Issuer’s prevailing interest rates, demand for high yield debt securities generally, general economic conditions, the Issuer and Crown’s financial performance or prospects or the prospects of the companies in their industry and the market for similar securities. The liquidity of a trading market for the new notes may be adversely affected by a general decline in the market for similar securities. Historically, the market for non-investment grade securities has been subject to disruptions that have caused substantial volatility in the prices of securities similar to the new notes. Any such disruption may have a negative effect on you, as a holder of the new notes, regardless of our prospects and financial performance.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must comply with the exchange offer procedures in order to receive new notes.</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new notes will be issued in exchange for the old notes only after timely receipt by the exchange agent of the old notes or a book-entry confirmation related thereto, a properly completed and executed letter of transmittal or an agent’s message and all other required documentation. If you want to tender your old notes in exchange for new notes, you should allow sufficient time to ensure timely delivery. None of us, Crown nor the exchange agent, are under any duty to give you notification of defects or irregularities with respect to tenders of old notes for exchange. Old notes that are not tendered or are tendered but not accepted will, following the exchange offer, continue to be subject to the existing transfer restrictions. In addition, if you tender the old notes in the exchange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offer to participate in a distribution of the new notes, you will be required to comply with the registration and prospectus delivery requirements of the Securities Act in connection with any resale transaction. For additional information, please refer to the sections entitled “The Exchange Offer” and “Plan of Distribution” later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persons who participate in the exchange offer must deliver a prospectus in connection with resales of the new notes.</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Based on interpretations of the staff of the SEC contained in Exxon Capital Holdings Corp., SEC no-action letter (April 13, 1988), Morgan Stanley &amp; Co. Inc., SEC no-action letter (June 5, 1991) and Shearman &amp; Sterling, SEC no-action letter (July 2, 1983), we believe that you may offer for resale, resell or otherwise transfer the new notes without compliance with the registration and prospectus delivery requirements of the Securities Act. However, in some instances described in this prospectus under “Plan of Distribution,” you will remain obligated to comply with the registration and prospectus delivery requirements of the Securities Act to transfer your new notes. In these cases, if you transfer any new note without delivering a prospectus meeting the requirements of the Securities Act or without an exemption from registration of your exchange under the Securities Act, you may incur liability under the Securities Act. We do not and will not assume, or indemnify you against, this liability. Furthermore, we will not seek our own interpretive letter. As a result, we cannot assure you that the staff will take the same position on this exchange offer as it did in interpretive letters to other parties in similar transactions.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New Notes</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Crown and the Issuer are holding companies with no direct operations and the new notes will be structurally subordinated to all indebtedness of Crown’s subsidiaries that are not guarantors of the new notes.</w:t>
      </w:r>
    </w:p>
    <w:p>
      <w:pPr>
        <w:spacing w:after="0" w:line="5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Crown and the Issuer are holding companies with no direct operations. The principal assets of Crown and the Issuer are the equity interests and investments they hold in their subsidiaries. As a result, they depend on dividends and other payments from their subsidiaries to generate the funds necessary to meet their financial obligations, including the payment of principal of and interest on their outstanding debt. Their subsidiaries are legally distinct from them and have no obligation to pay amounts due on their debt or to make funds available to them for such payment except as provided in the note guarantees or pursuant to intercompany notes. Not all of Crown’s or the Issuer’s subsidiaries will guarantee the new notes. Specifically, none of Crown’s or the Issuer’s foreign subsidiaries are expected to guarantee the new notes. A holder of new notes will not have any claim as a creditor against subsidiaries of Crown or the Issuer that are not guarantors of the new notes, and the indebtedness and other liabilities, including trade payables, whether secured or unsecured, of those non-guarantor subsidiaries will be effectively senior to your claims.</w:t>
      </w:r>
    </w:p>
    <w:p>
      <w:pPr>
        <w:spacing w:after="0" w:line="29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to receive payments on the new notes is effectively subordinated to Crown’s existing secured indebtedness, including Crown’s existing senior secured credit facilities, and possible future secured borrowings.</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new notes and the new note guarantees will be effectively subordinated to the prior payment in full of Crown’s, the Issuer’s and the guarantors’ current and future secured indebtedness to the extent of the value of the assets securing such indebtedness. Such secured indebtedness may increase if Crown incurs secured indebtedness, including under Crown’s senior secured revolving credit facilities, to finance an acquisition or otherwise. Because of the liens on the assets securing the senior secured credit facilities, in the event of the bankruptcy, wind-up, reorganization, liquidation or dissolution of the borrowers or any guarantor of such indebtedness, the assets of the borrowers or guarantors would be available to pay obligations under the new notes offered to be exchanged hereby and other unsecured obligations only after payments had been made on the borrowers’ or the guarantors’ secured indebtedness. Sufficient assets may not remain after these payments have been made to make any payments on the new notes offered to be exchanged hereby and Crown’s other unsecured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obligations, including payments of interest when due. Holders of the new notes offered to be exchanged hereby will participate ratably with all holders of other unsecured obligations that are deemed to be of the same class as the new notes offered to be exchanged hereby, and potentially with all of Crown’s other general creditors, based upon the respective amounts owed to each holder or creditor, in Crown’s remaining assets. As a result, holders of the new notes offered to be exchanged hereby may receive less ratably than holders of secured indebtedness. In addition, all payments on the notes and the note guarantees will be prohibited in the event of a payment default on Crown’s secured indebtedness (including borrowings under the senior secured credit facilities) and, for limited periods, upon the occurrence of other defaults under the existing senior secured credit facilities.</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Crown may not be able to generate sufficient cash to service all of its indebtedness, including the new notes offered to be exchanged hereby, and may be forced to take other actions to satisfy its obligations under its indebtedness, which may not be successful.</w:t>
      </w:r>
    </w:p>
    <w:p>
      <w:pPr>
        <w:spacing w:after="0" w:line="5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Crown’s ability to make scheduled payments on and to refinance its indebtedness, including the new notes offered to be exchanged hereby, and to fund planned capital expenditures and research and development efforts, will depend on Crown’s ability to generate cash in the future. This is subject to general economic, financial, competitive, legislative, regulatory and other factors that may be beyond Crown’s control.</w:t>
      </w:r>
    </w:p>
    <w:p>
      <w:pPr>
        <w:spacing w:after="0" w:line="176"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cannot assure you that Crown’s business will generate sufficient cash flow from operations or that future borrowings will be available in an amount sufficient to enable Crown to pay its indebtedness, including the new notes offered to be exchanged hereby, or to fund its other liquidity needs. If Crown’s cash flows and capital resources are insufficient to fund its debt service obligations, Crown may be forced to reduce or delay capital expenditures, sell assets or operations, seek additional capital or restructure or refinance its indebtedness, including the new notes offered to be exchanged hereby. We cannot assure you that Crown would be able to take any of these actions, that these actions would be successful and permitted under the terms of Crown’s existing or future debt agreements or that Crown could release from these actions sufficient proceeds to meet any debt service obligations then due.</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note guarantee of a subsidiary guarantor will be released if such subsidiary guarantor no longer guarantees or is otherwise an obligor of indebtedness under any Crown credit facility.</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subsidiary guarantee of the new notes may be released without action by, or consent of, any holder of the new notes or the trustee under the indenture if the subsidiary guarantor is no longer a guarantor or an obligor of any Crown credit facility or other indebtedness as described under “Description of the Notes—Ranking and Guarantees.” The lenders under Crown’s senior secured credit facilities will have the discretion to release the subsidiary guarantees under the senior secured credit facilities in a variety of circumstances. You will not have a claim as a creditor against any subsidiary that is no longer a subsidiary guarantor of the new notes, and the indebtedness and other liabilities, including trade payables, whether secured or unsecured, of those subsidiaries will effectively be senior to your claims.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notes and the new note guarantees may be voidable, subordinated or limited in scope under insolvency, fraudulent transfer, corporate or other laws.</w:t>
      </w:r>
    </w:p>
    <w:p>
      <w:pPr>
        <w:spacing w:after="0" w:line="5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Fraudulent transfer and insolvency laws may void, subordinate or limit the new notes and the new note guarantees. See “Description of the Notes— Certain Bankruptcy and Fraudulent Transfer Limitations.”</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Under U.S. federal bankruptcy laws or comparable provisions of state fraudulent transfer laws, the issuance of the new note guarantees by Crown and the subsidiary guarantors could be voided, or claims in respect of such obligations could be subordinated to all of their other debts and other liabilities, if, among other things, at the time Crown and/or the subsidiary guarantors issued the related new note guarantees, or, potentially, the old note guarantees, Crown or the applicable subsidiary guarantor intended to hinder, delay or defraud any present or</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creditor, or received less than reasonably equivalent value or fair consideration for the incurrence of such indebtedness and either:</w:t>
      </w:r>
    </w:p>
    <w:p>
      <w:pPr>
        <w:spacing w:after="0" w:line="131" w:lineRule="exact"/>
        <w:rPr>
          <w:sz w:val="20"/>
          <w:szCs w:val="20"/>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130" w:lineRule="exact"/>
        <w:rPr>
          <w:rFonts w:ascii="Times New Roman" w:cs="Times New Roman" w:eastAsia="Times New Roman" w:hAnsi="Times New Roman"/>
          <w:sz w:val="18"/>
          <w:szCs w:val="18"/>
          <w:color w:val="auto"/>
        </w:rPr>
      </w:pPr>
    </w:p>
    <w:p>
      <w:pPr>
        <w:ind w:left="540" w:right="520" w:hanging="316"/>
        <w:spacing w:after="0" w:line="282"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Crown’s or such subsidiary guarantor’s remaining assets constituted unreasonably small capital; or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By its terms, the new note guarantee of each guarantor will limit the liability of each such guarantor to the maximum amount it can pay without the new note guarantee being deemed a fraudulent transfer.</w:t>
      </w:r>
    </w:p>
    <w:p>
      <w:pPr>
        <w:spacing w:after="0" w:line="266"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Crown’s senior secured credit facilities, the notes and other indebtedness provide that certain change of control events constitute an event of default. In the event of a change of control, Crown, Crown Americas and the guarantors may not be able to satisfy all of their obligations under the senior secured credit facilities, the new notes or other indebtedness.</w:t>
      </w:r>
    </w:p>
    <w:p>
      <w:pPr>
        <w:spacing w:after="0" w:line="6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Crown, the Issuer and the guarantors may not have sufficient assets or be able to obtain sufficient third-party financing on favorable terms to satisfy all of their obligations under Crown’s senior secured credit facilities, the new notes or other indebtedness in the event of a change of control. If Crown or the Issuer experiences a change of control repurchase event, the Issuer will be required to offer to repurchase all outstanding new notes. However, Crown’s senior secured credit facilities provide that certain change of control events constitute an event of default under the senior secured credit facilities. Such an event of default entitles the lenders thereunder to, among other things, cause all outstanding debt obligations under the senior secured credit facilities to become due and payable and to proceed against the collateral securing the senior secured credit facilities. Any event of default or acceleration of the senior secured credit facilities will likely also cause a default under the terms of other indebtedness of Crown.</w:t>
      </w:r>
    </w:p>
    <w:p>
      <w:pPr>
        <w:spacing w:after="0" w:line="18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addition, Crown’s senior secured credit facilities contain, and any future credit facilities or other agreements to which Crown becomes a party may contain, restrictions on its ability to offer to repurchase the new notes in connection with a change of control. In the event a change of control repurchase event occurs at a time when it is prohibited from offering to purchase the new notes, the Issuer could seek consent to offer to purchase the new notes or attempt to refinance the borrowings that contain such a prohibition. If it does not obtain the consent or refinance the borrowings, the Issuer would remain prohibited from offering to purchase the new notes. In such case, the failure by the Issuer to offer to purchase the new notes would constitute a default under the indenture governing the new notes, which, in turn, could result in amounts outstanding under any future credit facility or other agreement relating to indebtedness being declared due and payable. Any such declaration could have adverse consequences to Crown, the Issuer and the holders of the new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decline in the ratings of Crown’s corporate credit could adversely affect the trading price of the new notes.</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Any decline in the ratings of our corporate credit or any indications from the rating agencies that their ratings on Crown’s corporate credit are under surveillance or review with possible negative implications could adversely affect the value of the new notes. In addition, a ratings downgrade could adversely affect our ability to access capital.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Crown’s Business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For a discussion of certain risks applicable to our business and operations, see “Risk Factors” in our Annual Report on Form 10-K for the year ended December 31, 2024, as updated by our subsequently filed Quarterly Reports on Form 10-Q and Current Reports on Form 8-K.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Statements included in this prospectus that are not historical facts (including any statements concerning plans and objectives of management for future operations or economic performance, or assumptions related thereto), are “forward-looking statements” within the meaning of the U.S. federal securities laws. Forward-looking statements can be identified by words, such as “believes,” “estimates,” “anticipates,” “expects” and other words of similar meaning in connection with a discussion of future operating or financial performance. These may include, among others, statements relating to:</w:t>
      </w:r>
    </w:p>
    <w:p>
      <w:pPr>
        <w:spacing w:after="0" w:line="85" w:lineRule="exact"/>
        <w:rPr>
          <w:sz w:val="20"/>
          <w:szCs w:val="20"/>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plans or objectives for future operations, products or financial performance;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indebtedness and other contractual obligations;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 economic downturn or growth in particular regions;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uses of cash;</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reduction efforts and expected savings;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policies with respect to executive compensation;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progress on sustainability and environmental matters;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outcome of contingencies, including with respect to asbestos-related litigation and pension and postretirement liabilities.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made based upon Crown’s expectations and beliefs concerning future events impacting it and, therefore, involve a number of risks and uncertainties. Crown cautions that forward-looking statements are not guarantees and that actual results could differ materially from those expressed or implied in the forward-looking statements.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Important factors that could cause the actual results of operations or financial condition of Crown to differ include, but are not necessarily limited to:</w:t>
      </w:r>
    </w:p>
    <w:p>
      <w:pPr>
        <w:spacing w:after="0" w:line="131" w:lineRule="exact"/>
        <w:rPr>
          <w:sz w:val="20"/>
          <w:szCs w:val="20"/>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Crown to expand successfully in international and emerging markets;</w:t>
      </w:r>
    </w:p>
    <w:p>
      <w:pPr>
        <w:spacing w:after="0" w:line="130" w:lineRule="exact"/>
        <w:rPr>
          <w:rFonts w:ascii="Times New Roman" w:cs="Times New Roman" w:eastAsia="Times New Roman" w:hAnsi="Times New Roman"/>
          <w:sz w:val="18"/>
          <w:szCs w:val="18"/>
          <w:color w:val="auto"/>
        </w:rPr>
      </w:pPr>
    </w:p>
    <w:p>
      <w:pPr>
        <w:ind w:left="540" w:right="140" w:hanging="316"/>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Crown to repay, refinance or restructure its short and long-term indebtedness on adequate terms and to comply with the terms of its agreements relating to debt;</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generate significant cash to meet its obligations and invest in its business and to maintain appropriate debt levels;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Crown’s use of available cash under its debt agreements;</w:t>
      </w:r>
    </w:p>
    <w:p>
      <w:pPr>
        <w:spacing w:after="0" w:line="130" w:lineRule="exact"/>
        <w:rPr>
          <w:rFonts w:ascii="Times New Roman" w:cs="Times New Roman" w:eastAsia="Times New Roman" w:hAnsi="Times New Roman"/>
          <w:sz w:val="18"/>
          <w:szCs w:val="18"/>
          <w:color w:val="auto"/>
        </w:rPr>
      </w:pPr>
    </w:p>
    <w:p>
      <w:pPr>
        <w:ind w:left="540" w:right="8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differences in U.S. or international economic or political conditions, inflation or fluctuations in interest or foreign exchange rates (and the effectiveness of any currency or interest rate hedges), tax rates, and applicable tax laws (including with respect to taxation of unrepatriated non-U.S. earnings or as a result of the depletion of net loss or foreign tax credit carryforwards);</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trade laws and practices, including tariffs, retaliatory trade measures and further trade restrictions;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collectability of receivables;</w:t>
      </w:r>
    </w:p>
    <w:p>
      <w:pPr>
        <w:spacing w:after="0" w:line="130" w:lineRule="exact"/>
        <w:rPr>
          <w:rFonts w:ascii="Times New Roman" w:cs="Times New Roman" w:eastAsia="Times New Roman" w:hAnsi="Times New Roman"/>
          <w:sz w:val="18"/>
          <w:szCs w:val="18"/>
          <w:color w:val="auto"/>
        </w:rPr>
      </w:pPr>
    </w:p>
    <w:p>
      <w:pPr>
        <w:jc w:val="both"/>
        <w:ind w:left="540" w:right="2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including the ongoing conflicts between Russia and Ukraine and in the Middle East, or acts of terrorism that may disrupt Crown’s production or the supply or pricing of raw materials impact the financial condition of customers or adversely affect Crown’s ability to refinance or restructure its remaining indebtedness;</w:t>
      </w:r>
    </w:p>
    <w:p>
      <w:pPr>
        <w:spacing w:after="0" w:line="81" w:lineRule="exact"/>
        <w:rPr>
          <w:rFonts w:ascii="Times New Roman" w:cs="Times New Roman" w:eastAsia="Times New Roman" w:hAnsi="Times New Roman"/>
          <w:sz w:val="18"/>
          <w:szCs w:val="18"/>
          <w:color w:val="auto"/>
        </w:rPr>
      </w:pPr>
    </w:p>
    <w:p>
      <w:pPr>
        <w:ind w:left="540" w:right="400" w:hanging="316"/>
        <w:spacing w:after="0" w:line="266"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and pricing of raw materials (including aluminum can sheet, steel tinplate, energy, water, inks and coatings) and Crown’s ability to pass raw material, energy and freight price increases and surcharges through to its customers or to otherwise manage these commodity pricing risks;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2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obtain and maintain adequate pricing for its products, including the impact on Crown’s revenue, margins and market share and the ongoing impact of price increases;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and natural resource costs;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other effects of legal and administrative cases and proceedings, settlements and investigations;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asbestos-related litigation;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realize deferred tax benefits;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Crown’s critical or other accounting policies or the assumptions underlying those policies;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 and workforce and social costs, including Crown’s pension and postretirement obligations and other employee or retiree costs;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performance of Crown’s pension plans;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difficulties related to the acquisition of a business and integration of acquired businesses;</w:t>
      </w:r>
    </w:p>
    <w:p>
      <w:pPr>
        <w:spacing w:after="0" w:line="130" w:lineRule="exact"/>
        <w:rPr>
          <w:rFonts w:ascii="Times New Roman" w:cs="Times New Roman" w:eastAsia="Times New Roman" w:hAnsi="Times New Roman"/>
          <w:sz w:val="18"/>
          <w:szCs w:val="18"/>
          <w:color w:val="auto"/>
        </w:rPr>
      </w:pPr>
    </w:p>
    <w:p>
      <w:pPr>
        <w:ind w:left="540" w:right="30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any potential dispositions, acquisitions or other strategic realignments, which may impact Crown’s operations, financial profile, investments or levels of indebtedness;</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realize efficient capacity utilization and inventory levels and to innovate new designs and technologies for its products in a cost-effective manner;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including new product developments, industry overcapacity, or changes in competitors’ pricing for products;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achieve high capacity utilization rates for its equipment;</w:t>
      </w:r>
    </w:p>
    <w:p>
      <w:pPr>
        <w:spacing w:after="0" w:line="130" w:lineRule="exact"/>
        <w:rPr>
          <w:rFonts w:ascii="Times New Roman" w:cs="Times New Roman" w:eastAsia="Times New Roman" w:hAnsi="Times New Roman"/>
          <w:sz w:val="18"/>
          <w:szCs w:val="18"/>
          <w:color w:val="auto"/>
        </w:rPr>
      </w:pPr>
    </w:p>
    <w:p>
      <w:pPr>
        <w:ind w:left="540" w:right="44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maintain, develop and capitalize on competitive technologies for the design and manufacture of products and to withstand competitive and legal challenges to the proprietary nature of such technology;</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protect its information technology systems from attacks or catastrophic failure;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Crown’s cyber-security (including with respect to human vulnerabilities associated with cyber-security risks);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generate sufficient production capacity;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improve and expand its existing product and product lines;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overcapacity on the end-markets Crown serves;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including the loss of any significant customers;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for different packaging products;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Crown’s vendors and customers;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including their effect on demand for beverages and on crop yields for fruits and vegetables stored in food containers;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including in emerging markets;</w:t>
      </w:r>
    </w:p>
    <w:p>
      <w:pPr>
        <w:spacing w:after="0" w:line="130" w:lineRule="exact"/>
        <w:rPr>
          <w:rFonts w:ascii="Times New Roman" w:cs="Times New Roman" w:eastAsia="Times New Roman" w:hAnsi="Times New Roman"/>
          <w:sz w:val="18"/>
          <w:szCs w:val="18"/>
          <w:color w:val="auto"/>
        </w:rPr>
      </w:pPr>
    </w:p>
    <w:p>
      <w:pPr>
        <w:ind w:left="540" w:right="120" w:hanging="316"/>
        <w:spacing w:after="0" w:line="282"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enforcement practices, including with respect to environmental, health and safety matters and restrictions as to foreign investment or operation;</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governmental regulation on Crown and its products, including the regulation or restriction of the use of bisphenol-A;</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Crown’s initiatives to generate additional cash, including the reduction of working capital levels and capital spending;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Crown to realize cost savings from its restructuring programs;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 ability to maintain adequate sources of capital and liquidity;</w:t>
      </w:r>
    </w:p>
    <w:p>
      <w:pPr>
        <w:spacing w:after="0" w:line="130"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payments to certain of Crown’s executive officers in connection with any termination of such executive officers or a change in control of Crown;</w:t>
      </w:r>
    </w:p>
    <w:p>
      <w:pPr>
        <w:spacing w:after="0" w:line="67"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future legislation regarding refundable mandatory deposit laws in Europe for non-refillable beverage containers and the implementation of an effective return system;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Crown’s strategic areas of focus, which may impact Crown’s operations, financial profile or levels of indebtedness.</w:t>
      </w:r>
    </w:p>
    <w:p>
      <w:pPr>
        <w:spacing w:after="0" w:line="225"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Some of the factors noted above are discussed elsewhere in this prospectus and in prior Crown filings with the Securities and Exchange Commission (the “SEC”), including within “Risk Factors” in this prospectus. In addition, other factors have been or may be discussed from time to time in Crown’s filings with the SEC.</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New risk factors emerge from time to time and it is not possible for us to predict all such risk factors. We cannot assess the impact of all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as a prediction of actual results.</w:t>
      </w:r>
    </w:p>
    <w:p>
      <w:pPr>
        <w:spacing w:after="0" w:line="18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While Crown periodically reassesses material trends and uncertainties affecting its results of operations and financial condition in connection with the preparation of “Management’s Discussion and Analysis of Financial Condition and Results of Operations” and certain other sections contained in Crown’s quarterly, annual or other reports filed with the SEC, Crown does not intend to review or revise any particular forward-looking statement in light of future events.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this exchange offer. Because we are exchanging the new notes for the old notes, which have substantially identical terms, the issuance of the new notes will not result in any increase in our indebtedness. The exchange offer is intended to satisfy our obligations under the registration rights agreement.</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Net proceeds from the offering of the old notes were approximately $690 million, before deducting the initial purchasers’ discount. These net proceeds were used, together with cash on hand, to repay the 4.750% senior notes due 2026, and to pay related fees and expenses.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May 27, 2025, we issued and sold the old notes to the initial purchasers without registration under the Securities Act pursuant to the exception set forth in Section 4(a)(2) of the Securities Act. The initial purchasers subsequently sold the old notes to qualified institutional buyers in reliance on Rule 144A and Regulation S under the Securities Act. Because the old notes are subject to transfer restrictions, we entered into a registration rights agreement under which we agreed to use our reasonable best efforts to:</w:t>
      </w:r>
    </w:p>
    <w:p>
      <w:pPr>
        <w:spacing w:after="0" w:line="85" w:lineRule="exact"/>
        <w:rPr>
          <w:sz w:val="20"/>
          <w:szCs w:val="20"/>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registration statement to become effective;</w:t>
      </w:r>
    </w:p>
    <w:p>
      <w:pPr>
        <w:spacing w:after="0" w:line="130" w:lineRule="exact"/>
        <w:rPr>
          <w:rFonts w:ascii="Times New Roman" w:cs="Times New Roman" w:eastAsia="Times New Roman" w:hAnsi="Times New Roman"/>
          <w:sz w:val="18"/>
          <w:szCs w:val="18"/>
          <w:color w:val="auto"/>
        </w:rPr>
      </w:pPr>
    </w:p>
    <w:p>
      <w:pPr>
        <w:ind w:left="540" w:right="42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exchange offer by 360 days from the issue date of the old notes (or if such 360th day is not a Business Day, the next succeeding Business Day); and</w:t>
      </w:r>
    </w:p>
    <w:p>
      <w:pPr>
        <w:spacing w:after="0" w:line="67"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shelf registration statement for the resale of the old notes if we cannot effect an exchange offer within the time period listed above and in certain other circumstances.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registration statement is intended to satisfy our exchange offer obligations under the registration rights agreement.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Under existing interpretations of the SEC, we believe that the new notes will be freely transferable by holders other than our affiliates after the exchange offer without further registration under the Securities Act if the holder of the new notes represents that:</w:t>
      </w:r>
    </w:p>
    <w:p>
      <w:pPr>
        <w:spacing w:after="0" w:line="67" w:lineRule="exact"/>
        <w:rPr>
          <w:sz w:val="20"/>
          <w:szCs w:val="20"/>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acquiring the new notes in the ordinary course of its business;</w:t>
      </w:r>
    </w:p>
    <w:p>
      <w:pPr>
        <w:spacing w:after="0" w:line="130" w:lineRule="exact"/>
        <w:rPr>
          <w:rFonts w:ascii="Times New Roman" w:cs="Times New Roman" w:eastAsia="Times New Roman" w:hAnsi="Times New Roman"/>
          <w:sz w:val="18"/>
          <w:szCs w:val="18"/>
          <w:color w:val="auto"/>
        </w:rPr>
      </w:pPr>
    </w:p>
    <w:p>
      <w:pPr>
        <w:ind w:left="540" w:right="140" w:hanging="316"/>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arrangement or understanding with any person to participate in the distribution of the new notes and is not participating in, and does not intend to participate in, the distribution of such new notes;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of us, as that term is interpreted by the SEC;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engaged in, and does not intend to engage in, a distribution of the new notes.</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However, each broker-dealer that receives new notes for its own account in exchange for old notes, where such old notes were acquired by such broker-dealer as a result of market-making or other trading activities (a “participating broker dealer”) will have a prospectus delivery requirement with respect to resales of such new notes. The SEC has taken the position that participating broker-dealers may fulfill their prospectus delivery requirements with respect to the new notes (other than a resale of an unsold allotment from the original sale of the old notes) with this prospectus. Under the registration rights agreement, we are required to allow participating broker-dealers and other persons, if any, with similar prospectus delivery requirements to use this prospectus in connection with the resale of the new notes. See “Plan of Distribution.”</w:t>
      </w:r>
    </w:p>
    <w:p>
      <w:pPr>
        <w:spacing w:after="0" w:line="187"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form and terms of the new notes are substantially the same as the form and terms of the old notes, except that the new notes will be registered under the Securities Act; will not bear restrictive legends restricting their transfer under the Securities Act; will not be entitled to the registration rights that apply to the old notes; and will not contain provisions relating to increased interest rates in connection with the old notes under circumstances related to the timing of the exchange offer. The previously disclosed financial information for the Issuer and guarantors is materially consistent with the financial information for the Issuer and guarantors under this offering.</w:t>
      </w:r>
    </w:p>
    <w:p>
      <w:pPr>
        <w:spacing w:after="0" w:line="183"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new notes will evidence the same debt as the old notes. The new notes will be issued under and entitled to the benefits of the same indenture that authorized the issuance of the old notes. For a description of the indenture, see “Description of the Notes.”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we and the guarantors fail to meet certain specified deadlines under the registration rights agreement, we will be obligated to pay an increased interest rate on the old notes.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 copy of the registration rights agreement has been filed with the SEC as Exhibit 4.2 of the Registrant’s Current Report on Form 8-K, dated May 28, 2025, and is incorporated by reference as an exhibit to the registration statement of which this prospectus is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are offering to exchange an aggregate principal amount of up to $700 million of our new notes for a like amount of our old notes. The old notes must be tendered properly in accordance with the conditions set forth in this prospectus and the accompanying letter of transmittal on or prior to the expiration date and not withdrawn as permitted below. The exchange offer is not conditioned upon holders tendering a minimum principal amount of old notes. As of the date of this prospectus, all of the old notes are outstanding.</w:t>
      </w:r>
    </w:p>
    <w:p>
      <w:pPr>
        <w:spacing w:after="0" w:line="180"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Old notes tendered in the exchange offer must be in denominations of the principal amount of $2,000 and any integral multiple of $1,000 in excess thereof.</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Holders of the old notes do not have any appraisal or dissenters’ rights in connection with the exchange offer. If you do not tender your old notes or if you tender old notes that we do not accept, your old notes will remain outstanding and continue to accrue interest and you will be entitled to the rights and benefits holders have under the indenture relating to the old notes and the new notes (as applicable). Existing transfer restrictions would continue to apply to such old notes. See “Risk Factors—If you fail to exchange your old notes for new notes your old notes will continue to be subject to restrictions on transfer and may become less liquid” for more information regarding old notes outstanding after the exchange offer.</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Neither Crown, the Issuer, any of the guarantors, nor any of their respective boards of directors or management, recommends that you tender or not tender old notes in the exchange offer or has authorized anyone to make any recommendation. You must decide whether to tender in the exchange offer and, if you decide to tender, the aggregate amount of old notes to tender.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expiration date is 5:00 p.m., New York City time, on             , 2026, or such later date and time to which the exchange offer is extended.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the right, in accordance with applicable law, at any time:</w:t>
      </w:r>
    </w:p>
    <w:p>
      <w:pPr>
        <w:spacing w:after="0" w:line="131" w:lineRule="exact"/>
        <w:rPr>
          <w:sz w:val="20"/>
          <w:szCs w:val="20"/>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delay the acceptance of the old notes;</w:t>
      </w:r>
    </w:p>
    <w:p>
      <w:pPr>
        <w:spacing w:after="0" w:line="130" w:lineRule="exact"/>
        <w:rPr>
          <w:rFonts w:ascii="Times New Roman" w:cs="Times New Roman" w:eastAsia="Times New Roman" w:hAnsi="Times New Roman"/>
          <w:sz w:val="18"/>
          <w:szCs w:val="18"/>
          <w:color w:val="auto"/>
        </w:rPr>
      </w:pPr>
    </w:p>
    <w:p>
      <w:pPr>
        <w:ind w:left="540" w:right="26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terminate the exchange offer and not accept any old notes for exchange if we determine that any of the conditions to the exchange offer have not occurred or have not been satisfied;</w:t>
      </w:r>
    </w:p>
    <w:p>
      <w:pPr>
        <w:spacing w:after="0" w:line="67" w:lineRule="exact"/>
        <w:rPr>
          <w:rFonts w:ascii="Times New Roman" w:cs="Times New Roman" w:eastAsia="Times New Roman" w:hAnsi="Times New Roman"/>
          <w:sz w:val="18"/>
          <w:szCs w:val="18"/>
          <w:color w:val="auto"/>
        </w:rPr>
      </w:pPr>
    </w:p>
    <w:p>
      <w:pPr>
        <w:ind w:left="540" w:right="760" w:hanging="316"/>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extend the expiration date of the exchange offer and retain all old notes tendered in the exchange offer other than those notes properly withdrawn;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condition or amend the terms of the exchange offer in any manner.</w:t>
      </w:r>
    </w:p>
    <w:p>
      <w:pPr>
        <w:spacing w:after="0" w:line="22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If we materially amend the exchange offer, we will as promptly as practicable distribute a prospectus supplement to the holders of the old notes disclosing the change and extend the exchange offer for a period of five (5) to ten (10) business days, depending upon the significance of the amendment and the manner of disclosure to the registered holders, if the exchange offer would otherwise expire during the five (5) to ten (10) business day period.</w:t>
      </w:r>
    </w:p>
    <w:p>
      <w:pPr>
        <w:spacing w:after="0" w:line="15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If we exercise any of the rights listed above, we will as promptly as practicable give oral or written notice of the action to the exchange agent and will make a public announcement of such action. In the case of an extension,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announcement will be made no later than 9:00 a.m., New York City time on the next business day after the previously scheduled expiration date. Without limiting the manner in which we may choose to make public announcements of any delay in acceptance, extension, termination or amendment of the exchange offer, we will have no obligation to publish, advertise, or otherwise communicate any public announcement, other than by making a timely release to a financial news service.</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During an extension, all old notes previously tendered will remain subject to the exchange offer and may be accepted for exchange by us. Any old notes not accepted for exchange for any reason will be returned without cost to the holder that tendered them promptly after the expiration or termination of the exchange offer.</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We will accept all old notes validly tendered and not withdrawn. Promptly after the expiration date, we will issue new notes registered under the Securities Act to the exchange agent.</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exchange agent might not deliver the new notes to all tendering holders at the same time. The timing of delivery depends upon when the exchange agent receives and processes the required documents.</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We will be deemed to have exchanged old notes validly tendered and not withdrawn when we give oral or written notice to the exchange agent of our acceptance of the tendered old notes, with written confirmation of any oral notice to be given promptly thereafter. The exchange agent is our agent for receiving tenders of old notes, letters of transmittal and related documents.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tendering old notes, you must warrant in the letter of transmittal or in an agent’s message (described below) that:</w:t>
      </w:r>
    </w:p>
    <w:p>
      <w:pPr>
        <w:spacing w:after="0" w:line="131" w:lineRule="exact"/>
        <w:rPr>
          <w:sz w:val="20"/>
          <w:szCs w:val="20"/>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full power and authority to tender, exchange, sell, assign and transfer old notes;</w:t>
      </w:r>
    </w:p>
    <w:p>
      <w:pPr>
        <w:spacing w:after="0" w:line="130" w:lineRule="exact"/>
        <w:rPr>
          <w:rFonts w:ascii="Times New Roman" w:cs="Times New Roman" w:eastAsia="Times New Roman" w:hAnsi="Times New Roman"/>
          <w:sz w:val="18"/>
          <w:szCs w:val="18"/>
          <w:color w:val="auto"/>
        </w:rPr>
      </w:pPr>
    </w:p>
    <w:p>
      <w:pPr>
        <w:ind w:left="540" w:right="500" w:hanging="316"/>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acquire good, marketable and unencumbered title to the tendered old notes, free and clear of all liens, restrictions, charges and other encumbrances;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old notes tendered for exchange are not subject to any adverse claims or proxies.</w:t>
      </w:r>
    </w:p>
    <w:p>
      <w:pPr>
        <w:spacing w:after="0" w:line="22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You also must warrant and agree that you will, upon request, execute and deliver any additional documents requested by us or the exchange agent to complete the exchange, sale, assignment and transfer of the old notes.</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Additionally, each broker-dealer that receives new notes for its own account in exchange for old notes, where such old notes were acquired by such broker-dealer as a result of market-making activities or other trading activities, must acknowledge that it will deliver a prospectus in connection with any resale of such new notes. See “Plan of Distribution.”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Old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Valid Tender</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have forwarded to you, along with this prospectus, a letter of transmittal relating to this exchange offer. The letter of transmittal is to be completed by a holder of old notes either if (1) a tender of old notes is to be made by delivering physical certificates for such old notes to the exchange agent or (2) a tender of old notes is to be made by book-entry transfer to the account of the exchange agent at DTC.</w:t>
      </w:r>
    </w:p>
    <w:p>
      <w:pPr>
        <w:spacing w:after="0" w:line="176"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Only a holder of record of old notes may tender old notes in the exchange offer. To tender in the exchange offer, a holder must comply with the procedures of DTC and:</w:t>
      </w:r>
    </w:p>
    <w:p>
      <w:pPr>
        <w:spacing w:after="0" w:line="67" w:lineRule="exact"/>
        <w:rPr>
          <w:sz w:val="20"/>
          <w:szCs w:val="20"/>
          <w:color w:val="auto"/>
        </w:rPr>
      </w:pPr>
    </w:p>
    <w:p>
      <w:pPr>
        <w:ind w:left="540" w:right="80" w:hanging="316"/>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sign and date the letter of transmittal, or a facsimile of the letter of transmittal; have the signature on the letter of transmittal guaranteed if the letter of transmittal so requires; and deliver the letter of transmittal or facsimile to the exchange agent prior to the expiration date;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316"/>
        <w:spacing w:after="0" w:line="261"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delivering a letter of transmittal, instruct DTC to transmit on behalf of the holder a computer-generated message to the exchange agent in which the holder of the old notes acknowledges and agrees to be bound by the terms of, and to make all of the representations contained in, the letter of transmittal, which computer-generated message shall be received by the exchange agent prior to 5:00 p.m., New York City time, on the expiration date or such other internal deadline set by DTC as the case may be.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either:</w:t>
      </w:r>
    </w:p>
    <w:p>
      <w:pPr>
        <w:spacing w:after="0" w:line="131" w:lineRule="exact"/>
        <w:rPr>
          <w:sz w:val="20"/>
          <w:szCs w:val="20"/>
          <w:color w:val="auto"/>
        </w:rPr>
      </w:pPr>
    </w:p>
    <w:p>
      <w:pPr>
        <w:ind w:left="540" w:hanging="316"/>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old notes along with the letter of transmittal; or</w:t>
      </w:r>
    </w:p>
    <w:p>
      <w:pPr>
        <w:spacing w:after="0" w:line="130" w:lineRule="exact"/>
        <w:rPr>
          <w:rFonts w:ascii="Times New Roman" w:cs="Times New Roman" w:eastAsia="Times New Roman" w:hAnsi="Times New Roman"/>
          <w:sz w:val="18"/>
          <w:szCs w:val="18"/>
          <w:color w:val="auto"/>
        </w:rPr>
      </w:pPr>
    </w:p>
    <w:p>
      <w:pPr>
        <w:ind w:left="540" w:right="340" w:hanging="316"/>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before expiration of the exchange offer, timely confirmation of book-entry transfer of such old notes into the exchange agent’s account at DTC, according to the procedure for book-entry transfer described below.</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To be tendered effectively, the exchange agent must receive any physical delivery of the letter of transmittal and other required documents at the address set forth below under the caption “—Exchange Agent” before expiration of the exchange offer. To receive confirmation of valid tender of old notes, a holder should contact the exchange agent at the telephone number listed under the caption “—Exchange Agent.”</w:t>
      </w:r>
    </w:p>
    <w:p>
      <w:pPr>
        <w:spacing w:after="0" w:line="176"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 tender by a holder that is accepted by us and not withdrawn before expiration of the exchange offer will constitute a binding agreement between that holder and us in accordance with the terms and subject to the conditions set forth in this prospectus and in the letter of transmittal. Only a registered holder of old notes may tender the old notes in the exchange offer. If you tender fewer than all of your old notes, you should fill in the amount of notes tendered in the appropriate box on the letter of transmittal. The amount of old notes delivered to the exchange agent will be deemed to have been tendered unless otherwise indicated.</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method of delivery of the certificates for the old notes, the letter of transmittal and all other required documents is at the election and sole risk of the holders. If delivery is by mail, we recommend registered mail with return receipt requested, properly insured, or overnight delivery service. In all cases, you should allow sufficient time to assure timely delivery. No letters of transmittal or old notes should be sent directly to Crown. Delivery is complete when the exchange agent actually receives the items to be delivered. Delivery of documents to DTC in accordance with its procedures does not constitute delivery to the exchange agent.</w:t>
      </w:r>
    </w:p>
    <w:p>
      <w:pPr>
        <w:spacing w:after="0" w:line="183"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If you beneficially own old notes and those notes are registered in the name of a broker, dealer, commercial bank, trust company or other nominee or custodian and you wish to tender your old notes in the exchange offer, you should contact the registered holder as soon as possible and instruct it to tender the old notes on your behalf and comply with the instructions set forth in this prospectus and the letter of transmittal.</w:t>
      </w:r>
    </w:p>
    <w:p>
      <w:pPr>
        <w:spacing w:after="0" w:line="176"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If the applicable letter of transmittal is signed by the record holder(s) of the old notes tendered, the signature must correspond with the name(s) written on the face of the old note without alteration, enlargement or any change whatsoever. If the applicable letter of transmittal is signed by a participant in DTC, the signature must correspond with the name as it appears on the security position listing as the holder of the old notes.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any letter of transmittal, endorsement, bond power, power of attorney, or any other document required by the letter of transmittal is signed by a trustee, executor, administrator, guardian, attorney-in-fact, officer of a corporation or other person acting in a fiduciary or representative capacity, that person must indicate such capacity when signing. In addition, unless waived by us, the person must submit proper evidence satisfactory to us, in our sole discretion, of his or her authority to so act.</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Holders should receive copies of the letter of transmittal with the prospectus. A holder may obtain additional copies of the letter of transmittal for the old notes from the exchange agent at its offices listed under the caption “—Exchange Agent.”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Signature Guarantees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Signatures on a letter of transmittal or a notice of withdrawal, as the case may be, must be guaranteed by an eligible institution unless the old notes surrendered for exchange are tendered:</w:t>
      </w:r>
    </w:p>
    <w:p>
      <w:pPr>
        <w:spacing w:after="0" w:line="67" w:lineRule="exact"/>
        <w:rPr>
          <w:sz w:val="20"/>
          <w:szCs w:val="20"/>
          <w:color w:val="auto"/>
        </w:rPr>
      </w:pPr>
    </w:p>
    <w:p>
      <w:pPr>
        <w:ind w:left="540" w:right="140" w:hanging="316"/>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registered holder of old notes who has not completed the box entitled “Special Issuance Instructions” or “Special Delivery Instructions” on the letter of transmittal; or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account of an eligible institution.</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An “eligible institution” is a firm or other entity which is identified as an “Eligible Guarantor Institution” in Rule 17Ad-15 under the Exchange Act, including:</w:t>
      </w:r>
    </w:p>
    <w:p>
      <w:pPr>
        <w:spacing w:after="0" w:line="67" w:lineRule="exact"/>
        <w:rPr>
          <w:sz w:val="20"/>
          <w:szCs w:val="20"/>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dealer, municipal securities broker or dealer or government securities broker or dealer;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 union;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national securities exchange, registered securities association or clearing agency;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savings association.</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old notes are registered in the name of a person other than the signer of the letter of transmittal, the old notes surrendered for exchange must be endorsed or accompanied by a written instrument or instruments of transfer or exchange, in satisfactory form as determined by us in our sole discretion, duly executed by the registered holder with the holder’s signature guaranteed by an eligible institution.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DTC Book-Entry Transfers</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For tenders by book-entry transfer of old notes cleared through DTC, the exchange agent will make a request to establish an account at DTC for purposes of the exchange offer. Any financial institution that is a DTC participant may make book-entry delivery of old notes by causing DTC to transfer the old notes into the exchange agent’s account at DTC in accordance with DTC’s procedures for transfer. The exchange agent and DTC have confirmed that any financial institution that is a participant in DTC may use the Automated Tender Offer Program, or ATOP, procedures to tender old notes. Accordingly, any participant in DTC may make book-entry delivery of old notes by causing DTC to transfer those old notes into the exchange agent’s account in accordance with its ATOP procedures for transfer.</w:t>
      </w:r>
    </w:p>
    <w:p>
      <w:pPr>
        <w:spacing w:after="0" w:line="187"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Notwithstanding the ability of holders of old notes to effect delivery of old notes through book-entry transfer at DTC, the letter of transmittal or a facsimile thereof, or an agent’s message in lieu of the letter of transmittal, with any required signature guarantees and any other required documents must be transmitted to and received by the exchange agent prior to the expiration date at the address given below under “—Exchange Agent.” In this context, the term “agent’s message” means a message, transmitted by DTC and received by the exchange agent and forming part of a book-entry confirmation, which states that DTC has received an express acknowledgment from a participant tendering old notes that are the subject of the book-entry confirmation that the participant has received and agrees to be bound by the terms of the letter of transmittal, and that we may enforce that agreement against the participant.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 of Validity</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will resolve all questions regarding the form of documents, validity, eligibility, including time of receipt, and acceptance for exchange and withdrawal of any tendered old notes. Our determination of these questions as well as our interpretation of the terms and conditions of the exchange offer, including the letter of transmittal, will be final and binding on all parties. A tender of old notes is invalid until all defects and irregularities have been cured or waived. Holders must cure any defects and irregularities in connection with tenders of old notes for exchange</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40"/>
          </w:cols>
          <w:pgMar w:left="320" w:top="455"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within such reasonable period of time as we will determine, unless we waive the defects or irregularities. Neither us, any of our affiliates or assigns, the exchange agent nor any other person is under any obligation to give notice of any defects or irregularities in tenders nor will we or they be liable for failing to give any such notice.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reserve the absolute right, in our sole and absolute discretion:</w:t>
      </w:r>
    </w:p>
    <w:p>
      <w:pPr>
        <w:spacing w:after="0" w:line="131" w:lineRule="exact"/>
        <w:rPr>
          <w:sz w:val="20"/>
          <w:szCs w:val="20"/>
          <w:color w:val="auto"/>
        </w:rPr>
      </w:pPr>
    </w:p>
    <w:p>
      <w:pPr>
        <w:ind w:left="540" w:hanging="316"/>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reject any tenders determined to be in improper form or unlawful;</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of the conditions of the exchange offer;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waive any condition or irregularity in the tender of old notes by any holder.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waiver to the exchange offer will apply to all old notes tendered.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Resales of New Notes</w:t>
      </w:r>
    </w:p>
    <w:p>
      <w:pPr>
        <w:spacing w:after="0" w:line="121"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 xml:space="preserve">Based on existing SEC interpretations issued to third parties in unrelated transactions, we believe that the new notes will be freely transferable by holders (other than affiliates of us) after the registered exchange offer without further registration under the Securities Act if the holder of the exchange notes is acquiring the new notes in the ordinary course of its business, has no arrangement or understanding with any person to participate in the distribution of the new notes and is not an affiliate of us, as such terms are interpreted by the SEC;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broker-dealers receiving new notes in the exchange offer will have a prospectus delivery requirement with respect to resales of such new notes. While the SEC has not taken a position with respect to this particular transaction, under existing SEC interpretations relating to transactions structured substantially like the exchange offer, participating broker-dealers may fulfill their prospectus delivery requirements with respect to exchange notes (other than a resale of an unsold allotment of the notes) with the prospectus contained in the exchange offer registration statement. We will not seek our own interpretive letter. As a result, we cannot assure you that the staff will take the same position on this exchange offer as it did in interpretive letters to other parties in similar transactions.</w:t>
      </w:r>
    </w:p>
    <w:p>
      <w:pPr>
        <w:spacing w:after="0" w:line="17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By tendering old notes, the holder, other than participating broker-dealers, as defined below, of those old notes will represent to us that, among other things:</w:t>
      </w:r>
    </w:p>
    <w:p>
      <w:pPr>
        <w:spacing w:after="0" w:line="67" w:lineRule="exact"/>
        <w:rPr>
          <w:sz w:val="20"/>
          <w:szCs w:val="20"/>
          <w:color w:val="auto"/>
        </w:rPr>
      </w:pPr>
    </w:p>
    <w:p>
      <w:pPr>
        <w:ind w:left="540" w:right="80" w:hanging="316"/>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acquired in the exchange offer are being obtained in the ordinary course of business of the person receiving the new notes, whether or not that person is the holder;</w:t>
      </w:r>
    </w:p>
    <w:p>
      <w:pPr>
        <w:spacing w:after="0" w:line="67" w:lineRule="exact"/>
        <w:rPr>
          <w:rFonts w:ascii="Times New Roman" w:cs="Times New Roman" w:eastAsia="Times New Roman" w:hAnsi="Times New Roman"/>
          <w:sz w:val="18"/>
          <w:szCs w:val="18"/>
          <w:color w:val="auto"/>
        </w:rPr>
      </w:pPr>
    </w:p>
    <w:p>
      <w:pPr>
        <w:ind w:left="540" w:right="220" w:hanging="316"/>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other person receiving the new notes is engaged in, intends to engage in or has an arrangement or understanding with any person to participate in a “distribution” (as defined under the Securities Act) of the new notes;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other person receiving the new notes is an “affiliate” (as defined under the Securities Act) of us.</w:t>
      </w:r>
    </w:p>
    <w:p>
      <w:pPr>
        <w:spacing w:after="0" w:line="225"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If any holder or any such other person is an “affiliate” of us or is engaged in, intends to engage in or has an arrangement or understanding with any person to participate in a “distribution” of the new notes, such holder or other person:</w:t>
      </w:r>
    </w:p>
    <w:p>
      <w:pPr>
        <w:spacing w:after="0" w:line="67" w:lineRule="exact"/>
        <w:rPr>
          <w:sz w:val="20"/>
          <w:szCs w:val="20"/>
          <w:color w:val="auto"/>
        </w:rPr>
      </w:pPr>
    </w:p>
    <w:p>
      <w:pPr>
        <w:ind w:left="540" w:hanging="316"/>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rely on the applicable interpretations of the staff of the SEC referred to above; and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the registration and prospectus delivery requirements of the Securities Act in connection with any resale transaction.</w:t>
      </w:r>
    </w:p>
    <w:p>
      <w:pPr>
        <w:spacing w:after="0" w:line="225"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Each broker-dealer that receives new notes for its own account in exchange for old notes must represent that the old notes to be exchanged for the new notes were acquired by it as a result of market-making activities or other trading activities and acknowledge that it will deliver a prospectus meeting the requirements of the Securities Act in connection with any offer to resell, resale or other retransfer of the new notes. Any such broker-dealer is referred to</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as a “participating broker-dealer.” However, by so acknowledging and by delivering a prospectus, the participating broker-dealer will not be deemed to admit that it is an “underwriter” (as defined under the Securities Act). If a broker-dealer acquired old notes as a result of market-making or other trading activities, it may use this prospectus, as amended or supplemented, in connection with offers to resell, resales or retransfers of new notes received in exchange for the old notes pursuant to the exchange offer. We have agreed that, starting on the expiration date of the exchange offer and ending on the close of business one year after the expiration date, we will make this prospectus available to any broker-dealer for use in connection with any such resale. See “Plan of Distribution” for a discussion of the exchange and resale obligations of broker-dealers in connection with the exchange offer.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can withdraw tenders of old notes at any time prior to 5:00 p.m., New York City time, on the expiration date.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 withdrawal to be effective, you must deliver a written notice of withdrawal to the exchange agent. The notice of withdrawal must:</w:t>
      </w:r>
    </w:p>
    <w:p>
      <w:pPr>
        <w:spacing w:after="0" w:line="131" w:lineRule="exact"/>
        <w:rPr>
          <w:sz w:val="20"/>
          <w:szCs w:val="20"/>
          <w:color w:val="auto"/>
        </w:rPr>
      </w:pPr>
    </w:p>
    <w:p>
      <w:pPr>
        <w:ind w:left="540" w:hanging="316"/>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person tendering the old notes to be withdrawn;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old notes to be withdrawn, including the total principal amount of old notes to be withdrawn; and</w:t>
      </w:r>
    </w:p>
    <w:p>
      <w:pPr>
        <w:spacing w:after="0" w:line="130" w:lineRule="exact"/>
        <w:rPr>
          <w:rFonts w:ascii="Times New Roman" w:cs="Times New Roman" w:eastAsia="Times New Roman" w:hAnsi="Times New Roman"/>
          <w:sz w:val="18"/>
          <w:szCs w:val="18"/>
          <w:color w:val="auto"/>
        </w:rPr>
      </w:pPr>
    </w:p>
    <w:p>
      <w:pPr>
        <w:ind w:left="540" w:right="80" w:hanging="316"/>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certificates for old notes are transmitted, the name of the registered holder of the old notes if different from the person withdrawing the old notes.</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you delivered or otherwise identified old notes to the exchange agent, you must submit the serial numbers of the old notes to be withdrawn and the signature on the notice of withdrawal must be guaranteed by an eligible institution, except in the case of old notes tendered for the account of an eligible institution. If you tendered old notes as a book-entry transfer, the notice of withdrawal must specify the name and number of the account at DTC to be credited with the withdrawn old notes and you must deliver the notice of withdrawal to the exchange agent and otherwise comply with the procedures of the facility. You may not rescind withdrawals of tender; however, properly withdrawn old notes may again be tendered by following one of the procedures described under “—Procedures for Tendering Old Notes” above at any time prior to 5:00 p.m., New York City time, on the expiration date.</w:t>
      </w:r>
    </w:p>
    <w:p>
      <w:pPr>
        <w:spacing w:after="0" w:line="187"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will determine all questions regarding the form of withdrawal, validity, eligibility, including time of receipt, and acceptance of withdrawal notices. Our determination of these questions as well as our interpretation of the terms and conditions of the exchange offer (including the letter of transmittal) will be final and binding on all parties. Neither us, any of our affiliates or assigns, the exchange agent nor any other person is under any obligation to give notice of any irregularities in any notice of withdrawal, nor will we be liable for failing to give any such notice.</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Withdrawn old notes will be returned to the holder after withdrawal. In the case of old notes tendered by book-entry transfer through DTC, the old notes withdrawn or not exchanged will be credited to an account maintained with DTC. Any old notes which have been tendered for exchange but which are not exchanged for any reason will be returned to the holder thereof without cost to the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 exchange offer, we are not required to accept for exchange, or to issue new notes in exchange for, any old notes, and we may terminate or amend the exchange offer, if at any time prior to 5:00 p.m., New York City time, on the expiration date, we determine that:</w:t>
      </w:r>
    </w:p>
    <w:p>
      <w:pPr>
        <w:spacing w:after="0" w:line="81" w:lineRule="exact"/>
        <w:rPr>
          <w:sz w:val="20"/>
          <w:szCs w:val="20"/>
          <w:color w:val="auto"/>
        </w:rPr>
      </w:pPr>
    </w:p>
    <w:p>
      <w:pPr>
        <w:ind w:left="5540" w:right="1240" w:hanging="5316"/>
        <w:spacing w:after="0" w:line="454" w:lineRule="auto"/>
        <w:tabs>
          <w:tab w:leader="none" w:pos="5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to be received will not be tradable by the holder without restriction under the Securities Act and the Exchange Act; 21</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316"/>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received all applicable governmental approvals;</w:t>
      </w:r>
    </w:p>
    <w:p>
      <w:pPr>
        <w:spacing w:after="0" w:line="130" w:lineRule="exact"/>
        <w:rPr>
          <w:rFonts w:ascii="Times New Roman" w:cs="Times New Roman" w:eastAsia="Times New Roman" w:hAnsi="Times New Roman"/>
          <w:sz w:val="18"/>
          <w:szCs w:val="18"/>
          <w:color w:val="auto"/>
        </w:rPr>
      </w:pPr>
    </w:p>
    <w:p>
      <w:pPr>
        <w:ind w:left="540" w:right="20" w:hanging="316"/>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or the making of any exchange by a holder of old notes, would violate applicable law or any applicable interpretation or policy of the staff of the SEC; or</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has been instituted or threatened in any court or by or before any governmental agency with respect to the exchange offer that would reasonably be expected to impair our ability to proceed with the exchange offer.</w:t>
      </w:r>
    </w:p>
    <w:p>
      <w:pPr>
        <w:spacing w:after="0" w:line="16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foregoing conditions are for our sole benefit, and we may assert them regardless of the circumstances giving rise to any such condition, or we may waive the conditions, completely or partially, whenever or as many times as we choose, in our reasonable discretion. The foregoing rights are not deemed waived because we fail to exercise them, but continue in effect, and we may still assert them whenever or as many times as we choose. However, any such condition, other than any involving government approval, must be satisfied or waived before the expiration of the offer. If we determine that a waiver of conditions materially changes the exchange offer, the prospectus will be amended or supplemented, and the exchange offer extended, if appropriate, as described under “—Terms of the Exchange Offer.”</w:t>
      </w:r>
    </w:p>
    <w:p>
      <w:pPr>
        <w:spacing w:after="0" w:line="187"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at a time when any stop order is threatened or in effect with respect to the registration statement of which this prospectus constitutes a part or with respect to the qualification of the indenture under the Trust Indenture Act of 1939, as amended, we will not accept for exchange any old notes tendered, and no new notes will be issued in exchange for any such old notes.</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If we terminate or suspend the exchange offer based on a determination that the exchange offer violates applicable law or SEC policy, the registration rights agreement requires that we, as promptly as practicable after such determination (but in no event more than 60 days after so required or requested pursuant to the registration rights agreement), file a shelf registration statement covering the resale of the old notes, and thereafter use our reasonable best efforts to cause such shelf registration statement to be declared effective by the SEC within 60 days after the filing thereof. See “—Registration Rights and Additional Interest on the Old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have appointed U.S. Bank Trust Company, National Association (as successor to U.S. Bank National Association) as exchange agent for the exchange offer. You should direct questions and requests for assistance and for additional copies of this prospectus or of the letter of transmittal to the exchange agent by telephone at (800) 934-6802 or the following address: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By Mail, Overnight Courier or Hand:</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 Fillmore Avenue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 Paul, MN 55107-1402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Specialized Finance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Fax: (651) 466-7367</w:t>
      </w:r>
    </w:p>
    <w:p>
      <w:pPr>
        <w:spacing w:after="0" w:line="20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If you deliver letters of transmittal and any other required documents to an address or facsimile number other than those listed above, your tender is invalid.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The registration rights agreement provides that we will bear all expenses in connection with the performance of our obligations relating to the registration of the new notes and the conduct of the exchange offer. These expenses include registration and filing fees, accounting and legal fees and printing costs, among others. We will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old notes and for handling or tendering for such clients.</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have not retained any dealer-manager in connection with the exchange offer and will not pay any fee or commission to any broker, dealer, nominee or other person, other than the exchange agent, for soliciting tenders of old notes pursuant to the exchange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Holders who tender their old notes for exchange will not be obligated to pay any transfer taxes in connection with the exchange. If, however, new notes issued in the exchange offer are to be delivered to, or are to be issued in the name of, any person other than the holder of the old notes tendered, or if a transfer tax is imposed for any reason other than the exchange of old notes in connection with the exchange offer, then the holder must pay any such transfer taxes, whether imposed on the registered holder or on any other person.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new notes will be recorded at the same carrying value as the old notes with the exception of any incremental deferred costs. Accordingly, Crown will not recognize any gain or loss for accounting purposes for the exchange transaction. Crown intends to amortize the expenses of the exchange offer and issuance of the old notes over the term of the new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and Additional Interest on the Old Notes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31" w:lineRule="exact"/>
        <w:rPr>
          <w:sz w:val="20"/>
          <w:szCs w:val="20"/>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interpretations of the staff of the SEC do not permit us to effect the exchange offer contemplated by this prospectus;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this exchange offer is not completed within 360 days from the issue date of the old notes;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20th day following consummation of this exchange offer:</w:t>
      </w:r>
    </w:p>
    <w:p>
      <w:pPr>
        <w:spacing w:after="0" w:line="130"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purchaser so requests with respect to old notes not eligible to be exchanged for new notes in this exchange offer and that are held by it following consummation of this exchange offer;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old notes notifies us that it is not eligible to participate in this exchange offer; or</w:t>
      </w:r>
    </w:p>
    <w:p>
      <w:pPr>
        <w:spacing w:after="0" w:line="130"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purchaser notifies us that it will not or did not receive freely tradable new notes in exchange for old notes constituting any portion of an unsold allotment,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subject to certain conditions, at our cost:</w:t>
      </w:r>
    </w:p>
    <w:p>
      <w:pPr>
        <w:spacing w:after="0" w:line="131" w:lineRule="exact"/>
        <w:rPr>
          <w:sz w:val="20"/>
          <w:szCs w:val="20"/>
          <w:color w:val="auto"/>
        </w:rPr>
      </w:pPr>
    </w:p>
    <w:p>
      <w:pPr>
        <w:ind w:left="540" w:right="56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but no later than the deadline provided for in the registration rights agreement, file a shelf registration statement covering resales of the old notes or the new notes, as the case may be;</w:t>
      </w:r>
    </w:p>
    <w:p>
      <w:pPr>
        <w:spacing w:after="0" w:line="67"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reasonable best efforts to cause the shelf registration statement to be declared effective under the Securities Act no later than the deadline provided for in the registration rights agreement; and</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shelf registration statement effective until the earliest of (1) one year from the effective date of the shelf registration statement and (2) the date on which all notes registered thereunder have been sold in accordance therewith.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31" w:lineRule="exact"/>
        <w:rPr>
          <w:sz w:val="20"/>
          <w:szCs w:val="20"/>
          <w:color w:val="auto"/>
        </w:rPr>
      </w:pPr>
    </w:p>
    <w:p>
      <w:pPr>
        <w:ind w:left="540" w:hanging="316"/>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360 days from the issue date of the old notes, this exchange offer has not been completed; or</w:t>
      </w:r>
    </w:p>
    <w:p>
      <w:pPr>
        <w:spacing w:after="0" w:line="130" w:lineRule="exact"/>
        <w:rPr>
          <w:rFonts w:ascii="Times New Roman" w:cs="Times New Roman" w:eastAsia="Times New Roman" w:hAnsi="Times New Roman"/>
          <w:sz w:val="18"/>
          <w:szCs w:val="18"/>
          <w:color w:val="auto"/>
        </w:rPr>
      </w:pPr>
    </w:p>
    <w:p>
      <w:pPr>
        <w:ind w:left="540" w:right="340" w:hanging="316"/>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shelf registration statement (if required) has not been filed by the deadline provided for in the registration rights agreement or has not been declared effective by the deadline provided for in the registration rights agreement; or</w:t>
      </w:r>
    </w:p>
    <w:p>
      <w:pPr>
        <w:spacing w:after="0" w:line="67" w:lineRule="exact"/>
        <w:rPr>
          <w:rFonts w:ascii="Times New Roman" w:cs="Times New Roman" w:eastAsia="Times New Roman" w:hAnsi="Times New Roman"/>
          <w:sz w:val="18"/>
          <w:szCs w:val="18"/>
          <w:color w:val="auto"/>
        </w:rPr>
      </w:pPr>
    </w:p>
    <w:p>
      <w:pPr>
        <w:ind w:left="540" w:hanging="316"/>
        <w:spacing w:after="0" w:line="266"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shelf registration statement has been declared effective, such registration statement thereafter ceases to be effective at any time prior to the one year anniversary of its effective date before all notes covered by the shelf registration statement have been sold (each such event is referred to as a registration default),</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then additional interest will accrue on the old notes (in addition to the stated interest on the old notes) from and including the date on which any such registration default has occurred to but excluding the date on which all registration defaults have been cured. Additional interest will accrue at a rate of 0.25% per annum during the 90-day period immediately following the occurrence of any registration default and will increase by 0.25% per annum at the end of each subsequent 90-day period, but in no event will such rate exceed 1.00% per annum in the aggregate regardless of the number of registration defaults.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Crown Americas LLC (“Crown Americas” and the “Issuer”) issued the old notes and will issue the new notes (collectively, the “Notes”) under an indenture (the “Indenture”), dated as of May 27, 2025, among the Issuer, the Guarantors (as defined below) and U.S. Bank Trust Company, National Association (as successor to U.S. Bank National Association) as trustee (the “Trustee”).</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purposes of this “Description of the Notes,” references to “Crown Americas” are references to Crown Americas LLC and not any of its Subsidiaries. The definitions of certain other terms used in the following summary are set forth below under “—Certain Definitions.”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terms of the new notes are the same as the terms of the old notes, except that:</w:t>
      </w:r>
    </w:p>
    <w:p>
      <w:pPr>
        <w:spacing w:after="0" w:line="131" w:lineRule="exact"/>
        <w:rPr>
          <w:sz w:val="20"/>
          <w:szCs w:val="20"/>
          <w:color w:val="auto"/>
        </w:rPr>
      </w:pPr>
    </w:p>
    <w:p>
      <w:pPr>
        <w:ind w:left="540" w:hanging="316"/>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be registered under the Securities Act of 1933, as amended;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not bear restrictive legends restricting their transfer under the Securities Act;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new notes are not entitled to certain rights under the registration rights agreement; and</w:t>
      </w:r>
    </w:p>
    <w:p>
      <w:pPr>
        <w:spacing w:after="0" w:line="130"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not contain provisions relating to increased interest rates in connection with the old notes under circumstances related to timing of the exchange offer.</w:t>
      </w:r>
    </w:p>
    <w:p>
      <w:pPr>
        <w:spacing w:after="0" w:line="162"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following is a summary of certain material provisions of the Indenture. This summary is not necessarily complete and is qualified in its entirety by reference to the Indenture, including the definitions therein of certain terms used below. You should read the Indenture because it, and not this summary, will define your rights as a Holder of the Notes. A copy of the Indenture has been filed with the SEC as Exhibit 4.1 of the Registrant’s Current Report on Form 8-K, dated May 28, 2025, and is incorporated by reference as an exhibit to the registration statement of which this prospectus is a part.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the exchange offer contemplated by this prospectus (the “Offering”), the Issuer will issue up to $700 million aggregate principal amount of Notes under the Indenture. The Issuer may issue additional Notes in an unlimited amount (the “Additional Notes”) from time to time under the Indenture. However, no offering of any Additional Notes is being or shall in any manner be deemed to be made by this prospectus. The Notes and any Additional Notes of the same series issued under the same Indenture will be treated as a single class for all purposes under the Indenture.</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Notes will mature on June 1, 2033. Interest on the Notes will accrue at the rate of 5.875% per annum. Interest on the Notes will be payable in cash semi-annually in arrears on June 1 and December 1 of each year, commencing on December 1, 2025, to Holders of record on the immediately preceding May 15 and November 15. Interest on the Notes will accrue from the most recent date to which interest has been paid or, if no interest has been paid, from the issue date of the old notes. Interest will be computed on the basis of a 360-day year comprising twelve 30-day months, and in the case of an incomplete month, the number of days elapsed. The redemption price at final maturity for the Notes will be 100% of their principal amount.</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Principal of and premium, if any, and interest on the Notes will be payable at the office or agency of the Issuer maintained for such purpose in the Borough of Manhattan, The City of New York, the State of New York (the “Paying Agent”) or St. Paul, Minnesota, or such other corporate office of the Trustee that has been designated for such purpose, at the option of the Issuer, payment of interest may be made by check mailed to the Holders of the Notes at their respective addresses set forth in the register of Holders of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Holder has given wire transfer instructions to the Issuer or the Paying Agent at least 15 days prior to the payment date, 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Notes held by such Holder will be made by wire transfer of immediately available funds to the account specified by such Holder. Corporate Trust Office of the Trustee, or its Agent, in the Borough of Manhattan, The City of New York, is designated as such office or agency of the Issuer. The Issuer may change the Paying Agent or registrar without prior notice to the Holders, and Parent or any of the Subsidiaries may act as a Paying Agent or registrar.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issued in denominations of $2,000 and any integral multiple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and Guarantees</w:t>
      </w:r>
    </w:p>
    <w:p>
      <w:pPr>
        <w:spacing w:after="0" w:line="11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The Notes will be the senior obligations of the Issuer,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other existing and future senior obligations of the Issuer, including obligations under other unsubordinated Indebtedness. The Notes will be effectively subordinated to all existing and future obligations of the Issuer that are secured by Liens on any property or assets of the Issuer, to the extent of the value of the collateral securing such obligations, and will rank senior in right of payment to all existing and future obligations of the Issuer that are, by their terms, subordinated in right of payment to the Notes.</w:t>
      </w:r>
    </w:p>
    <w:p>
      <w:pPr>
        <w:spacing w:after="0" w:line="185"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The Issuer’s obligations under the Notes and the Indenture will be unconditionally Guaranteed, jointly and severally, by Parent and each of Parent’s present and future Domestic Subsidiaries (other than the Issuer and the Subsidiaries identified in the following paragraph) that from time to time are obligors under or Guarantee any Credit Facility including, without limitation, the Existing Credit Facility.</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old notes are, and the new notes will be, Guaranteed by Parent and each of Parent’s Domestic Subsidiaries, (other than the Issuer, Crown Americas Capital Corp., Crown Americas Capital Corp. V and Crown Americas Capital Corp. VI). The Notes will not be Guaranteed by any of Parent’s Foreign Subsidiaries.</w:t>
      </w:r>
    </w:p>
    <w:p>
      <w:pPr>
        <w:spacing w:after="0" w:line="17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Each Note Guarantee will be a senior obligation of the respective Guarantor,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other senior obligations of such Guarantor, including obligations under other unsubordinated Indebtedness. Each Note Guarantee will be effectively subordinated to all existing and future obligations of such Guarantor secured by Liens on any property or assets of such Guarantor, to the extent of the value of the collateral securing such obligations, and will rank senior in right of payment to all existing and future obligations of such Guarantor that are, by their terms, subordinated in right of payment to the Note Guarantee of such Guarantor.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will be effectively subordinated to the obligations of non-Guarantor Subsidiaries.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Guarantors will Guarantee the Notes on the terms and conditions set forth in the Indenture.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Note Guarantee of a Guarantor (other than Parent) will be unconditionally released and discharged upon any of the following:</w:t>
      </w:r>
    </w:p>
    <w:p>
      <w:pPr>
        <w:spacing w:after="0" w:line="131" w:lineRule="exact"/>
        <w:rPr>
          <w:sz w:val="20"/>
          <w:szCs w:val="20"/>
          <w:color w:val="auto"/>
        </w:rPr>
      </w:pPr>
    </w:p>
    <w:p>
      <w:pPr>
        <w:ind w:left="540" w:right="220" w:hanging="316"/>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67" w:lineRule="exact"/>
        <w:rPr>
          <w:rFonts w:ascii="Times New Roman" w:cs="Times New Roman" w:eastAsia="Times New Roman" w:hAnsi="Times New Roman"/>
          <w:sz w:val="18"/>
          <w:szCs w:val="18"/>
          <w:color w:val="auto"/>
        </w:rPr>
      </w:pPr>
    </w:p>
    <w:p>
      <w:pPr>
        <w:ind w:left="540" w:right="260" w:hanging="316"/>
        <w:spacing w:after="0" w:line="261"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Guarantor is also released from all of its obligations in respect of Indebtedness under each Credit Facility;</w:t>
      </w:r>
    </w:p>
    <w:p>
      <w:pPr>
        <w:spacing w:after="0" w:line="85" w:lineRule="exact"/>
        <w:rPr>
          <w:rFonts w:ascii="Times New Roman" w:cs="Times New Roman" w:eastAsia="Times New Roman" w:hAnsi="Times New Roman"/>
          <w:sz w:val="18"/>
          <w:szCs w:val="18"/>
          <w:color w:val="auto"/>
        </w:rPr>
      </w:pPr>
    </w:p>
    <w:p>
      <w:pPr>
        <w:ind w:left="540" w:right="240" w:hanging="316"/>
        <w:spacing w:after="0" w:line="266"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all obligations of such Guarantor in respect of Indebtedness under each Credit Facility, except to the extent such Guarantor is otherwise required to provide a Guarantee pursuant to the covenant described under “—Certain Covenants—Additional Note Guarantees”;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60" w:hanging="316"/>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contemporaneous release or discharge of all Guarantees by such Guarantor which would have required such Guarantor to guarantee the Notes pursuant to the covenant described under “—Certain Covenants—Additional Note Guarantees”.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Except as provided under “—Certain Covenants—Merger, Consolidation or Sale of Assets,” a Note Guarantee of Parent may be released and discharged only with the consent of each Holder of Notes to which such Note Guarantee relates.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No such release or discharge of a Note Guarantee of a Guarantor shall be effective against the Trustee or the Holders of Notes to which such Note Guarantee relates (i) if a Default or Event of Default shall have occurred and be continuing under the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the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the Indenture relating to such transactions have been complied with and that such release and discharge is authorized and permitted under the Indenture. At the request of the Issuer, the Trustee shall execute and deliver an instrument evidencing such release.</w:t>
      </w:r>
    </w:p>
    <w:p>
      <w:pPr>
        <w:spacing w:after="0" w:line="188"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By its terms, the Guarantee of each Subsidiary Guarantor will limit the liability of each such Guarantor to the maximum amount it can pay without its Note Guarantee being deemed a fraudulent transfer. See “Risk Factors—Risks Related to the New Notes—The new notes and the new note guarantees may be voidable, subordinated or limited in scope under insolvency, fraudulent transfer, corporate or other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On or after June 1, 2028, the Issuer may redeem the Notes, at its option, in whole at any time or in part from time to time, at the following redemption prices, expressed as percentages of the principal amount thereof, plus accrued and unpaid interest, if any, to but excluding the applicable redemption date, if redeemed during the twelve-month period commencing on June 1 of any year set forth below:</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102.938%</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101.469%</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Prior to June 1, 2028, the Issuer may redeem the Notes, at its option, in whole at any time or in part from time to time, at a redemption price equal to 100% of the principal amount thereof, plus accrued and unpaid interest, if any, to but excluding the applicable redemption date, plus the Make-Whole Premium (a “Make-Whole Redemption”). The Indenture will provide that with respect to any such redemption the Issuer will notify the Trustee of the Make-Whole Premium with respect to the Notes promptly after the calculation and the Trustee will not be responsible for verifying or otherwise for such calculation. Any such redemption or notice may, at the Issuer’s discretion, be subject to one or more conditions precedent.</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Notwithstanding the foregoing, on or prior to June 1, 2028, the Issuer, on one or more occasions, may, at its option, redeem up to 40% in aggregate principal amount of Notes (including Additional Notes) originally issued under the Indenture at a redemption price equal to 105.875% of their principal amount, plus accrued and unpaid interest, if any, to but excluding the applicable redemption date, with the net cash proceeds of one or more Equity Offerings by Parent to the extent that the net cash proceeds thereof are contributed to the common equity capital of Crown Americas or are used to subscribe from Crown Americas’ shares of its Qualified Capital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at least 60% in aggregate principal amount of the Notes (including Additional Notes) originally issued under the Indenture remain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immediately after the occurrence of each such redemption and (2) such redemption occurs within 90 days of the date of the closing of any such Equity Offering.</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such redemption or notice may, at the Issuer’s discretion, be subject to one or more conditions precedent.</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Selection and Notice Regarding Notes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the Notes are not so listed,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(or if the Notes are held through DTC (as defined below) and if the procedures of DTC at such time do not permit</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redemptions,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lot or by such other method consistent with the procedures of DTC that the Trustee in its sole discretion deems fair and reasonable);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Notes with a principal amount of $2,000 or less shall be redeemed in part. Notice of redemption shall be mailed electronically or by first class mail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 new Note in principal amount equal to the unredeemed portion thereof will be issued in the name of the Holder thereof upon cancellation of the original Note. On and after the redemption date, interest will cease to accrue on such Notes or portions thereof called for redemption. Redemption amounts shall only be paid upon presentation and surrender of any such Notes to be redeemed.</w:t>
      </w:r>
    </w:p>
    <w:p>
      <w:pPr>
        <w:spacing w:after="0" w:line="19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Any redemption and notice thereof pursuant to the Indenture may, in the Issuer’s discretion, be subject to the satisfaction of one or more conditions precedent.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Mandatory Redemption</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Except as set forth below under “—Repurchase at the Option of Holders,” the Issuer are not required to make any mandatory redemption or sinking fund payments with respect to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 at the Option of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Repurchase Events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Upon the occurrence of a Change of Control Repurchase Event, each Holder of Notes will have the right to require the Issuer to repurchase all or any part (equal to $2,000 or an integral multiple of $1,000 in excess thereof) of such Holder’s Notes pursuant to the offer described below (the “Change of Control Offer”) at an offer price in cash equal to 101% of their aggregate principal amount, plus accrued and unpaid interest, if any, thereon to but excluding the purchase date (the “Change of Control Payment”). Within 30 days following any Change of Control Repurchase Event or, at the Issuer’s option, prior to the consummation of such Change of Control Repurchase Event but after the public announcement thereof, the Issuer will mail a notice to each Holder describing the transaction or transactions that constitute the Change of Control Repurchase Event and offering to repurchase Notes on the purchase date specified in such notice (which must be no earlier than 30 days nor later than 60 days from the date such notice is mailed, other than as required by law) (the “</w:t>
      </w:r>
      <w:r>
        <w:rPr>
          <w:rFonts w:ascii="Times New Roman" w:cs="Times New Roman" w:eastAsia="Times New Roman" w:hAnsi="Times New Roman"/>
          <w:sz w:val="18"/>
          <w:szCs w:val="18"/>
          <w:i w:val="1"/>
          <w:iCs w:val="1"/>
          <w:color w:val="auto"/>
        </w:rPr>
        <w:t>Change of Control Payment Date</w:t>
      </w:r>
      <w:r>
        <w:rPr>
          <w:rFonts w:ascii="Times New Roman" w:cs="Times New Roman" w:eastAsia="Times New Roman" w:hAnsi="Times New Roman"/>
          <w:sz w:val="18"/>
          <w:szCs w:val="18"/>
          <w:color w:val="auto"/>
        </w:rPr>
        <w:t>”) pursuant to the procedures required by the Indenture and described in such notice. Such obligation will not continue after a discharge of the Issuer or defeasance from their obligations with respect to the Notes. See “—Legal Defeasance and Covenant Defeasance.”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the Change of Control Payment Date, the Issuer will, to the extent lawful:</w:t>
      </w:r>
    </w:p>
    <w:p>
      <w:pPr>
        <w:spacing w:after="0" w:line="131" w:lineRule="exact"/>
        <w:rPr>
          <w:sz w:val="20"/>
          <w:szCs w:val="20"/>
          <w:color w:val="auto"/>
        </w:rPr>
      </w:pPr>
    </w:p>
    <w:p>
      <w:pPr>
        <w:ind w:left="540" w:right="50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(in minimum amounts of $2,000 or an integral multiple of $1,000 in excess thereof) validly tendered and not validly withdrawn pursuant to the Change of Control Offer;</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in U.S. Dollars equal to the Change of Control Payment in respect of all Notes or portions thereof properly tendered; and</w:t>
      </w:r>
    </w:p>
    <w:p>
      <w:pPr>
        <w:spacing w:after="0" w:line="67"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all Notes so accepted together with an officers’ certificate stating the aggregate principal amount of Notes (or portions thereof) being purchased by the Issuer.</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so tendered the Change of Control Payment for such Notes, and the Trustee will promptly authenticate and deliver (or cause to be transferred by book entry) to each Holder of Notes a new Note equal in principal amount to any unpurchased portion of the Notes surrendered, if 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new Note will be in a principal amount of $2,000 or an integral multiple of $1,000 in excess thereof. The Issuer will publicly announce the results of the Change of Control Offer on or as soon as practicable after the Change of Control Payment Date.</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Issuer will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will comply with the applicable securities laws and regulations and will not be deemed to have breached its obligations under this covenant by virtue thereof.</w:t>
      </w:r>
    </w:p>
    <w:p>
      <w:pPr>
        <w:spacing w:after="0" w:line="180"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Except as described above with respect to a Change of Control Repurchase Event, the Indenture will not contain provisions that permit the Holders of the Notes to require that the Issuer repurchase or redeem the Notes in the event of a takeover, recapitalization or similar transaction with respect to Parent or the Issuer.</w:t>
      </w:r>
    </w:p>
    <w:p>
      <w:pPr>
        <w:spacing w:after="0" w:line="176"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Issuer will not be required to make a Change of Control Offer upon a Change of Control Repurchase Event if (1) a third party makes the Change of Control Offer in the manner, at the times and otherwise in compliance with the requirements set forth in the Indenture with respect to a Change of Control Offer made by the Issuer and purchases all Notes validly tendered and not withdrawn under such Change of Control Offer or (2) notice of redemption has been given pursuant to the Indenture as described above under the caption “—Optional Redemption,”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9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Existing Credit Facility and other existing Indebtedness of Parent and its Subsidiaries contain, and their future Indebtedness may contain, prohibitions on the occurrence of certain events that would constitute a Change of Control Repurchase Event or require the repayment or repurchase of such Indebtedness upon a Change of Control Repurchase Event. Moreover, the exercise by the Holders of their right to require the Issuer to repurchase the Notes could cause a default under the Existing Credit Facility and/or such Indebtedness, even if the Change of Control Repurchase Event itself does not. Finally, the Issuer’s ability to pay cash to the Holders of Notes following the occurrence of a Change of Control Repurchase Event may be limited by its then-existing financial resources. There can be no assurance that sufficient funds will be available when necessary to make any required repurchases and there can be no assurance that the Issuer would be able to obtain financing to make such repurchases. The Issuer’s failure to purchase the Notes in connection with a Change of Control Repurchase Event would result in a Default under the Indenture which could, in turn, constitute a default under such other Indebtedness.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existence of a Holder’s right to require the Issuer to make a Change of Control Offer upon a Change of Control Repurchase Event may deter a third party from acquiring Parent or the Issuer in a transaction that constitutes a Change of Control Repurchase Event. The definition of “Change of Control” includes a phrase relating to the transfer of “all or substantially all” of the assets of Parent and its Subsidiaries taken as a whole. Although there is a limited body of case law interpreting the phrase “substantially all,” there is no precise established definition of the phrase under applicable law. Accordingly, the ability of a Holder of Notes to require the Issuer to repurchase its Notes as a result of a transfer of less than all of the assets of Parent and its Subsidiaries taken as a whole to another Person may be uncertain.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 forth below are summaries of certain covenants contained in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Indenture provides that Parent will not, nor will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covenant shall be automatically released and discharged at the same time as the release of the Lien that gave rise to the obligation to secure the Notes under this covenant.</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“Permitted Liens” means</w:t>
      </w:r>
    </w:p>
    <w:p>
      <w:pPr>
        <w:spacing w:after="0" w:line="131" w:lineRule="exact"/>
        <w:rPr>
          <w:sz w:val="20"/>
          <w:szCs w:val="20"/>
          <w:color w:val="auto"/>
        </w:rPr>
      </w:pPr>
    </w:p>
    <w:p>
      <w:pPr>
        <w:ind w:left="540" w:right="20" w:hanging="424"/>
        <w:spacing w:after="0" w:line="258"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“substantial improvement”) of such Principal Property or (b) the placing in operation of such Principal Property after the acquisition or completion of any such construction or substantial improvement;</w:t>
      </w:r>
    </w:p>
    <w:p>
      <w:pPr>
        <w:spacing w:after="0" w:line="88"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(a) the Indebtedness secured by such Lien was not incurred in contemplation of such merger, combination, amalgamation, consolidation, acquisition or transaction in which Person becomes a Subsidiary of Parent and (b) such Lien extends only to the Capital Stock and assets of such Person (and Subsidiaries of such Person) and/or to property other than Principal Property or the Capital Stock or Indebtedness of any Subsidiary of Parent;</w:t>
      </w:r>
    </w:p>
    <w:p>
      <w:pPr>
        <w:spacing w:after="0" w:line="9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favor of Parent and/or one or more of its Subsidiaries;</w:t>
      </w:r>
    </w:p>
    <w:p>
      <w:pPr>
        <w:spacing w:after="0" w:line="130"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81" w:lineRule="exact"/>
        <w:rPr>
          <w:rFonts w:ascii="Times New Roman" w:cs="Times New Roman" w:eastAsia="Times New Roman" w:hAnsi="Times New Roman"/>
          <w:sz w:val="18"/>
          <w:szCs w:val="18"/>
          <w:color w:val="auto"/>
        </w:rPr>
      </w:pPr>
    </w:p>
    <w:p>
      <w:pPr>
        <w:ind w:left="540" w:right="8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the Indenture;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5"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extension, renewal, refinancing, refunding or replacement (or successive extensions, renewals, refinancings, refundings or replacements), in whole or in part, of any Indebtedness secured by Liens referred to in clauses (1) through (6) above or clauses (10) or (12) below or Liens created in connection with any amendment, consent or waiver relating to such Indebtedness, so long as (a) such Lien is limited to (i) all or part of substantially the same property which secured the 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94"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81" w:lineRule="exact"/>
        <w:rPr>
          <w:rFonts w:ascii="Times New Roman" w:cs="Times New Roman" w:eastAsia="Times New Roman" w:hAnsi="Times New Roman"/>
          <w:sz w:val="18"/>
          <w:szCs w:val="18"/>
          <w:color w:val="auto"/>
        </w:rPr>
      </w:pPr>
    </w:p>
    <w:p>
      <w:pPr>
        <w:ind w:left="540" w:right="3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or sales of receivables;</w:t>
      </w:r>
    </w:p>
    <w:p>
      <w:pPr>
        <w:spacing w:after="0" w:line="130" w:lineRule="exact"/>
        <w:rPr>
          <w:rFonts w:ascii="Times New Roman" w:cs="Times New Roman" w:eastAsia="Times New Roman" w:hAnsi="Times New Roman"/>
          <w:sz w:val="18"/>
          <w:szCs w:val="18"/>
          <w:color w:val="auto"/>
        </w:rPr>
      </w:pPr>
    </w:p>
    <w:p>
      <w:pPr>
        <w:ind w:left="540" w:right="20" w:hanging="424"/>
        <w:spacing w:after="0" w:line="254"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application of the proceeds therefrom), taken together with the amount of all Attributable Debt of Parent and its Restricted Subsidiaries at that time outstanding relating to Sale and Leaseback Transactions permitted under the covenant described below under the caption “—Limitation on Sale and Leaseback Transactions,” not to exceed 15% of the Consolidated Net Tangible Assets of Parent measured as of the date any such Indebtedness is incurred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application of the proceeds therefrom and any transaction in connection with which such Indebtedness is being incurred);</w:t>
      </w:r>
    </w:p>
    <w:p>
      <w:pPr>
        <w:spacing w:after="0" w:line="97" w:lineRule="exact"/>
        <w:rPr>
          <w:rFonts w:ascii="Times New Roman" w:cs="Times New Roman" w:eastAsia="Times New Roman" w:hAnsi="Times New Roman"/>
          <w:sz w:val="18"/>
          <w:szCs w:val="18"/>
          <w:color w:val="auto"/>
        </w:rPr>
      </w:pPr>
    </w:p>
    <w:p>
      <w:pPr>
        <w:jc w:val="both"/>
        <w:ind w:left="540" w:right="320" w:hanging="424"/>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81" w:lineRule="exact"/>
        <w:rPr>
          <w:rFonts w:ascii="Times New Roman" w:cs="Times New Roman" w:eastAsia="Times New Roman" w:hAnsi="Times New Roman"/>
          <w:sz w:val="18"/>
          <w:szCs w:val="18"/>
          <w:color w:val="auto"/>
        </w:rPr>
      </w:pPr>
    </w:p>
    <w:p>
      <w:pPr>
        <w:ind w:left="540" w:right="300" w:hanging="424"/>
        <w:spacing w:after="0" w:line="26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reserve or other appropriate provision as shall be required in conformity with GAAP shall have been made therefor;</w:t>
      </w:r>
    </w:p>
    <w:p>
      <w:pPr>
        <w:spacing w:after="0" w:line="81"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92" w:lineRule="exact"/>
        <w:rPr>
          <w:rFonts w:ascii="Times New Roman" w:cs="Times New Roman" w:eastAsia="Times New Roman" w:hAnsi="Times New Roman"/>
          <w:sz w:val="18"/>
          <w:szCs w:val="18"/>
          <w:color w:val="auto"/>
        </w:rPr>
      </w:pPr>
    </w:p>
    <w:p>
      <w:pPr>
        <w:ind w:left="540" w:right="72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form of pledges or deposits securing bids, tenders, contracts (other than contracts for the payment of Indebtedness) or leases, warranties, statutory or regulatory obligations or self-insurance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20"/>
        <w:spacing w:after="0" w:line="282" w:lineRule="auto"/>
        <w:rPr>
          <w:sz w:val="20"/>
          <w:szCs w:val="20"/>
          <w:color w:val="auto"/>
        </w:rPr>
      </w:pPr>
      <w:r>
        <w:rPr>
          <w:rFonts w:ascii="Times New Roman" w:cs="Times New Roman" w:eastAsia="Times New Roman" w:hAnsi="Times New Roman"/>
          <w:sz w:val="18"/>
          <w:szCs w:val="18"/>
          <w:color w:val="auto"/>
        </w:rPr>
        <w:t>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67" w:lineRule="exact"/>
        <w:rPr>
          <w:sz w:val="20"/>
          <w:szCs w:val="20"/>
          <w:color w:val="auto"/>
        </w:rPr>
      </w:pPr>
    </w:p>
    <w:p>
      <w:pPr>
        <w:ind w:left="540" w:right="14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 or securing letters of credit that support such Hedging Obligations; and</w:t>
      </w:r>
    </w:p>
    <w:p>
      <w:pPr>
        <w:spacing w:after="0" w:line="67"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operation of law with respect to any judgments, awards or orders to the extent that such judgments, awards or orders do not cause or constitute a Default under the Indenture.</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Indenture provides that Parent will not, nor will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Times New Roman" w:cs="Times New Roman" w:eastAsia="Times New Roman" w:hAnsi="Times New Roman"/>
          <w:sz w:val="18"/>
          <w:szCs w:val="18"/>
          <w:i w:val="1"/>
          <w:iCs w:val="1"/>
          <w:color w:val="auto"/>
        </w:rPr>
        <w:t>Sale and Leaseback Transaction</w:t>
      </w:r>
      <w:r>
        <w:rPr>
          <w:rFonts w:ascii="Times New Roman" w:cs="Times New Roman" w:eastAsia="Times New Roman" w:hAnsi="Times New Roman"/>
          <w:sz w:val="18"/>
          <w:szCs w:val="18"/>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the following Sale and Leaseback Transactions are not subject to the limitation above and the provisions described in “—Limitation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Liens” above:</w:t>
      </w:r>
    </w:p>
    <w:p>
      <w:pPr>
        <w:spacing w:after="0" w:line="112"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including renewals at the option of the lessee, of not more than three years;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between only Parent and a Restricted Subsidiary of Parent or only between Restricted Subsidiaries of Parent;</w:t>
      </w:r>
    </w:p>
    <w:p>
      <w:pPr>
        <w:spacing w:after="0" w:line="130"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of applying such amount to the retirement of long-term Indebtedness, Parent may deliver Notes to the trustee for cancellation; and</w:t>
      </w:r>
    </w:p>
    <w:p>
      <w:pPr>
        <w:spacing w:after="0" w:line="88"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Indenture provides that (i) neither Parent nor the Issuer will consolidate or merge with or into any other Person or Transfer all or substantially all of the properties or assets of Parent and its Subsidiaries, taken as a whole and (ii) neither Parent nor the Issuer will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85"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consolidation or Transfer involving Parent, Parent is the surviving corporation or the Person formed by or surviving any</w:t>
      </w:r>
    </w:p>
    <w:p>
      <w:pPr>
        <w:spacing w:after="0" w:line="27" w:lineRule="exact"/>
        <w:rPr>
          <w:sz w:val="20"/>
          <w:szCs w:val="20"/>
          <w:color w:val="auto"/>
        </w:rPr>
      </w:pPr>
    </w:p>
    <w:p>
      <w:pPr>
        <w:ind w:left="540" w:right="120" w:hanging="424"/>
        <w:spacing w:after="0" w:line="26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consolidation or merger (if other than Parent) or to which such Transfer has been made is a corporation organized or existing under the laws of the United States, any State thereof or the District of Columbia, and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consolidation or Transfer involving the Issuer, the Issuer is the surviving Person or the Person formed by or surviving any such consolidation or merger (if other than the Issuer) or to which such Transfer has been made is a limited liability company, partnership or corporation organized or existing under the laws of the United States, any State thereof or the District of Columbia;</w:t>
      </w:r>
    </w:p>
    <w:p>
      <w:pPr>
        <w:spacing w:after="0" w:line="81" w:lineRule="exact"/>
        <w:rPr>
          <w:sz w:val="20"/>
          <w:szCs w:val="20"/>
          <w:color w:val="auto"/>
        </w:rPr>
      </w:pPr>
    </w:p>
    <w:p>
      <w:pPr>
        <w:ind w:left="540" w:right="60" w:hanging="424"/>
        <w:spacing w:after="0" w:line="266"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Parent or the Issuer, as the case may be) or the Person to which such Transfer has been made assumes all the obligations of Parent, the Issuer or such Subsidiary under the Notes, the Note Guarantees, the Indenture and the Registration Rights Agreement pursuant to a supplemental indenture or amendment of the relevant documents; and</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foregoing, none of the following shall be permitted:</w:t>
      </w:r>
    </w:p>
    <w:p>
      <w:pPr>
        <w:spacing w:after="0" w:line="131" w:lineRule="exact"/>
        <w:rPr>
          <w:sz w:val="20"/>
          <w:szCs w:val="20"/>
          <w:color w:val="auto"/>
        </w:rPr>
      </w:pPr>
    </w:p>
    <w:p>
      <w:pPr>
        <w:ind w:left="540" w:right="100" w:hanging="316"/>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67" w:lineRule="exact"/>
        <w:rPr>
          <w:rFonts w:ascii="Times New Roman" w:cs="Times New Roman" w:eastAsia="Times New Roman" w:hAnsi="Times New Roman"/>
          <w:sz w:val="18"/>
          <w:szCs w:val="18"/>
          <w:color w:val="auto"/>
        </w:rPr>
      </w:pPr>
    </w:p>
    <w:p>
      <w:pPr>
        <w:ind w:left="540" w:right="100" w:hanging="316"/>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property or assets of Crown and its Subsidiaries, taken as a whole, to Crown, other than any Transfer to a Subsidiary of Crown; and</w:t>
      </w:r>
    </w:p>
    <w:p>
      <w:pPr>
        <w:spacing w:after="0" w:line="67" w:lineRule="exact"/>
        <w:rPr>
          <w:rFonts w:ascii="Times New Roman" w:cs="Times New Roman" w:eastAsia="Times New Roman" w:hAnsi="Times New Roman"/>
          <w:sz w:val="18"/>
          <w:szCs w:val="18"/>
          <w:color w:val="auto"/>
        </w:rPr>
      </w:pPr>
    </w:p>
    <w:p>
      <w:pPr>
        <w:ind w:left="540" w:right="600" w:hanging="316"/>
        <w:spacing w:after="0" w:line="312" w:lineRule="auto"/>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foregoing will not prohibit:</w:t>
      </w:r>
    </w:p>
    <w:p>
      <w:pPr>
        <w:spacing w:after="0" w:line="131" w:lineRule="exact"/>
        <w:rPr>
          <w:sz w:val="20"/>
          <w:szCs w:val="20"/>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the Issuer and a Guarantor other than Crown;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Guarantor and any other Guarantor other than Crown;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Subsidiary (other than the Issuer) that is not a Guarantor and any other Subsidiary other than Crown;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of Parent with or into an affiliate for the purposes of reincorporating Parent in another jurisdiction;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properties or assets of a Guarantor to the Issuer and/or any other Guarantor other than Crown; or</w:t>
      </w:r>
    </w:p>
    <w:p>
      <w:pPr>
        <w:spacing w:after="0" w:line="130" w:lineRule="exact"/>
        <w:rPr>
          <w:rFonts w:ascii="Times New Roman" w:cs="Times New Roman" w:eastAsia="Times New Roman" w:hAnsi="Times New Roman"/>
          <w:sz w:val="18"/>
          <w:szCs w:val="18"/>
          <w:color w:val="auto"/>
        </w:rPr>
      </w:pPr>
    </w:p>
    <w:p>
      <w:pPr>
        <w:ind w:left="540" w:right="660" w:hanging="316"/>
        <w:spacing w:after="0" w:line="282"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properties or assets of a Subsidiary (other than the Issuer) that is not a Guarantor to any other Subsidiary other than Crown;</w:t>
      </w:r>
    </w:p>
    <w:p>
      <w:pPr>
        <w:spacing w:after="0" w:line="162"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involving the Issuer or a Guarantor, if the Issuer or such Guarantor is not the surviving entity of such transaction or the Person to which such Transfer is made, the surviving entity or the Person to which such Transfer is made shall comply with clause (2) above.</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Upon any consolidation, combination or merger of Parent, the Issuer or any other Guarantor, or any Transfer of all or substantially all of the assets of Parent or the Issuer in accordance with the foregoing,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the Indenture, Notes and Note Guarantees with the same effect as if such surviving entity had been named therein as Parent, the Issuer or such Guarantor, as the case may be, and, except in the case of a Transfer to Parent or any of its Subsidiaries, Parent, such Issuer or such Guarantor, as the case may be, will be released from the obligation to pay the principal of and interest on such Notes or in respect of its related Note Guarantee, as the case may be, and all of Parent’s, the Issuer’s or such Guarantor’s, as the case may be, other obligations and covenants under the Notes, the Indenture and its related Note Guarantee, if applicable.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Note Guarantees</w:t>
      </w:r>
    </w:p>
    <w:p>
      <w:pPr>
        <w:spacing w:after="0" w:line="121"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The Indenture provides that if Parent acquires or creates a Domestic Subsidiary after the date of the Indenture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the Indenture, including, without limitation, a supplement or amendment to the Indenture and an Opinion of Counsel as to the enforceability of such Note Guarantee), pursuant to which such Domestic Subsidiary will become a Guarantor.</w:t>
      </w:r>
    </w:p>
    <w:p>
      <w:pPr>
        <w:spacing w:after="0" w:line="18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the date of issuance of the Notes, the Domestic Subsidiaries Crownway Insurance Company, Crown Americas Capital Corp., Crown Americas Capital Corp. V, Crown Americas Capital Corp. VI, Crown Cork and Seal Receivables II LLC, CROWN Packaging Holdings LLC, Crown Receivables III LLC, Signode International Holdings LLC, Signode International Investment LLC, TopFrame LLC will not Guarantee the Notes.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Note Guarantee of any Guarantor will be subject to release and discharge as described under the caption “—Ranking and Guarantees.”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Reports</w:t>
      </w:r>
    </w:p>
    <w:p>
      <w:pPr>
        <w:spacing w:after="0" w:line="119"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The Indenture provides that, whether or not required by the rules and regulations of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so long as any Notes are outstanding thereunder, the Issuer will furnish to the Trustee and Holders the following:</w:t>
      </w:r>
    </w:p>
    <w:p>
      <w:pPr>
        <w:spacing w:after="0" w:line="66" w:lineRule="exact"/>
        <w:rPr>
          <w:sz w:val="20"/>
          <w:szCs w:val="20"/>
          <w:color w:val="auto"/>
        </w:rPr>
      </w:pPr>
    </w:p>
    <w:p>
      <w:pPr>
        <w:ind w:left="540" w:right="20" w:hanging="424"/>
        <w:spacing w:after="0" w:line="261"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financial information of Parent that would be required to be contained in a filing with the SEC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SEC on Form 8-K if Parent were required to file such reports,</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each case, within the time periods specified in the SEC’s rules and regulations. The Issuer may satisfy its obligation to deliver the information and reports referred to in clauses (1) and (2) above by filing the same with the SEC.</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addition, whether or not required by the rules and regulations of the SEC, Parent will file a copy of all such information and reports with the SEC for public availability within the time periods specified in the SEC’s rules and regulations (unless the SEC will not accept such a filing) and make such information available to securities analysts and prospective investors upon request. In addition, the Issuer and the Guarantors will,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Section 314(a) of the Trust Indenture Act of 1939.</w:t>
      </w:r>
    </w:p>
    <w:p>
      <w:pPr>
        <w:spacing w:after="0" w:line="18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Delivery of such reports and information to the Trustee shall be for informational purposes only, and the Trustee’s receipt of them shall not constitute constructive notice of any information contained therein or determinable from information contained therein (including the Issuer’s compliance with any of its covenants under the Indenture as to which the Trustee is entitled to rely exclusively on an Officer’s Certificate).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No director, officer, employee, incorporator or stockholder of Parent or of any Subsidiary of Parent, as such, shall have any liability for any obligations of the Issuer or the Guarantors under the Notes, the Indenture,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Note Guarantees or for any claim based on, in respect of, or by reason of, such obligations or their creation. Each Holder of Notes by accepting a Note waives and releases all such liability. The waiver may not be effective to waive liabilities under the federal securities laws.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provides that each of the following constitutes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with respect to the Notes issued thereunder;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principal or premium, if any, on the Notes issued thereunder at maturity, upon redemption or otherwise;</w:t>
      </w:r>
    </w:p>
    <w:p>
      <w:pPr>
        <w:spacing w:after="0" w:line="130" w:lineRule="exact"/>
        <w:rPr>
          <w:rFonts w:ascii="Times New Roman" w:cs="Times New Roman" w:eastAsia="Times New Roman" w:hAnsi="Times New Roman"/>
          <w:sz w:val="18"/>
          <w:szCs w:val="18"/>
          <w:color w:val="auto"/>
        </w:rPr>
      </w:pPr>
    </w:p>
    <w:p>
      <w:pPr>
        <w:ind w:left="540" w:right="40" w:hanging="424"/>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Subsidiary for 30 days after receipt of notice from the Trustee or Holders of at least 25% in principal amount of the Notes then outstanding under the Indenture to comply with the provisions described under “Repurchase at the Option of Holders—Change of Control Repurchase Events”;</w:t>
      </w:r>
    </w:p>
    <w:p>
      <w:pPr>
        <w:spacing w:after="0" w:line="81"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Subsidiary of Parent for 60 days after receipt of notice from the Trustee or the Holders of at least 25% in principal amount of the Notes then outstanding under the Indenture to comply with any covenant or agreement contained in the Indenture (other than the covenants and agreements specified in clauses (1) through (3) of this paragraph);</w:t>
      </w:r>
    </w:p>
    <w:p>
      <w:pPr>
        <w:spacing w:after="0" w:line="81" w:lineRule="exact"/>
        <w:rPr>
          <w:rFonts w:ascii="Times New Roman" w:cs="Times New Roman" w:eastAsia="Times New Roman" w:hAnsi="Times New Roman"/>
          <w:sz w:val="18"/>
          <w:szCs w:val="18"/>
          <w:color w:val="auto"/>
        </w:rPr>
      </w:pPr>
    </w:p>
    <w:p>
      <w:pPr>
        <w:ind w:left="540" w:right="40" w:hanging="424"/>
        <w:spacing w:after="0" w:line="254"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of the old notes, which default (a) is caused by a failure to pay when due at final stated maturity (giving effect to any grace period related thereto) principal of such Indebtedness (a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 million or more; and, in each case, Parent has received notice specifying the default from the Trustee or Holders of at least 25% of the aggregate principal amount of Notes then outstanding and does not cure the default within 30 days;</w:t>
      </w:r>
    </w:p>
    <w:p>
      <w:pPr>
        <w:spacing w:after="0" w:line="97"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of its Subsidiaries to pay final judgments (net of any amounts covered by insurance and as to which such insurer has not denied responsibility or coverage in writing) aggregating $75.0 million or more, which judgments are not paid, discharged, bonded or stayed within 60 days after their entry;</w:t>
      </w:r>
    </w:p>
    <w:p>
      <w:pPr>
        <w:spacing w:after="0" w:line="81" w:lineRule="exact"/>
        <w:rPr>
          <w:rFonts w:ascii="Times New Roman" w:cs="Times New Roman" w:eastAsia="Times New Roman" w:hAnsi="Times New Roman"/>
          <w:sz w:val="18"/>
          <w:szCs w:val="18"/>
          <w:color w:val="auto"/>
        </w:rPr>
      </w:pPr>
    </w:p>
    <w:p>
      <w:pPr>
        <w:ind w:left="540" w:right="200" w:hanging="424"/>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with respect to Parent, the Issuer or any other Subsidiary of Parent that is a Significant Subsidiary or group of Subsidiaries of Parent that, together, would constitute a Significant Subsidiary; and</w:t>
      </w:r>
    </w:p>
    <w:p>
      <w:pPr>
        <w:spacing w:after="0" w:line="67"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of any Guarantor that is a Significant Subsidiary ceases to be in full force and effect (other than in accordance with the terms of such Note Guarantee and the Indenture) or is declared null and void and unenforceable or found to be invalid or any Guarantor denies its liability under its Note Guarantee (other than by reason of release of a Guarantor from its Note Guarantee in accordance with the terms of the Indenture and such Note Guarantee).</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any Event of Default under the Indenture occurs and is continuing, the Trustee or the Holders of at least 25% in aggregate principal amount of the Notes then outstanding under the Indenture may declare all Notes issued under the Indenture to be due and payable by notice in writing to the Issuer and the Trustee, specifying the respective Event of Default and that it is a “notice of acceleration” and the same shall become immediately due and payable. Notwithstanding the foregoing, in the case of an Event of Default arising under clause (7) above with respect to Parent or the Issuer, all outstanding Notes then outstanding under the Indenture will become due and payable without any declaration, further action or notice. The Holders of any Notes may not enforce the Indenture relating to the Notes or the Notes except as provided in the Indenture. Subject to certain limitations,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Holders of a majority in principal amount of the then outstanding Notes issued under the Indenture may direct the Trustee in its exercise of any trust or power.</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Notes then outstanding under the Indenture, by written notice to the Trustee, may (subject to certain conditions) on behalf of the Holders of all of the Notes issued under the Indenture waive any existing Default or Event of Default and its consequences under the Indenture, except a continuing Default or Event of Default in the payment of interest or premium on, or principal of, such Notes. The Trustee may withhold from the Holders notice of any continuing Default or Event of Default (except a Default or Event of Default relating to the payment of principal or interest) if it determines that withholding notice is in the Holders’ interest.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Issuer is required to deliver to the Trustee annually a certificate regarding compliance with the Indenture, and the Issuer are required, within five</w:t>
      </w:r>
    </w:p>
    <w:p>
      <w:pPr>
        <w:spacing w:after="0" w:line="27" w:lineRule="exact"/>
        <w:rPr>
          <w:sz w:val="20"/>
          <w:szCs w:val="20"/>
          <w:color w:val="auto"/>
        </w:rPr>
      </w:pPr>
    </w:p>
    <w:p>
      <w:pPr>
        <w:ind w:left="120" w:right="660" w:hanging="4"/>
        <w:spacing w:after="0" w:line="260" w:lineRule="auto"/>
        <w:tabs>
          <w:tab w:leader="none" w:pos="3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an executive officer of the Issuer becomes aware of any Default or Event of Default, to deliver to the Trustee a statement specifying such Default or Event of Default.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will be discharged and will, subject to certain surviving provisions, cease to be of further effect as to all Notes issued thereunder when:</w:t>
      </w:r>
    </w:p>
    <w:p>
      <w:pPr>
        <w:spacing w:after="0" w:line="131" w:lineRule="exact"/>
        <w:rPr>
          <w:sz w:val="20"/>
          <w:szCs w:val="20"/>
          <w:color w:val="auto"/>
        </w:rPr>
      </w:pPr>
    </w:p>
    <w:p>
      <w:pPr>
        <w:ind w:left="540" w:right="760" w:hanging="424"/>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 to the Trustee all outstanding Notes issued under the Indenture (other than Notes replaced because of mutilation, loss, destruction or wrongful taking) for cancellation; or</w:t>
      </w:r>
    </w:p>
    <w:p>
      <w:pPr>
        <w:spacing w:after="0" w:line="67"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outstanding under the Indenture (I) have become due and payable, whether at maturity or as a result of the mailing of a notice of redemption as described above,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U.S. dollars, noncallable U.S. government securities, or a combination thereof, sufficient to pay at maturity or upon redemption all Notes outstanding under the Indenture, including interest thereon, and if in either case the Issuer or any Guarantor pays all other sums payable under the Indenture by it.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that such satisfaction and discharge does not result in a default under any agreement or instrument then known to such counsel which binds or affects the Issuer. The Trustee will acknowledge satisfaction and discharge of the Indenture on demand of the Issuer accompanied by an officers’ certificate and an Opinion of Counsel, upon which the Trustee shall have no liability in relying, stating that all conditions precedent to satisfaction and discharge have been satisfied and at the cost and expense of the Issuer.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Issuer may, at its option and at any time, elect to have all of its obligations and the obligations of the Guarantors discharged with respect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outstanding under the Indenture (“Legal Defeasance”), except for:</w:t>
      </w:r>
    </w:p>
    <w:p>
      <w:pPr>
        <w:spacing w:after="0" w:line="112" w:lineRule="exact"/>
        <w:rPr>
          <w:sz w:val="20"/>
          <w:szCs w:val="20"/>
          <w:color w:val="auto"/>
        </w:rPr>
      </w:pPr>
    </w:p>
    <w:p>
      <w:pPr>
        <w:ind w:left="540" w:right="14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the Notes outstanding under the Indenture to receive payments in respect of the principal amount of, premium, if any, and interest on such Notes when such payments are due from the trust referred to below;</w:t>
      </w:r>
    </w:p>
    <w:p>
      <w:pPr>
        <w:spacing w:after="0" w:line="67" w:lineRule="exact"/>
        <w:rPr>
          <w:rFonts w:ascii="Times New Roman" w:cs="Times New Roman" w:eastAsia="Times New Roman" w:hAnsi="Times New Roman"/>
          <w:sz w:val="18"/>
          <w:szCs w:val="18"/>
          <w:color w:val="auto"/>
        </w:rPr>
      </w:pPr>
    </w:p>
    <w:p>
      <w:pPr>
        <w:ind w:left="540" w:right="28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 the Issuer’s obligations in connection therewith;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provisions of the Indenture.</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the Issuer may, at its option and at any time, elect to have all of its obligations and the obligations of the Guarantors released with respect to certain covenants that are described in the Indenture (“Covenant Defeasance”) and thereafter any omission to comply with such obligations shall not constitute a Default or Event of Default under the Indenture. In the event Covenant Defeasance occurs under the Indenture, certain events (not including non-payment, bankruptcy, receivership, rehabilitation and insolvency events) described under the caption “—Events of Default and Remedies” will no longer constitute an Event of Default under the Indenture.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the Indenture:</w:t>
      </w:r>
    </w:p>
    <w:p>
      <w:pPr>
        <w:spacing w:after="0" w:line="131" w:lineRule="exact"/>
        <w:rPr>
          <w:sz w:val="20"/>
          <w:szCs w:val="20"/>
          <w:color w:val="auto"/>
        </w:rPr>
      </w:pPr>
    </w:p>
    <w:p>
      <w:pPr>
        <w:ind w:left="540" w:right="140" w:hanging="424"/>
        <w:spacing w:after="0" w:line="25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of the Notes issued under the Indenture, cash in U.S. dollars, non-callable U.S. government securities, or a combination thereof, in such amounts as will be sufficient, in the opinion of a nationally recognized firm of independent public accountants (such opinion shall be delivered to the Trustee and upon which the Trustee shall have no liability in relying), to pay the principal, premium, if any, and interest on the Notes outstanding under the Indenture on the stated maturity date or on the applicable optional redemption date, as the case may be, and the Issuer must specify whether such Notes are being defeased to maturity or to a particular redemption date;</w:t>
      </w:r>
    </w:p>
    <w:p>
      <w:pPr>
        <w:spacing w:after="0" w:line="92"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in the United States (upon which the Trustee shall have no liability in relying) confirming that (a) the Issuer have received from, or there has been published by, the Internal Revenue Service a ruling or (b) since the date of the Indenture, there has been a change in the applicable federal income tax law, in either case to the effect that, and based thereon such Opinion of Counsel shall confirm that, the Holders of the Notes outstanding under the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92" w:lineRule="exact"/>
        <w:rPr>
          <w:rFonts w:ascii="Times New Roman" w:cs="Times New Roman" w:eastAsia="Times New Roman" w:hAnsi="Times New Roman"/>
          <w:sz w:val="18"/>
          <w:szCs w:val="18"/>
          <w:color w:val="auto"/>
        </w:rPr>
      </w:pPr>
    </w:p>
    <w:p>
      <w:pPr>
        <w:ind w:left="540" w:right="2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shall have delivered to the Trustee an Opinion of Counsel in the United States (upon which the Trustee shall have no liability in relying) confirming that the Holders of the Notes outstanding under the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85" w:lineRule="exact"/>
        <w:rPr>
          <w:rFonts w:ascii="Times New Roman" w:cs="Times New Roman" w:eastAsia="Times New Roman" w:hAnsi="Times New Roman"/>
          <w:sz w:val="18"/>
          <w:szCs w:val="18"/>
          <w:color w:val="auto"/>
        </w:rPr>
      </w:pPr>
    </w:p>
    <w:p>
      <w:pPr>
        <w:ind w:left="540" w:right="400" w:hanging="424"/>
        <w:spacing w:after="0" w:line="266"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81" w:lineRule="exact"/>
        <w:rPr>
          <w:rFonts w:ascii="Times New Roman" w:cs="Times New Roman" w:eastAsia="Times New Roman" w:hAnsi="Times New Roman"/>
          <w:sz w:val="18"/>
          <w:szCs w:val="18"/>
          <w:color w:val="auto"/>
        </w:rPr>
      </w:pPr>
    </w:p>
    <w:p>
      <w:pPr>
        <w:ind w:left="540" w:right="12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the Indenture) to which Parent or any of its Subsidiaries is a party or by which Parent or any of its Subsidiaries is bound;</w:t>
      </w:r>
    </w:p>
    <w:p>
      <w:pPr>
        <w:spacing w:after="0" w:line="67"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any applicable bankruptcy, insolvency, reorganization or similar laws affecting creditors’ rights generally;</w:t>
      </w:r>
    </w:p>
    <w:p>
      <w:pPr>
        <w:spacing w:after="0" w:line="85"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(upon which the Trustee shall have no liability in relying) stating that the deposit was not made by the Issuer with the intent of preferring the Holders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Notes issued under the Indenture over the other creditors of the Issuer with the intent of defeating, hindering, delaying or defrauding creditors of the Issuer or others; and</w:t>
      </w:r>
    </w:p>
    <w:p>
      <w:pPr>
        <w:spacing w:after="0" w:line="67" w:lineRule="exact"/>
        <w:rPr>
          <w:sz w:val="20"/>
          <w:szCs w:val="20"/>
          <w:color w:val="auto"/>
        </w:rPr>
      </w:pPr>
    </w:p>
    <w:p>
      <w:pPr>
        <w:ind w:left="540" w:right="180" w:hanging="424"/>
        <w:spacing w:after="0" w:line="312" w:lineRule="auto"/>
        <w:tabs>
          <w:tab w:leader="none" w:pos="5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A Holder of Notes may transfer or exchange Notes in accordance with the terms of the Indenture. The registrar and Trustee may require a Holder of Notes, among other things, to furnish appropriate endorsements and transfer documents and the Issuer or the Trustee may require a Holder of Notes to pay any taxes and fees required by law or permitted by the Indenture. The Issuer is not required to transfer or exchange any Note selected for redemption. Also, the Issuer is not required to transfer or exchange any Note for a period of fifteen (15) days before a selection of Notes to be redeemed.</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Except to the extent provided in the next three succeeding paragraphs, the Indenture, the Notes governed thereby or any Note Guarantee issued thereunder may be amended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 and any existing default or compliance with any provision of the Indenture, the Notes governed thereby or any Note Guarantee issued thereunder may be waived with the consent of the Holders of at least a majority in principal amount of the then outstanding Notes issued under the Indenture voting as a single class (including, without limitation, consents obtained in connection with a purchase of, tender offer or exchange offer for Notes).</w:t>
      </w:r>
    </w:p>
    <w:p>
      <w:pPr>
        <w:spacing w:after="0" w:line="173"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Except as provided in the immediately succeeding paragraph, without the consent of each Holder of Notes issued under the Indenture affected thereby, however, an amendment or waiver may not (with respect to any Note held by a non-consenting Holder):</w:t>
      </w:r>
    </w:p>
    <w:p>
      <w:pPr>
        <w:spacing w:after="0" w:line="67" w:lineRule="exact"/>
        <w:rPr>
          <w:sz w:val="20"/>
          <w:szCs w:val="20"/>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issued under the Indenture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amount of or change the fixed maturity date of any Notes, or alter the provisions with respect to the redemption of any such Notes other than, except as set forth in clause (7) below, the provisions relating to the covenant described under the caption “—Repurchase at the Option of 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Notes;</w:t>
      </w:r>
    </w:p>
    <w:p>
      <w:pPr>
        <w:spacing w:after="0" w:line="130" w:lineRule="exact"/>
        <w:rPr>
          <w:rFonts w:ascii="Times New Roman" w:cs="Times New Roman" w:eastAsia="Times New Roman" w:hAnsi="Times New Roman"/>
          <w:sz w:val="18"/>
          <w:szCs w:val="18"/>
          <w:color w:val="auto"/>
        </w:rPr>
      </w:pPr>
    </w:p>
    <w:p>
      <w:pPr>
        <w:ind w:left="540" w:right="100" w:hanging="424"/>
        <w:spacing w:after="0" w:line="266"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issued under the Indenture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currency other than that stated in such Note;</w:t>
      </w:r>
    </w:p>
    <w:p>
      <w:pPr>
        <w:spacing w:after="0" w:line="130"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of the Indenture relating to waiver of past Defaults or the rights of Holders of the Notes issued thereunder to receive payments of principal of or interest on the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60" w:hanging="424"/>
        <w:spacing w:after="0" w:line="266"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Issuer’s obligation to purchase Notes arises thereunder, amend, change or modify in any material respect the obligations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81"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Parent, Crown or any other Guarantor that is a Significant Subsidiary from any of its obligations under its Note Guarantee or the Indenture otherwise than in accordance with the terms of the Indenture; or</w:t>
      </w:r>
    </w:p>
    <w:p>
      <w:pPr>
        <w:spacing w:after="0" w:line="67"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change any provision of the Indenture affecting the ranking of the Notes or Note Guarantees issued thereunder in a manner adverse to the Holders of Notes issued thereunder.</w:t>
      </w:r>
    </w:p>
    <w:p>
      <w:pPr>
        <w:spacing w:after="0" w:line="16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 of Notes, the Issuer and the Trustee may amend the Indenture, the Notes governed thereby or the Note Guarantees issued thereunder:</w:t>
      </w:r>
    </w:p>
    <w:p>
      <w:pPr>
        <w:spacing w:after="0" w:line="67" w:lineRule="exact"/>
        <w:rPr>
          <w:sz w:val="20"/>
          <w:szCs w:val="20"/>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130"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any Guarantor’s obligations to the Holders of such Notes in the case of a merger or consolidation or sale of all or substantially all of the Issuer’s or such Guarantor’s assets;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130"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the Indenture, Note Guarantees or the Notes to any provision of this “Description of the Notes” to the extent that such provision in this “Description of the Notes” was intended to be a verbatim recitation of a provision of the Indenture, Note Guarantees or the Notes;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Guarantor or release any Guarantor from its Note Guarantee if such release is in accordance with the terms of the Indenture;</w:t>
      </w:r>
    </w:p>
    <w:p>
      <w:pPr>
        <w:spacing w:after="0" w:line="130" w:lineRule="exact"/>
        <w:rPr>
          <w:rFonts w:ascii="Times New Roman" w:cs="Times New Roman" w:eastAsia="Times New Roman" w:hAnsi="Times New Roman"/>
          <w:sz w:val="18"/>
          <w:szCs w:val="18"/>
          <w:color w:val="auto"/>
        </w:rPr>
      </w:pPr>
    </w:p>
    <w:p>
      <w:pPr>
        <w:ind w:left="540" w:right="280" w:hanging="316"/>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Issuer and the Guarantors for the benefit of the Holders of the Notes or to surrender any right or power conferred upon the Issuer and the Guarantors;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confirm the issuance of Additional Notes;</w:t>
      </w:r>
    </w:p>
    <w:p>
      <w:pPr>
        <w:spacing w:after="0" w:line="130" w:lineRule="exact"/>
        <w:rPr>
          <w:rFonts w:ascii="Times New Roman" w:cs="Times New Roman" w:eastAsia="Times New Roman" w:hAnsi="Times New Roman"/>
          <w:sz w:val="18"/>
          <w:szCs w:val="18"/>
          <w:color w:val="auto"/>
        </w:rPr>
      </w:pPr>
    </w:p>
    <w:p>
      <w:pPr>
        <w:ind w:left="540" w:right="240" w:hanging="316"/>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such Notes or that does not adversely affect the rights under the Indenture of any Holder thereunder in any material respect; or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or waiver. It is sufficient if such consent approves the substance of the proposed amendment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Indenture contains certain limitations on the rights of the Trustee, should the Trustee in its capacity as Trustee become a creditor of the Issuer, to obtain payment of claims in certain cases, or to realize on certain assets received in respect of any such claim as security or otherwise. The Trustee in its individual capacity or any other capacity is permitted to engage in other transactions with the Issuer; however, if the Trustee acquires any conflicting interest as defined under the Trust Indenture Act, it must eliminate such conflict within 90 days, apply to the SEC for permission to continue as Trustee or resign.</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Holders of a majority in principal amount of the then outstanding Notes under the Indenture have the right to direct the time, method and place of conducting any proceeding for exercising any remedy available to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Trustee under the Indenture, subject to certain exceptions. The Indenture provides that in case an Event of Default of which a responsible officer of the Trustee has actual knowledge (as provided in the Indenture) shall occur under the Indenture (which shall not be cured), the Trustee will be required, in the exercise of its power as provided in the Indenture, to use the degree of care of a prudent person under the same circumstances in the conduct of such person’s own affairs. Subject to such provisions, the Trustee will be under no obligation to exercise any of its rights or powers under the Indenture at the request of any Holder of Notes issued thereunder, unless such Holder shall have offered to the Trustee indemnity satisfactory to it against any costs, expenses and liabilities. The Trustee’s fees, expenses and indemnities are included in the amounts guaranteed by the Note Guarantees.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 the old notes and the old note Guarantees are, and the new notes and the new note Guarantees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w:t>
      </w:r>
      <w:r>
        <w:rPr>
          <w:rFonts w:ascii="Times New Roman" w:cs="Times New Roman" w:eastAsia="Times New Roman" w:hAnsi="Times New Roman"/>
          <w:sz w:val="18"/>
          <w:szCs w:val="18"/>
          <w:color w:val="auto"/>
        </w:rPr>
        <w:t>” means to amend, supplement, restate, amend and restate or otherwise modify; and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shall have a correlative meaning.</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Treasury Rate</w:t>
      </w:r>
      <w:r>
        <w:rPr>
          <w:rFonts w:ascii="Times New Roman" w:cs="Times New Roman" w:eastAsia="Times New Roman" w:hAnsi="Times New Roman"/>
          <w:sz w:val="18"/>
          <w:szCs w:val="18"/>
          <w:color w:val="auto"/>
        </w:rPr>
        <w:t xml:space="preserve">” for any Make-Whole Redemption Date means the weekly average rounded to the nearest 1/100th of a percentage point (for the most recently completed week for which such information is available as of the date that is two business days prior to the Make-Whole Redemption Date) of the yield to maturity at the time of computation of United States Treasury securities with a constant maturity (as compiled and published in Federal Reserve Statistical Release H.15 with respect to each applicable day during such week (or, if such Statistical Release is no longer published, any publicly available source of similar market data)) most nearly equal to the period from the Make-Whole Redemption Date to June 1, 2028;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period from the Make-Whole Redemption Date to June 1, 2028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Make-Whole Redemption Date to June 1, 2028 is less than one year, the weekly average yield on actively traded United States Treasury securities adjusted to a constant maturity of one year shall be used.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asset</w:t>
      </w:r>
      <w:r>
        <w:rPr>
          <w:rFonts w:ascii="Times New Roman" w:cs="Times New Roman" w:eastAsia="Times New Roman" w:hAnsi="Times New Roman"/>
          <w:sz w:val="18"/>
          <w:szCs w:val="18"/>
          <w:color w:val="auto"/>
        </w:rPr>
        <w:t>” means any asset or property, whether real, personal or mixed, tangible or intangible.</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with respect to any Person, the board of directors or comparable governing body of such Person.</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30"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30"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33" w:lineRule="exact"/>
        <w:rPr>
          <w:sz w:val="20"/>
          <w:szCs w:val="20"/>
          <w:color w:val="auto"/>
        </w:rPr>
      </w:pPr>
    </w:p>
    <w:p>
      <w:pPr>
        <w:jc w:val="both"/>
        <w:ind w:left="540" w:right="140" w:hanging="424"/>
        <w:spacing w:after="0" w:line="266"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81" w:lineRule="exact"/>
        <w:rPr>
          <w:rFonts w:ascii="Times New Roman" w:cs="Times New Roman" w:eastAsia="Times New Roman" w:hAnsi="Times New Roman"/>
          <w:sz w:val="18"/>
          <w:szCs w:val="18"/>
          <w:color w:val="auto"/>
        </w:rPr>
      </w:pPr>
    </w:p>
    <w:p>
      <w:pPr>
        <w:ind w:left="540" w:right="68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for the liquidation or dissolution of Parent or the Issuer (other than in a transaction that complies with the covenant described under “—Certain Covenants—Merger, Consolidation or Sale of Assets”);</w:t>
      </w:r>
    </w:p>
    <w:p>
      <w:pPr>
        <w:spacing w:after="0" w:line="67" w:lineRule="exact"/>
        <w:rPr>
          <w:rFonts w:ascii="Times New Roman" w:cs="Times New Roman" w:eastAsia="Times New Roman" w:hAnsi="Times New Roman"/>
          <w:sz w:val="18"/>
          <w:szCs w:val="18"/>
          <w:color w:val="auto"/>
        </w:rPr>
      </w:pPr>
    </w:p>
    <w:p>
      <w:pPr>
        <w:ind w:left="540" w:right="80" w:hanging="424"/>
        <w:spacing w:after="0" w:line="270" w:lineRule="auto"/>
        <w:tabs>
          <w:tab w:leader="none" w:pos="5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transaction in which Parent becomes a Wholly Owned Subsidiary of another Person (other than a Person that is an individual) (the “New Parent”)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82" w:lineRule="exact"/>
        <w:rPr>
          <w:rFonts w:ascii="Times New Roman" w:cs="Times New Roman" w:eastAsia="Times New Roman" w:hAnsi="Times New Roman"/>
          <w:sz w:val="17"/>
          <w:szCs w:val="17"/>
          <w:color w:val="auto"/>
        </w:rPr>
      </w:pPr>
    </w:p>
    <w:p>
      <w:pPr>
        <w:ind w:left="540" w:right="10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Parent fails to own, either directly or indirectly through one or more Wholly Owned Subsidiaries, 100% of the issued and outstanding Equity Interests of Crown or Crown Americas.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both a Change of Control and a Ratings Event.</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xml:space="preserve">” means, with respect to any Person for any period, the Consolidated Net Income of such Person and its Subsidiaries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deducted in computing Consolidated Net Income:</w:t>
      </w:r>
    </w:p>
    <w:p>
      <w:pPr>
        <w:spacing w:after="0" w:line="66"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or profits of such Person and its Subsidiaries for such period;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130" w:lineRule="exact"/>
        <w:rPr>
          <w:rFonts w:ascii="Times New Roman" w:cs="Times New Roman" w:eastAsia="Times New Roman" w:hAnsi="Times New Roman"/>
          <w:sz w:val="18"/>
          <w:szCs w:val="18"/>
          <w:color w:val="auto"/>
        </w:rPr>
      </w:pPr>
    </w:p>
    <w:p>
      <w:pPr>
        <w:ind w:left="540" w:right="380" w:hanging="424"/>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non-recurring restructuring charges or expenses of such Person and its Subsidiaries for such period,</w:t>
      </w:r>
    </w:p>
    <w:p>
      <w:pPr>
        <w:spacing w:after="0" w:line="22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78"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Interest Expense</w:t>
      </w:r>
      <w:r>
        <w:rPr>
          <w:rFonts w:ascii="Times New Roman" w:cs="Times New Roman" w:eastAsia="Times New Roman" w:hAnsi="Times New Roman"/>
          <w:sz w:val="18"/>
          <w:szCs w:val="18"/>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80"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xml:space="preserve">” means, with respect to any Person for any period, the aggregate of the net income of such Person and its Subsidiaries for such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66" w:lineRule="exact"/>
        <w:rPr>
          <w:sz w:val="20"/>
          <w:szCs w:val="20"/>
          <w:color w:val="auto"/>
        </w:rPr>
      </w:pPr>
    </w:p>
    <w:p>
      <w:pPr>
        <w:jc w:val="both"/>
        <w:ind w:left="540" w:right="200" w:hanging="424"/>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shall be excluded;</w:t>
      </w:r>
    </w:p>
    <w:p>
      <w:pPr>
        <w:spacing w:after="0" w:line="130"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81"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67" w:lineRule="exact"/>
        <w:rPr>
          <w:rFonts w:ascii="Times New Roman" w:cs="Times New Roman" w:eastAsia="Times New Roman" w:hAnsi="Times New Roman"/>
          <w:sz w:val="18"/>
          <w:szCs w:val="18"/>
          <w:color w:val="auto"/>
        </w:rPr>
      </w:pPr>
    </w:p>
    <w:p>
      <w:pPr>
        <w:ind w:left="540" w:right="36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resulting from an asset disposition by the Person in question or any of its Subsidiaries other than in the ordinary course of business shall be excluded;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losses shall be excluded;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charges, costs and expenses incurred in connection with the Financing Transaction shall be excluded; and</w:t>
      </w:r>
    </w:p>
    <w:p>
      <w:pPr>
        <w:spacing w:after="0" w:line="130"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w:t>
      </w:r>
    </w:p>
    <w:p>
      <w:pPr>
        <w:spacing w:after="0" w:line="1" w:lineRule="exact"/>
        <w:rPr>
          <w:sz w:val="20"/>
          <w:szCs w:val="20"/>
          <w:color w:val="auto"/>
        </w:rPr>
      </w:pPr>
    </w:p>
    <w:p>
      <w:pPr>
        <w:ind w:left="120" w:right="620" w:hanging="4"/>
        <w:spacing w:after="0" w:line="260" w:lineRule="auto"/>
        <w:tabs>
          <w:tab w:leader="none" w:pos="3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7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Secured Indebtedness</w:t>
      </w:r>
      <w:r>
        <w:rPr>
          <w:rFonts w:ascii="Times New Roman" w:cs="Times New Roman" w:eastAsia="Times New Roman" w:hAnsi="Times New Roman"/>
          <w:sz w:val="18"/>
          <w:szCs w:val="18"/>
          <w:color w:val="auto"/>
        </w:rPr>
        <w:t xml:space="preserve">”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total amount of Attributable Debt in respect of Sale and Leaseback Transactions of such Person and its Subsidiaries as of such date.</w:t>
      </w:r>
    </w:p>
    <w:p>
      <w:pPr>
        <w:spacing w:after="0" w:line="183"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Secured Leverage Ratio</w:t>
      </w:r>
      <w:r>
        <w:rPr>
          <w:rFonts w:ascii="Times New Roman" w:cs="Times New Roman" w:eastAsia="Times New Roman" w:hAnsi="Times New Roman"/>
          <w:sz w:val="18"/>
          <w:szCs w:val="18"/>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for purposes of calculating the Consolidated Secured Leverage Ratio:</w:t>
      </w:r>
    </w:p>
    <w:p>
      <w:pPr>
        <w:spacing w:after="0" w:line="131" w:lineRule="exact"/>
        <w:rPr>
          <w:sz w:val="20"/>
          <w:szCs w:val="20"/>
          <w:color w:val="auto"/>
        </w:rPr>
      </w:pPr>
    </w:p>
    <w:p>
      <w:pPr>
        <w:ind w:left="540" w:hanging="424"/>
        <w:spacing w:after="0" w:line="256"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92"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EBITDA attributable to discontinued operations, as determined with GAAP, and operations or businesses disposed of prior to the Calculation Date, will be excluded,</w:t>
      </w:r>
    </w:p>
    <w:p>
      <w:pPr>
        <w:spacing w:after="0" w:line="16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clause (1) or (2) of this paragraph requires that pro forma effect be given to an acquisition, disposition or discontinued 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SEC or any other regulation or policy of the SEC).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the relevant Person who:</w:t>
      </w:r>
    </w:p>
    <w:p>
      <w:pPr>
        <w:spacing w:after="0" w:line="133"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issue date of the old notes; or</w:t>
      </w:r>
    </w:p>
    <w:p>
      <w:pPr>
        <w:spacing w:after="0" w:line="130"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60"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82"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Crown</w:t>
      </w:r>
      <w:r>
        <w:rPr>
          <w:rFonts w:ascii="Times New Roman" w:cs="Times New Roman" w:eastAsia="Times New Roman" w:hAnsi="Times New Roman"/>
          <w:sz w:val="18"/>
          <w:szCs w:val="18"/>
          <w:color w:val="auto"/>
        </w:rPr>
        <w:t>” means Crown Cork &amp; Seal Company, Inc., a Pennsylvania corporation, until a successor replaces such party pursuant to Article Five of the Indenture.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any Capital Stock that, by its terms (or by the terms of any security into which it is convertible or for which it is exchangeable, except to the extent such capital stock is exchangeable into Indebtedness at the option of the issuer thereof and only subject to the terms of any debt instrument to which such issuer is a party), or upon the happening of any event, matures or is mandatorily redeemable, pursuant to a sinking fund obligation or otherwise, or redeemable at the option of the holder thereof, in whole or in part, or convertible or exchangeable into Indebtedness on or prior to the date on which the new notes mature.</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Domestic Subsidiary</w:t>
      </w:r>
      <w:r>
        <w:rPr>
          <w:rFonts w:ascii="Times New Roman" w:cs="Times New Roman" w:eastAsia="Times New Roman" w:hAnsi="Times New Roman"/>
          <w:sz w:val="18"/>
          <w:szCs w:val="18"/>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80" w:lineRule="exact"/>
        <w:rPr>
          <w:sz w:val="20"/>
          <w:szCs w:val="20"/>
          <w:color w:val="auto"/>
        </w:rPr>
      </w:pPr>
    </w:p>
    <w:p>
      <w:pPr>
        <w:ind w:left="120" w:right="7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58"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Offering</w:t>
      </w:r>
      <w:r>
        <w:rPr>
          <w:rFonts w:ascii="Times New Roman" w:cs="Times New Roman" w:eastAsia="Times New Roman" w:hAnsi="Times New Roman"/>
          <w:sz w:val="18"/>
          <w:szCs w:val="18"/>
          <w:color w:val="auto"/>
        </w:rPr>
        <w:t>” means any public or private sale of common stock (other than Disqualified Stock) of Parent (other than public offerings pursuant to Form S-8 or otherwise relating to Equity Interests issuable under any employee benefit plan of Parent).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w:t>
      </w:r>
    </w:p>
    <w:p>
      <w:pPr>
        <w:spacing w:after="0" w:line="22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Existing Credit Facility</w:t>
      </w:r>
      <w:r>
        <w:rPr>
          <w:rFonts w:ascii="Times New Roman" w:cs="Times New Roman" w:eastAsia="Times New Roman" w:hAnsi="Times New Roman"/>
          <w:sz w:val="18"/>
          <w:szCs w:val="18"/>
          <w:color w:val="auto"/>
        </w:rPr>
        <w:t>” means the Amended and Restated Credit Agreement dated as of April 7, 2017, as amended by the First Amendment to the Amended and Restated Credit Agreement dated as of December 28, 2017, as amended by the Incremental Amendment No. 1 to the Amended and Restated Credit Agreement dated as of January 29, 2018, as amended by the Second Amendment to Amended and Restated Credit Agreement, First Amendment to the U.S. Guarantee Agreement and First Amendment to U.S. Indemnity, Subrogation and Contribution Agreement, dated as of March 23, 2018, as amended by the Incremental Amendment No. 2 and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Third Amendment to Amended and Restated Credit Agreement, dated as of December 13, 2019, as amended by the Fourth Amendment to Amended and Restated Credit Agreement, dated as of October 4, 2021, as amended by the Incremental Amendment No. 3 and Fifth Amendment to Amended and Restated Credit Agreement, dated as of August 8, 2022, as amended by the Sixth Amendment to Amended and Restated Credit Agreement, dated as of June 28, 2024, and as amended by the Seventh Amendment to Amended and Restated Credit Agreement, dated as of November 11, 2024, as such agreement may be further amended or refinanced or otherwise modified from time to time,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Transaction</w:t>
      </w:r>
      <w:r>
        <w:rPr>
          <w:rFonts w:ascii="Times New Roman" w:cs="Times New Roman" w:eastAsia="Times New Roman" w:hAnsi="Times New Roman"/>
          <w:sz w:val="18"/>
          <w:szCs w:val="18"/>
          <w:color w:val="auto"/>
        </w:rPr>
        <w:t>” means issuance of the old notes and the application of the net proceeds thereof.</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Subsidiary</w:t>
      </w:r>
      <w:r>
        <w:rPr>
          <w:rFonts w:ascii="Times New Roman" w:cs="Times New Roman" w:eastAsia="Times New Roman" w:hAnsi="Times New Roman"/>
          <w:sz w:val="18"/>
          <w:szCs w:val="18"/>
          <w:color w:val="auto"/>
        </w:rPr>
        <w:t>” means any Subsidiary other than a Domestic Subsidiary.</w:t>
      </w:r>
    </w:p>
    <w:p>
      <w:pPr>
        <w:spacing w:after="0" w:line="225"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 of the old notes.</w:t>
      </w:r>
    </w:p>
    <w:p>
      <w:pPr>
        <w:spacing w:after="0" w:line="180" w:lineRule="exact"/>
        <w:rPr>
          <w:sz w:val="20"/>
          <w:szCs w:val="20"/>
          <w:color w:val="auto"/>
        </w:rPr>
      </w:pPr>
    </w:p>
    <w:p>
      <w:pPr>
        <w:ind w:left="120" w:right="2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Guarantor</w:t>
      </w:r>
      <w:r>
        <w:rPr>
          <w:rFonts w:ascii="Times New Roman" w:cs="Times New Roman" w:eastAsia="Times New Roman" w:hAnsi="Times New Roman"/>
          <w:sz w:val="18"/>
          <w:szCs w:val="18"/>
          <w:color w:val="auto"/>
        </w:rPr>
        <w:t>” means:</w:t>
      </w:r>
    </w:p>
    <w:p>
      <w:pPr>
        <w:spacing w:after="0" w:line="133"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Parent;</w:t>
      </w:r>
    </w:p>
    <w:p>
      <w:pPr>
        <w:spacing w:after="0" w:line="130" w:lineRule="exact"/>
        <w:rPr>
          <w:rFonts w:ascii="Times New Roman" w:cs="Times New Roman" w:eastAsia="Times New Roman" w:hAnsi="Times New Roman"/>
          <w:sz w:val="18"/>
          <w:szCs w:val="18"/>
          <w:color w:val="auto"/>
        </w:rPr>
      </w:pPr>
    </w:p>
    <w:p>
      <w:pPr>
        <w:ind w:left="540" w:right="68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Domestic Subsidiary that executes and delivers a Note Guarantee pursuant to the covenant described under “—Certain Covenants— Additional Note Guarantees”; and</w:t>
      </w:r>
    </w:p>
    <w:p>
      <w:pPr>
        <w:spacing w:after="0" w:line="67" w:lineRule="exact"/>
        <w:rPr>
          <w:rFonts w:ascii="Times New Roman" w:cs="Times New Roman" w:eastAsia="Times New Roman" w:hAnsi="Times New Roman"/>
          <w:sz w:val="18"/>
          <w:szCs w:val="18"/>
          <w:color w:val="auto"/>
        </w:rPr>
      </w:pPr>
    </w:p>
    <w:p>
      <w:pPr>
        <w:ind w:left="540" w:right="460" w:hanging="424"/>
        <w:spacing w:after="0" w:line="28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that otherwise executes and delivers a Note Guarantee, in each case, until such time as such Person is released from its Note Guarantee in accordance with the provisions of the Indenture.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HedgingObligations</w:t>
      </w:r>
      <w:r>
        <w:rPr>
          <w:rFonts w:ascii="Times New Roman" w:cs="Times New Roman" w:eastAsia="Times New Roman" w:hAnsi="Times New Roman"/>
          <w:sz w:val="18"/>
          <w:szCs w:val="18"/>
          <w:color w:val="auto"/>
        </w:rPr>
        <w:t>” means, with respect to any Person, the obligations of such Person under:</w:t>
      </w:r>
    </w:p>
    <w:p>
      <w:pPr>
        <w:spacing w:after="0" w:line="133" w:lineRule="exact"/>
        <w:rPr>
          <w:sz w:val="20"/>
          <w:szCs w:val="20"/>
          <w:color w:val="auto"/>
        </w:rPr>
      </w:pPr>
    </w:p>
    <w:p>
      <w:pPr>
        <w:ind w:left="540" w:right="180" w:hanging="424"/>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protection agreements including, without limitation, interest rate swap agreements, interest rate cap agreements and interest rate collar agreements;</w:t>
      </w:r>
    </w:p>
    <w:p>
      <w:pPr>
        <w:spacing w:after="0" w:line="67" w:lineRule="exact"/>
        <w:rPr>
          <w:rFonts w:ascii="Times New Roman" w:cs="Times New Roman" w:eastAsia="Times New Roman" w:hAnsi="Times New Roman"/>
          <w:sz w:val="18"/>
          <w:szCs w:val="18"/>
          <w:color w:val="auto"/>
        </w:rPr>
      </w:pPr>
    </w:p>
    <w:p>
      <w:pPr>
        <w:ind w:left="540" w:right="760" w:hanging="424"/>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contracts, currency swap agreements or other agreements or arrangements designed to protect such Person against fluctuations in interest rates or foreign exchange rates;</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commodity futures contract, commodity option or other similar arrangement or agreement designed to protect such Person against fluctuations in the prices of commodities;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agreements and arrangements entered into in connection with the agreements and arrangements described in clauses (1), (2) and</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above.</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means the Person in whose name a Note is registered on the Registrar’s books.</w:t>
      </w:r>
    </w:p>
    <w:p>
      <w:pPr>
        <w:spacing w:after="0" w:line="225"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Indebtedness of others secured by a Lien on any Principal Property of the specified Person or any of its 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131" w:lineRule="exact"/>
        <w:rPr>
          <w:sz w:val="20"/>
          <w:szCs w:val="20"/>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that does not require the current payment of interest;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(as determined in good faith by Parent) of such assets at the date of determination;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Indebtedness of the other Person.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avoidance of doubt, a letter of credit or analogous instrument will not constitute Indebtedness until it has been drawn upon.</w:t>
      </w:r>
    </w:p>
    <w:p>
      <w:pPr>
        <w:spacing w:after="0" w:line="223"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a rating of Baa3 or better by Moody’s (or its equivalent under any successor rating categories of Moody’s), a rating of BBB-or better by S&amp;P (or its equivalent under any successor rating categories of S&amp;P) and the equivalent Investment Grade credit rating from any additional Rating Agency or Rating Agencies selected by Parent</w:t>
      </w:r>
    </w:p>
    <w:p>
      <w:pPr>
        <w:spacing w:after="0" w:line="173"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Lien</w:t>
      </w:r>
      <w:r>
        <w:rPr>
          <w:rFonts w:ascii="Times New Roman" w:cs="Times New Roman" w:eastAsia="Times New Roman" w:hAnsi="Times New Roman"/>
          <w:sz w:val="17"/>
          <w:szCs w:val="17"/>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64"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Make-Whole Premium</w:t>
      </w:r>
      <w:r>
        <w:rPr>
          <w:rFonts w:ascii="Times New Roman" w:cs="Times New Roman" w:eastAsia="Times New Roman" w:hAnsi="Times New Roman"/>
          <w:sz w:val="18"/>
          <w:szCs w:val="18"/>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June 1, 2028 and all remaining interest payments to and including June 1, 2028 (but excluding any interest accrued to the Make-Whole Redemption Date), discounted on a semi-annual basis (assuming a 360-day year consisting of twelve 30-day months) from June 1, 2028 to the Make-Whole Redemption Date at a per annum interest rate equal to the Applicable Treasury Rate on such Make-Whole Redemption Date plus 0.50%, over (y) the outstanding principal amount of such Note.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Make-Whole Redemption Date</w:t>
      </w:r>
      <w:r>
        <w:rPr>
          <w:rFonts w:ascii="Times New Roman" w:cs="Times New Roman" w:eastAsia="Times New Roman" w:hAnsi="Times New Roman"/>
          <w:sz w:val="18"/>
          <w:szCs w:val="18"/>
          <w:color w:val="auto"/>
        </w:rPr>
        <w:t>” with respect to a Make-Whole Redemption, means the date such Make Whole Redemption is effectuated.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and its successors.</w:t>
      </w:r>
    </w:p>
    <w:p>
      <w:pPr>
        <w:spacing w:after="0" w:line="225" w:lineRule="exact"/>
        <w:rPr>
          <w:sz w:val="20"/>
          <w:szCs w:val="20"/>
          <w:color w:val="auto"/>
        </w:rPr>
      </w:pPr>
    </w:p>
    <w:p>
      <w:pPr>
        <w:ind w:left="120" w:right="6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means any Guarantee of the obligations of the Issuer under the Indenture and the Notes by any Person in accordance with the provisions of the Indenture.</w:t>
      </w:r>
    </w:p>
    <w:p>
      <w:pPr>
        <w:spacing w:after="0" w:line="158"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 Such counsel may be an employee of or counsel to Parent or any of its Subsidiaries.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Crown Holdings, Inc., a Pennsylvania corporation, until a successor replaces such party pursuant to the Indenture and thereafter the successor.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collectively, the executive officers of Parent on the issue date of the old notes.</w:t>
      </w:r>
    </w:p>
    <w:p>
      <w:pPr>
        <w:spacing w:after="0" w:line="225"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means an individual, partnership, corporation, limited liability company, unincorporated organization, trust or joint venture, or a governmental agency or political subdivision thereof.</w:t>
      </w:r>
    </w:p>
    <w:p>
      <w:pPr>
        <w:spacing w:after="0" w:line="15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 Subsidiary</w:t>
      </w:r>
      <w:r>
        <w:rPr>
          <w:rFonts w:ascii="Times New Roman" w:cs="Times New Roman" w:eastAsia="Times New Roman" w:hAnsi="Times New Roman"/>
          <w:sz w:val="18"/>
          <w:szCs w:val="18"/>
          <w:color w:val="auto"/>
        </w:rPr>
        <w:t>” means any Subsidiary that owns, operates, or leases one or more Principal Properties.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Qualified Capital Stock</w:t>
      </w:r>
      <w:r>
        <w:rPr>
          <w:rFonts w:ascii="Times New Roman" w:cs="Times New Roman" w:eastAsia="Times New Roman" w:hAnsi="Times New Roman"/>
          <w:sz w:val="18"/>
          <w:szCs w:val="18"/>
          <w:color w:val="auto"/>
        </w:rPr>
        <w:t>” means any capital stock that is not Disqualified Stock.</w:t>
      </w:r>
    </w:p>
    <w:p>
      <w:pPr>
        <w:spacing w:after="0" w:line="225" w:lineRule="exact"/>
        <w:rPr>
          <w:sz w:val="20"/>
          <w:szCs w:val="20"/>
          <w:color w:val="auto"/>
        </w:rPr>
      </w:pPr>
    </w:p>
    <w:p>
      <w:pPr>
        <w:ind w:left="120" w:right="2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73"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Date</w:t>
      </w:r>
      <w:r>
        <w:rPr>
          <w:rFonts w:ascii="Times New Roman" w:cs="Times New Roman" w:eastAsia="Times New Roman" w:hAnsi="Times New Roman"/>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5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Ratings Event</w:t>
      </w:r>
      <w:r>
        <w:rPr>
          <w:rFonts w:ascii="Times New Roman" w:cs="Times New Roman" w:eastAsia="Times New Roman" w:hAnsi="Times New Roman"/>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81" w:lineRule="exact"/>
        <w:rPr>
          <w:sz w:val="20"/>
          <w:szCs w:val="20"/>
          <w:color w:val="auto"/>
        </w:rPr>
      </w:pPr>
    </w:p>
    <w:p>
      <w:pPr>
        <w:ind w:left="540" w:right="12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67" w:lineRule="exact"/>
        <w:rPr>
          <w:rFonts w:ascii="Times New Roman" w:cs="Times New Roman" w:eastAsia="Times New Roman" w:hAnsi="Times New Roman"/>
          <w:sz w:val="18"/>
          <w:szCs w:val="18"/>
          <w:color w:val="auto"/>
        </w:rPr>
      </w:pPr>
    </w:p>
    <w:p>
      <w:pPr>
        <w:ind w:left="540" w:right="50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rated below Investment Grade by both Rating Agencies on the Rating Date, the rating of the Notes shall remain rated below Investment Grade by both Rating Agencies.</w:t>
      </w:r>
    </w:p>
    <w:p>
      <w:pPr>
        <w:spacing w:after="0" w:line="160" w:lineRule="exact"/>
        <w:rPr>
          <w:sz w:val="20"/>
          <w:szCs w:val="20"/>
          <w:color w:val="auto"/>
        </w:rPr>
      </w:pPr>
    </w:p>
    <w:p>
      <w:pPr>
        <w:ind w:left="120" w:right="8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means the registration rights agreement, dated as of May 27, 2025, among the Issuer, the Guarantors and the representatives to the initial purchasers party thereto.</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 Subsidiary which is organized under the laws of the United States or any State thereof or the District of Columbia.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w:t>
      </w:r>
      <w:r>
        <w:rPr>
          <w:rFonts w:ascii="Times New Roman" w:cs="Times New Roman" w:eastAsia="Times New Roman" w:hAnsi="Times New Roman"/>
          <w:sz w:val="18"/>
          <w:szCs w:val="18"/>
          <w:color w:val="auto"/>
        </w:rPr>
        <w:t>” means Standard &amp; Poor’s Ratings Services, a division of the McGraw Hill Corporation, Inc., and its successors.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w:t>
      </w:r>
    </w:p>
    <w:p>
      <w:pPr>
        <w:spacing w:after="0" w:line="225" w:lineRule="exact"/>
        <w:rPr>
          <w:sz w:val="20"/>
          <w:szCs w:val="20"/>
          <w:color w:val="auto"/>
        </w:rPr>
      </w:pPr>
    </w:p>
    <w:p>
      <w:pPr>
        <w:ind w:left="120" w:right="88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promulgated pursuant to the Securities Act, as such Regulation is in effect on the issue date of the old notes.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33" w:lineRule="exact"/>
        <w:rPr>
          <w:sz w:val="20"/>
          <w:szCs w:val="20"/>
          <w:color w:val="auto"/>
        </w:rPr>
      </w:pPr>
    </w:p>
    <w:p>
      <w:pPr>
        <w:ind w:left="540" w:right="30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67"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 (b) the only general partners of which are such Person or one or more Subsidiaries of such Person (or any combination thereof).</w:t>
      </w:r>
    </w:p>
    <w:p>
      <w:pPr>
        <w:spacing w:after="0" w:line="160" w:lineRule="exact"/>
        <w:rPr>
          <w:sz w:val="20"/>
          <w:szCs w:val="20"/>
          <w:color w:val="auto"/>
        </w:rPr>
      </w:pPr>
    </w:p>
    <w:p>
      <w:pPr>
        <w:jc w:val="both"/>
        <w:ind w:left="120" w:right="2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73" w:lineRule="exact"/>
        <w:rPr>
          <w:sz w:val="20"/>
          <w:szCs w:val="20"/>
          <w:color w:val="auto"/>
        </w:rPr>
      </w:pPr>
    </w:p>
    <w:p>
      <w:pPr>
        <w:ind w:left="120" w:right="4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73" w:lineRule="exact"/>
        <w:rPr>
          <w:sz w:val="20"/>
          <w:szCs w:val="20"/>
          <w:color w:val="auto"/>
        </w:rPr>
      </w:pPr>
    </w:p>
    <w:p>
      <w:pPr>
        <w:jc w:val="both"/>
        <w:ind w:left="120" w:right="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Wholly Owned Subsidiary</w:t>
      </w:r>
      <w:r>
        <w:rPr>
          <w:rFonts w:ascii="Times New Roman" w:cs="Times New Roman" w:eastAsia="Times New Roman" w:hAnsi="Times New Roman"/>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Bankruptcy and Fraudulent Transfer Limitations</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Fraudulent transfer, insolvency and administrative laws may void, subordinate or limit the Notes and Note Guarantees and may otherwise limit your ability to enforce your rights under the Notes and the Note Guarantees.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Under U.S. federal bankruptcy laws or comparable provisions of state fraudulent transfer laws, the issuance of the Guarantees by Parent and the Guarantors could be voided, or claims in respect of such obligations could be subordinated to all of their other debts and other liabilities, if, among other things, at the time Parent and/or the Guarantors issued the related Guarantees, or potentially the Guarantees of the old notes, Parent or the applicable Guarantor intended to hinder, delay or defraud any present or future creditor; or received less than reasonably equivalent value or fair consideration for the incurrence of such indebtedness and either:</w:t>
      </w:r>
    </w:p>
    <w:p>
      <w:pPr>
        <w:spacing w:after="0" w:line="89" w:lineRule="exact"/>
        <w:rPr>
          <w:sz w:val="20"/>
          <w:szCs w:val="20"/>
          <w:color w:val="auto"/>
        </w:rPr>
      </w:pPr>
    </w:p>
    <w:p>
      <w:pPr>
        <w:ind w:left="540" w:hanging="316"/>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insolvent or rendered insolvent by reason of such incurrence;</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engaged in a business or transaction for which Parent’s or such Guarantor’s remaining assets constituted unreasonably small capital;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measures of insolvency for purposes of the foregoing considerations will vary depending upon the law applied in any proceeding with respect to the foregoing. Generally, however, Parent or a Guarantor would be considered insolvent if:</w:t>
      </w:r>
    </w:p>
    <w:p>
      <w:pPr>
        <w:spacing w:after="0" w:line="67" w:lineRule="exact"/>
        <w:rPr>
          <w:sz w:val="20"/>
          <w:szCs w:val="20"/>
          <w:color w:val="auto"/>
        </w:rPr>
      </w:pPr>
    </w:p>
    <w:p>
      <w:pPr>
        <w:ind w:left="540" w:hanging="316"/>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was greater than the saleable value of all of its assets;</w:t>
      </w:r>
    </w:p>
    <w:p>
      <w:pPr>
        <w:spacing w:after="0" w:line="130" w:lineRule="exact"/>
        <w:rPr>
          <w:rFonts w:ascii="Times New Roman" w:cs="Times New Roman" w:eastAsia="Times New Roman" w:hAnsi="Times New Roman"/>
          <w:sz w:val="18"/>
          <w:szCs w:val="18"/>
          <w:color w:val="auto"/>
        </w:rPr>
      </w:pPr>
    </w:p>
    <w:p>
      <w:pPr>
        <w:ind w:left="540" w:right="400" w:hanging="316"/>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saleable value of its assets was less than the amount that would be required to pay its probable liabilities on its existing debts, including contingent liabilities, as they become absolute and mature; or</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become due.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By its terms, the Guarantee of each Guarantor will limit the liability of each such Guarantor to the maximum amount it can pay without the Guarantee being deemed a fraudulent transfer. Parent believes that immediately after the issuance of the Notes by the Issuer and the issuance of the Guarantees by the Guarantors, Parent and each of the Guarantors will be solvent, will have sufficient capital to carry on its respective business and will be able to pay its respective debts as they mature. However, a court may not apply these standards in making its determinations and a court may not reach the same conclusions with regard to these issues. In an evidentiary ruling in In re W.R. Grace &amp; Co., the federal bankruptcy court for the District of Delaware held that under the Uniform Fraudulent Transfer Act, whether a transferor is insolvent or is rendered insolvent depends on the actual liabilities of the transferor, and not what the transferor knows about such liabilities at the time of the transfer. Therefore, under that court’s analysis, liabilities that are unknown, or that are known to exist but whose magnitude is not fully appreciated at the time of the transfer, may be taken into account in the context of a future determination of insolvency. If the principle articulated by that court is upheld, it would make it very difficult to know whether a transferor is solvent at the time of transfer, and would increase the risk that a transfer may in the future be found to be a fraudulent conveyance.</w:t>
      </w:r>
    </w:p>
    <w:p>
      <w:pPr>
        <w:spacing w:after="0" w:line="19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 bankruptcy proceeding were to be commenced under the federal bankruptcy laws by or against Parent or any other Guarantor, it is likely that delays will occur in any payment upon acceleration of the Notes and in enforcing remedies under the applicable Indenture, because of specific provisions of such laws or by a court applying general principles of equity. Provisions under federal bankruptcy laws or general principles of equity that could result in the impairment of your rights include, but are not limited to:</w:t>
      </w:r>
    </w:p>
    <w:p>
      <w:pPr>
        <w:spacing w:after="0" w:line="85" w:lineRule="exact"/>
        <w:rPr>
          <w:sz w:val="20"/>
          <w:szCs w:val="20"/>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automatic stay;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preferential transfers by a trustee or debtor-in-possession;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substantive consolidation;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collectibility of unmatured interest or attorney fees;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conveyance; and</w:t>
      </w:r>
    </w:p>
    <w:p>
      <w:pPr>
        <w:spacing w:after="0" w:line="130" w:lineRule="exact"/>
        <w:rPr>
          <w:rFonts w:ascii="Times New Roman" w:cs="Times New Roman" w:eastAsia="Times New Roman" w:hAnsi="Times New Roman"/>
          <w:sz w:val="18"/>
          <w:szCs w:val="18"/>
          <w:color w:val="auto"/>
        </w:rPr>
      </w:pPr>
    </w:p>
    <w:p>
      <w:pPr>
        <w:ind w:left="540" w:right="260" w:hanging="316"/>
        <w:spacing w:after="0" w:line="282"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forced restructuring of the Notes, including reduction of principal amounts and interest rates and extension of maturity dates, over the holders’ objections.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certificates representing the old notes have been, and in the case of the new notes will be issued, in fully registered form without interest coupons and represented by one or more global notes in fully registered form without interest coupons (each, a “Global Note”) deposited with the Trustee as a custodian for The Depositary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and registered in the name of a nominee DTC.</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Old notes sold in reliance on Rule 144A promulgated under the Securities Act (“Rule 144A”) were initially represented by permanent global notes in fully registered form without interest coupons (each, a “Restricted Global Note”) and were deposited with the Trustee as a custodian for DTC and registered in the name of a nominee of such depositary.</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Old notes sold in offshore transactions in reliance on Regulation S under the Securities Act were initially represented by temporary global notes in fully registered form without interest coupons (each, a “Temporary Regulation S Global Note”) and were deposited with the Trustee as custodian for DTC, as depositary, and registered in the name of a nominee of such depositary. Each Temporary Regulation S Global Note was exchangeable for a single permanent global note after the expiration of the “distribution compliance period” (as defined in Regulation S) and the certification required by Regulation S. Prior to such time, a beneficial interest in the Temporary Regulation S Global Note was transferable in the form of an interest in the Restricted Global Note only upon receipt by the Trustee of a written certification from the transferor to the effect that such transfer is being made to a person whom the transferor reasonably believes is a “qualified institutional buyer” (as defined in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60"/>
          </w:cols>
          <w:pgMar w:left="320" w:top="455"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Rule 144A) (“QIB”) in a transaction meeting the requirements of Rule 144A. Beneficial interests in a Restricted Global Note were transferable in the form of an interest in a Regulation S Global Note whether before, on or after such time, only upon receipt by the Trustee of a written certification to the effect that such transfer is being made in accordance with Regulation S.</w:t>
      </w:r>
    </w:p>
    <w:p>
      <w:pPr>
        <w:spacing w:after="0" w:line="17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Any beneficial interest in a Regulation S Global Note or a Restricted Global Note (each a, “Transferrable Note”) that was transferred in the form of an interest in a Restricted Global Note or a Regulation S Global Note, as applicable, upon transfer, ceased to be an interest in the type of Transferrable Note previously held and became an interest in the other type of Transferrable Note and, accordingly, thereafter became subject to all transfer restrictions, if any, and other procedures applicable to beneficial interests in such other type of Transferrable Note for as long as it remained such an interest.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Global Notes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expect that pursuant to procedures established by DTC (i) upon the issuance of the Global Notes, DTC or its custodian will credit, on its internal system, the principal amount at maturity of the individual beneficial interests represented by such Global Notes to the respective accounts of persons who have accounts with such depositary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Such accounts initially will be designated by or on behalf of the initial purchasers and ownership of beneficial interests in the Global Notes will be limited to persons who have accounts with DTC (“participants”) or persons who hold interests through participants. Holders may hold their interests in the Global Notes directly through DTC if they are participants in such system, or indirectly through organizations which are participants in such system.</w:t>
      </w:r>
    </w:p>
    <w:p>
      <w:pPr>
        <w:spacing w:after="0" w:line="19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So long as DTC, or its nominee, is the registered owner or holder of the new notes, DTC or such nominee, as the case may be, will be considered the sole owner or holder of the new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new notes.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Payments of the principal of, premium (if any) and interest on, the Global Notes will be made to DTC or its nominee, as the case may be, as the registered owner thereof. None of the Issuer,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Issuer expects that DTC or its nominee, upon receipt of any payment of principal, premium, if any, or interest on the Global Notes, will credit participants’ accounts with payments in amounts proportionate to their respective beneficial interests in the principal amount of the Global Notes as shown on the records of DTC or its nominee. The Issuer also expects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83" w:lineRule="exact"/>
        <w:rPr>
          <w:sz w:val="20"/>
          <w:szCs w:val="20"/>
          <w:color w:val="auto"/>
        </w:rPr>
      </w:pPr>
    </w:p>
    <w:p>
      <w:pPr>
        <w:jc w:val="both"/>
        <w:ind w:left="120" w:right="22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DTC will be effected in the ordinary way through DTC’s same-day funds system in accordance with DTC rules and will be settled in same day funds. If a holder requires physical delivery of a Certificated Security for any reason, including to sell notes to persons in states which require physical delivery of the notes, or to pledge such securities, such holder must transfer its interest in a Global Note, in accordance with the normal procedures of DTC and with the procedures set forth in the Indenture.</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DTC has advised the Issuer that it will take any action permitted to be taken by a holder of Notes (including the presentation of Notes for exchange as described below) only at the direction of one or more participants to whose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account the DTC interests in the Global Notes are credited and only in respect of such portion of the aggregate principal amount of Notes as to which such participant or participants has or have given such direction. However, if there shall have occurred and be continuing an Event of Default with respect to the Global Notes, DTC will exchange the Global Notes for Certificated Securities, which it will distribute to its participants.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DTC has advised the Issuer as follows: DTC is a limited purpose trust company organized under the laws of the State of New York, a member of the Federal 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Participants include securities brokers and dealers, banks, trust companies and clearing corporations and certain other organizations. Indirect access to the DTC system is available to others such as banks, brokers, dealers and trust companies that clear through or maintain a custodial relationship with a participant, either directly or indirectly (“</w:t>
      </w:r>
      <w:r>
        <w:rPr>
          <w:rFonts w:ascii="Times New Roman" w:cs="Times New Roman" w:eastAsia="Times New Roman" w:hAnsi="Times New Roman"/>
          <w:sz w:val="18"/>
          <w:szCs w:val="18"/>
          <w:i w:val="1"/>
          <w:iCs w:val="1"/>
          <w:color w:val="auto"/>
        </w:rPr>
        <w:t>indirect participants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Although DTC has agreed to the foregoing procedures in order to facilitate transfers of interests in the Global Notes among participants of DTC, it is under no obligation to perform such procedures, and such procedures may be discontinued at any time. Neither the Issuer nor the Trustee will have any responsibility for the performance by DTC or its participants or indirect participants of their respective obligations under the rules and procedures governing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Securities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Certificated Securities shall be issued in exchange for beneficial interests in the Global Notes (i) if requested by a holder of such interests or (ii) if DTC is at any time unwilling or unable to continue as a depositary for the Global Notes and a successor depositary is not appointed by the Issuer within 90 days.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This section describes certain U.S. federal income tax consequences of exchanging the old notes for the new notes pursuant to this exchange offer, and of owning and disposing of the new notes. It applies to you only if you acquire new notes in this exchange offer and you hold the new notes as capital assets (generally, held for investment) for U.S. federal income tax purposes. This section does not apply to you if you are a member of a class of holders subject to special rules, including, but not limited to:</w:t>
      </w:r>
    </w:p>
    <w:p>
      <w:pPr>
        <w:spacing w:after="0" w:line="85" w:lineRule="exact"/>
        <w:rPr>
          <w:sz w:val="20"/>
          <w:szCs w:val="20"/>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currencies,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to use a mark-to-market method of accounting for your securities holdings,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other financial institution,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 or real estate investment trust,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life insurance company,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or an entity or arrangement treated as a partnership for U.S. federal income tax purposes (and investors therein),</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former citizen or long-term resident of the United States,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new notes that are a hedge or that are hedged against interest rate risks,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owns new notes as part of a straddle or conversion transaction for U.S. federal income tax purposes,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the alternative minimum tax,</w:t>
      </w:r>
    </w:p>
    <w:p>
      <w:pPr>
        <w:spacing w:after="0" w:line="130" w:lineRule="exact"/>
        <w:rPr>
          <w:rFonts w:ascii="Times New Roman" w:cs="Times New Roman" w:eastAsia="Times New Roman" w:hAnsi="Times New Roman"/>
          <w:sz w:val="18"/>
          <w:szCs w:val="18"/>
          <w:color w:val="auto"/>
        </w:rPr>
      </w:pPr>
    </w:p>
    <w:p>
      <w:pPr>
        <w:ind w:left="540" w:right="260" w:hanging="316"/>
        <w:spacing w:after="0" w:line="282"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the notes as a result of such income being taken into account on an applicable financial statement,</w:t>
      </w:r>
    </w:p>
    <w:p>
      <w:pPr>
        <w:spacing w:after="0" w:line="67" w:lineRule="exact"/>
        <w:rPr>
          <w:rFonts w:ascii="Times New Roman" w:cs="Times New Roman" w:eastAsia="Times New Roman" w:hAnsi="Times New Roman"/>
          <w:sz w:val="18"/>
          <w:szCs w:val="18"/>
          <w:color w:val="auto"/>
        </w:rPr>
      </w:pPr>
    </w:p>
    <w:p>
      <w:pPr>
        <w:ind w:left="540" w:right="500" w:hanging="316"/>
        <w:spacing w:after="0" w:line="282"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that holds notes through a non-U.S. broker or other non-U.S. intermediary, or</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for tax purposes is not the U.S. dollar.</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color w:val="auto"/>
        </w:rPr>
        <w:t>YOU SHOULD CONSULT YOUR TAX ADVISOR AS TO THE PARTICULAR TAX CONSEQUENCES TO YOU ARISING FROM THE EXCHANGE OF OLD NOTES FOR NEW NOTES PURSUANT TO THIS EXCHANGE OFFER AND THE OWNERSHIP AND DISPOSITION OF NEW NOTES, INCLUDING THE APPLICABILITY OF ANY U.S. FEDERAL ESTATE OR GIFT TAX LAWS, ANY U.S. STATE, LOCAL OR NON-U.S. TAX LAWS AND ANY PROPOSED CHANGES IN APPLICABLE TAX LAWS.</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section (i) does not address U.S. federal tax consequences other than income tax consequences, such as estate and gift tax consequences and alternative minimum tax consequences, (ii) does not cover all tax considerations that may be relevant to a holder in light of such holder’s personal circumstances, and (iii) does not address any state, local or non-U.S. tax consequences.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This section is based on the U.S. Internal Revenue Code of 1986, as amended (the “Internal Revenue Code”), its legislative history, existing and proposed regulations under the U.S. Internal Revenue Code (“U.S. Treasury Regulations”), published rulings and court decisions, all as currently in effect, all of which are subject to change, or differing interpretations, possibly on a retroactive basis. Crown Americas is not seeking a ruling from the U.S. Internal Revenue Service (the “IRS”) regarding the tax consequences of the ownership, or exchange of the new</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Accordingly, there can be no assurance that the IRS will not successfully challenge one or more of the conclusions stated herein.</w:t>
      </w:r>
    </w:p>
    <w:p>
      <w:pPr>
        <w:spacing w:after="0" w:line="20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If an entity or arrangement taxable as a partnership for U.S. federal income tax purposes holds the new notes, the tax treatment of a partner in the partnership generally will depend on the status of the particular partner and the activities of the partnership. Partners of entities or arrangements treated as partnerships for U.S. federal income tax purposes considering an investment in the new notes should consult their tax advisors as to the specific tax consequences to them of holding the new notes indirectly through ownership of their partnership interests.</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Holders that use an accrual method of accounting for U.S. federal income tax purposes generally are required to include certain amounts in income no later than the time such amounts are reflected on certain applicable financial statements. The application of this rule may require the accrual of income earlier than would be the case under the general U.S. federal income tax rules described below. Holders that use an accrual method of accounting for U.S. federal income tax purposes should consult with their tax advisors regarding the potential applicability of this rule to their particular situation. The remainder of this discussion does not address the application of the foregoing rule.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Subject to Certain Contingencies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certain circumstances, Crown Americas may be obligated to pay holders amounts in excess of the stated interest and principal payable on the new notes or in advance of their scheduled payment dates. The obligation to make such payments may implicate the provisions of U.S. Treasury Regulations relating to “contingent payment debt instruments.” If the new notes were deemed to be contingent payment debt instruments, holders might, among other things, be required to treat any gain recognized on the sale or other disposition of a new note as ordinary income rather than as capital gain, and the timing and amount of income inclusion may be different from the consequences discussed herein. Crown Americas intends to take the position that the likelihood that such payments will be made is remote and/or that such payments will be incidental in the aggregate, and therefore the new notes are not subject to the rules governing contingent payment debt instruments.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determination will be binding on a holder unless such holder explicitly discloses on a statement attached to such holder’s timely filed U.S. federal income tax return for the taxable year that includes the acquisition date of the new note that such holder’s determination is different. It is possible, however, that the IRS may take a contrary position from that described above, in which case the U.S. federal income tax consequences to a holder could differ materially and adversely from those described below. The remainder of this disclosure assumes that the new notes will not be treated as contingent payment debt instruments.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Offer</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Whether you are a U.S. holder or a non-U.S. holder (each as defined below), exchanging an old note for a new note will not be treated as a taxable exchange for U.S. federal income tax purposes. Consequently, you will not recognize gain or loss upon receipt of a new note. Your holding period for a new note will include the holding period for the old note and your initial basis in the new note will be the same as your adjusted basis in the old note.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This subsection describes certain U.S. federal income tax consequences to a U.S. holder. You are a U.S. holder if you are a beneficial owner of a new note and you are for U.S. federal income tax purposes:</w:t>
      </w:r>
    </w:p>
    <w:p>
      <w:pPr>
        <w:spacing w:after="0" w:line="67" w:lineRule="exact"/>
        <w:rPr>
          <w:sz w:val="20"/>
          <w:szCs w:val="20"/>
          <w:color w:val="auto"/>
        </w:rPr>
      </w:pPr>
    </w:p>
    <w:p>
      <w:pPr>
        <w:ind w:left="540" w:hanging="316"/>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316"/>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U.S. federal income tax purposes) created or organized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540" w:hanging="316"/>
        <w:spacing w:after="0" w:line="266"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(x) a U.S. court can exercise primary supervision over the trust’s administration and one or more United States persons (as defined under the Internal Revenue Code) are authorized to control all substantial decisions of the trust or (y) it has a valid election in effect under the applicable U.S. Treasury Regulations to be treated as a United States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Stated Interest</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You generally will be taxed on payments of stated interest on your new note as ordinary income at the time you receive the interest or when it accrues, depending on your regular method of accounting for U.S. federal income tax purposes.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Redemption, Retirement or Other Taxable Disposition of the Notes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Your adjusted tax basis in a new note generally will be the same as your adjusted basis in the old note exchanged therefor. You will generally recognize capital gain or loss on the sale, redemption, retirement or other taxable disposition of your new note equal to the difference between the amount you realize on such disposition (excluding any amounts attributable to accrued but unpaid stated interest, which will be taxed as ordinary income to the extent not previously includible in income) and your adjusted tax basis in your new note. Your adjusted tax basis in your new note will be the same as the adjusted basis in the old note exchanged therefor. Capital gain of a noncorporate U.S. holder is generally eligible for reduced tax rates where the property is held for more than one year. The deductibility of capital losses is subject to limitations under the Internal Revenue Code.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Tax on Net Investment Income</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Certain non-corporate U.S. holders are subject to a 3.8% tax, in addition to regular tax on income and gains, on some or all of their “net investment income,” which generally will include interest on a new note and any net gain recognized upon a disposition of a new note. U.S. holders should consult their tax advisors regarding the applicability of this tax in respect of their new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You are a non-U.S. holder if you are a beneficial owner of a new note that is an individual, corporation, trust or estate for U.S. federal income tax purposes and you are not a U.S.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Stated Interest</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of backup withholding and FATCA (as defined below), if you are a non-U.S. holder of a new note and the interest paid on the new note is not effectively connected with your conduct of a trade or business in the United States, the applicable withholding agent generally will not be required to deduct a U.S. withholding tax at a 30% rate (or, if applicable, a lower income tax treaty rate) if:</w:t>
      </w:r>
    </w:p>
    <w:p>
      <w:pPr>
        <w:spacing w:after="0" w:line="81" w:lineRule="exact"/>
        <w:rPr>
          <w:sz w:val="20"/>
          <w:szCs w:val="20"/>
          <w:color w:val="auto"/>
        </w:rPr>
      </w:pPr>
    </w:p>
    <w:p>
      <w:pPr>
        <w:ind w:left="540" w:right="160" w:hanging="316"/>
        <w:spacing w:after="0" w:line="282"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actually or constructively own 10% or more of the total combined voting power of all classes of stock of Crown Americas entitled to vote;</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that is related to Crown Americas through stock ownership;</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bank receiving the interest pursuant to a loan agreement entered into in your ordinary course of business;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316"/>
        <w:spacing w:after="0" w:line="256"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furnished to such agent an IRS Form W-8BEN, an IRS Form W-8BEN-E or an acceptable substitute form certifying that you are not a United States person to (1) the applicable withholding agent, (2) a securities clearing organization, bank or other financial institution that holds customers’ securities in the ordinary course of its trade or business and holds the note on your behalf and certifies to the applicable withholding agent (directly or through one or more similarly situated financial institutions) that it has received from you (or another financial institution) the IRS Form W-8BEN or IRS Form W-8BEN-E described above and provides a copy of such statement, or (3) a “qualified intermediary” (within the meaning of applicable Treasury Regulations), provided that certain conditions are satisfied.</w:t>
      </w:r>
    </w:p>
    <w:p>
      <w:pPr>
        <w:spacing w:after="0" w:line="187"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to the extent that an applicable income tax treaty otherwise provides, you generally will be taxed in the same manner as a U.S. holder with respect to interest if such interest income is effectively connected with your conduct of a trade or business in the United States. Effectively connected interest of a corporate non-U.S. holder may also, in some circumstances, be subject to an additional “branch profits tax” at a 30% rate (or, if applicable, a lower income tax treaty rate). Even though such effectively connected interest may be subject to income tax, and may be subject to the branch profits tax, it is not subject to withholding tax (whether or not it is subject to income tax) if the owner delivers a properly executed IRS Form W-8ECI to the applicable withholding agent.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Redemption, Retirement or Other Taxable Disposition of the New Notes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are a non-U.S. holder of a new note, you generally will not be subject to U.S. federal income tax or withholding tax on gain realized on the sale, redemption, retirement or other taxable disposition of a new note (other than any amount attributable to accrued but unpaid interest which will be treated as discussed above) unless:</w:t>
      </w:r>
    </w:p>
    <w:p>
      <w:pPr>
        <w:spacing w:after="0" w:line="81" w:lineRule="exact"/>
        <w:rPr>
          <w:sz w:val="20"/>
          <w:szCs w:val="20"/>
          <w:color w:val="auto"/>
        </w:rPr>
      </w:pPr>
    </w:p>
    <w:p>
      <w:pPr>
        <w:ind w:left="540" w:right="80" w:hanging="316"/>
        <w:spacing w:after="0" w:line="282"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your conduct of a trade or business in the United States, in which case such gain will be taxable in the same manner as effectively connected interest as discussed above (except to the extent otherwise provided by an applicable income tax treaty), or</w:t>
      </w:r>
    </w:p>
    <w:p>
      <w:pPr>
        <w:spacing w:after="0" w:line="67" w:lineRule="exact"/>
        <w:rPr>
          <w:rFonts w:ascii="Times New Roman" w:cs="Times New Roman" w:eastAsia="Times New Roman" w:hAnsi="Times New Roman"/>
          <w:sz w:val="18"/>
          <w:szCs w:val="18"/>
          <w:color w:val="auto"/>
        </w:rPr>
      </w:pPr>
    </w:p>
    <w:p>
      <w:pPr>
        <w:ind w:left="540" w:right="220" w:hanging="316"/>
        <w:spacing w:after="0" w:line="266"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an individual, you are present in the United States for 183 or more days during the taxable year in which the gain is realized and certain other conditions exist, in which case you will be subject to a flat 30% U.S. federal income tax on any gain recognized (except to the extent otherwise provided by an applicable income tax treaty), which may be offset by certain U.S. losses.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Information reporting on IRS Form 1099 will apply to payments of interest on, or the proceeds of the sale, exchange, redemption, retirement or other taxable disposition (including a redemption or retirement) of, the new notes with respect to certain non-corporate U.S. holders, and backup withholding may apply unless the recipient of such payments has supplied a taxpayer identification number, certified under penalties of perjury, as well as certain other information or otherwise established an exemption from backup withholding. Backup withholding is not an additional tax. Any amounts withheld under the backup withholding rules may be allowed as a refund or a credit against that holder’s U.S. federal income tax liability provided that the required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Backup withholding and information reporting on IRS Form 1099 will not apply to payments of interest to a non-U.S. holder provided that the non-U.S. holder is the beneficial owner of new notes and certifies to the applicable withholding agent, under penalties of perjury, that it is not a United States person and provides its name and address on a duly executed IRS Form W-8BEN or IRS Form W-8BEN-E, as applicable (or a suitable substitute form).</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not apply to a payment of the proceeds of a sale, redemption, retirement or other taxable disposition of the new notes effected outside the United States by a foreign office of a foreign broker. However, information reporting requirements (but not backup withholding) will apply to a payment of the proceeds of a sale, redemption, retirement or other taxable disposition of the new notes effected outside the United States by a foreign office of a broker if the broker (i) is a United States person, (ii) derives 50 percent or more of its gross income for certain periods from the conduct of a trade or business in the United States, (iii) is a “controlled foreign corporation” for U.S. federal income tax purposes, or (iv) is a foreign partnership that, at any time during its taxable year is 50 percent or more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of the proceeds of a sale, redemption, retirement or other taxable disposition of new notes by a United States office of a broker will be subject to both backup withholding and information reporting unless the holder certifies its non-U.S. status under penalties of perjury or otherwise establishes an exemption.</w:t>
      </w:r>
    </w:p>
    <w:p>
      <w:pPr>
        <w:spacing w:after="0" w:line="19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that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 Tax Compliance Act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the Foreign Account Tax Compliance Act (“FATCA”), a 30 percent withholding tax may apply to certain types of payments made to “foreign financial institutions” (as specially defined in the Code) and certain other non-U.S. entities, including foreign financial institutions and other entities acting as an intermediary. Specifically, a 30% withholding tax may be imposed on interest on, and gross proceeds from the sale or other disposition of, notes paid to a foreign financial institution or to a non-financial foreign entity, unless (1) the foreign financial institution undertakes certain diligence and reporting, (2) the non-financial foreign entity either certifies it does not have any substantial United States owners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then, pursuant to an agreement between it and the U.S. Treasury or an intergovernmental agreement between, generally, the jurisdiction in which it is resident and the U.S. Treasury, it must, among other things, identify accounts held by certain United States persons or United States-owned foreign entities, annually report certain information about such accounts, and withhold 30 percent on payments to non-compliant foreign financial institutions and certain other account holders.</w:t>
      </w:r>
    </w:p>
    <w:p>
      <w:pPr>
        <w:spacing w:after="0" w:line="192"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The withholding provisions described above generally apply to interest payments on the notes. Although existing FATCA regulations would also impose FATCA withholding on payments of gross proceeds from the sale or disposition (including a retirement or redemption) of the notes, under proposed regulations, no such withholding would apply to gross proceeds. Taxpayers generally may rely on those proposed regulations until final regulations are issued. Persons considering an investment in the notes should consult their tax advisors regarding FATCA and the regulations thereunder.</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Under existing SEC interpretations, we expect that the new notes will be freely transferable by holders other than our affiliates after the exchange offer without further registration under the Securities Act if the holder of the new notes represents that it is acquiring the new notes in the ordinary course of its business, that it has no arrangement or understanding with any person to participate in the distribution of the new notes and that it is not an affiliate of ours, as such terms are interpreted by the SEC;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broker-dealers receiving new notes in the exchange offer will have a prospectus delivery requirement with respect to resales of such new notes as discussed below. While the SEC has not taken a position with respect to this particular transaction, under existing SEC interpretations relating to transactions structured substantially like this exchange offer, participating broker-dealers may fulfill their prospectus delivery requirements with respect to new notes (other than a resale of an unsold allotment of the old notes) with the prospectus contained in the exchange offer registration statement.</w:t>
      </w:r>
    </w:p>
    <w:p>
      <w:pPr>
        <w:spacing w:after="0" w:line="19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pursuant to the exchange offer must acknowledge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starting on the expiration date of the exchange offer and ending on the close of business one year after the expiration date, we will make this prospectus, as amended or supplemented, available to any broker-dealer for use in connection with any such resale. In addition, until , 2026, all dealers effecting transactions in the new notes may be required to deliver a prospectus.</w:t>
      </w:r>
    </w:p>
    <w:p>
      <w:pPr>
        <w:spacing w:after="0" w:line="18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the exchange offer or from any sale of new notes by brokers-dealers.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of any such resale of new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For a period of one year after the expiration date of the exchange offer, we will promptly send additional copies of this prospectus and any amendment or supplement to this prospectus to any broker-dealer that requests such documents in the letter of transmittal. We have agreed to pay all expenses incident to the exchange offer (including the expenses of one counsel for the holder of the old notes) other than commissions or concessions of any brokers or dealers and will indemnify the holders of the old notes (including any broker-dealers) against certain liabilities, including liabilities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Certain legal matters with regard to the validity of the new notes and the new note guarantees will be passed upon for us and the guarantors by Dechert LLP, Philadelphia, Pennsylvania.</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Crown Holdings, Inc.’s Annual Report on Form 10-K for the year ended December 31, 2024 have been so incorporated in reliance on the report of PricewaterhouseCoopers LLP, an independent registered public accounting firm, given on the authority of said firm as experts in auditing and accounting.</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Crown is subject to the information requirements of the Securities Exchange Act of 1934, and it files unaudited quarterly and audited annual reports, proxy and information statements and other information with the SEC. You may read and copy all or any portion of the reports, proxy and information statements or other information Crown files at the SEC’s principal office in Washington, D.C., and copies of all or any part thereof may be obtained from the Public Reference Room of the SEC, 100 F Street, N.E., Washington, D.C. 20549, after payment of fees prescribed by the SEC. Please call the SEC at 1-800-732-0330 for further information on operation of the public reference rooms. The SEC also maintains an Internet site which provides online access to reports, proxy and information statements and other information regarding registrants that file electronically with the SEC at the address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In addition, Crown posts its filed documents on its website at</w:t>
      </w:r>
      <w:r>
        <w:rPr>
          <w:rFonts w:ascii="Times New Roman" w:cs="Times New Roman" w:eastAsia="Times New Roman" w:hAnsi="Times New Roman"/>
          <w:sz w:val="18"/>
          <w:szCs w:val="18"/>
          <w:i w:val="1"/>
          <w:iCs w:val="1"/>
          <w:color w:val="auto"/>
        </w:rPr>
        <w:t xml:space="preserve"> http://www.crowncork.com</w:t>
      </w:r>
      <w:r>
        <w:rPr>
          <w:rFonts w:ascii="Times New Roman" w:cs="Times New Roman" w:eastAsia="Times New Roman" w:hAnsi="Times New Roman"/>
          <w:sz w:val="18"/>
          <w:szCs w:val="18"/>
          <w:color w:val="auto"/>
        </w:rPr>
        <w:t>. Except for the documents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prospectus, the information on Crown’s website is not part of this prospectus. You can also inspect reports, proxy statements and other information about Crown at the offices of The New York Stock Exchange, Inc., located at 20 Broad Street, New York, New York 10005.</w:t>
      </w: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documents filed by Crown with the SEC under the Exchange Act are incorporated by reference in this prospectus:</w:t>
      </w:r>
    </w:p>
    <w:p>
      <w:pPr>
        <w:spacing w:after="0" w:line="131" w:lineRule="exact"/>
        <w:rPr>
          <w:sz w:val="20"/>
          <w:szCs w:val="20"/>
          <w:color w:val="auto"/>
        </w:rPr>
      </w:pPr>
    </w:p>
    <w:p>
      <w:pPr>
        <w:ind w:left="540" w:right="560" w:hanging="316"/>
        <w:spacing w:after="0" w:line="282"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Crown’s Annual Report on </w:t>
      </w:r>
      <w:hyperlink r:id="rId8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2024, filed with the SEC on March 3, 2025, including portions of Crown’s </w:t>
      </w:r>
      <w:hyperlink r:id="rId89">
        <w:r>
          <w:rPr>
            <w:rFonts w:ascii="Times New Roman" w:cs="Times New Roman" w:eastAsia="Times New Roman" w:hAnsi="Times New Roman"/>
            <w:sz w:val="18"/>
            <w:szCs w:val="18"/>
            <w:u w:val="single" w:color="auto"/>
            <w:color w:val="0000EE"/>
          </w:rPr>
          <w:t>Proxy Statement</w:t>
        </w:r>
      </w:hyperlink>
      <w:r>
        <w:rPr>
          <w:rFonts w:ascii="Times New Roman" w:cs="Times New Roman" w:eastAsia="Times New Roman" w:hAnsi="Times New Roman"/>
          <w:sz w:val="18"/>
          <w:szCs w:val="18"/>
          <w:color w:val="auto"/>
        </w:rPr>
        <w:t>, filed with the SEC on March 24, 2025, to the extent specifically incorporated by reference therein;</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Crown’s Quarterly Report on </w:t>
      </w:r>
      <w:hyperlink r:id="rId9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2, 2025;</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Crown’s Quarterly Report on </w:t>
      </w:r>
      <w:hyperlink r:id="rId9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June 30, 2025, filed with the SEC on July 29, 2025;</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Crown’s Quarterly Report on </w:t>
      </w:r>
      <w:hyperlink r:id="rId9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September 30, 2025, filed with the SEC on October 30, 2025; and</w:t>
      </w:r>
    </w:p>
    <w:p>
      <w:pPr>
        <w:spacing w:after="0" w:line="130" w:lineRule="exact"/>
        <w:rPr>
          <w:rFonts w:ascii="Times New Roman" w:cs="Times New Roman" w:eastAsia="Times New Roman" w:hAnsi="Times New Roman"/>
          <w:sz w:val="18"/>
          <w:szCs w:val="18"/>
          <w:color w:val="auto"/>
        </w:rPr>
      </w:pPr>
    </w:p>
    <w:p>
      <w:pPr>
        <w:ind w:left="540" w:right="600" w:hanging="316"/>
        <w:spacing w:after="0" w:line="282" w:lineRule="auto"/>
        <w:tabs>
          <w:tab w:leader="none" w:pos="540" w:val="left"/>
        </w:tabs>
        <w:numPr>
          <w:ilvl w:val="0"/>
          <w:numId w:val="7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Crown’s Current Reports on Form 8-K filed with the SEC on </w:t>
      </w:r>
      <w:hyperlink r:id="rId93">
        <w:r>
          <w:rPr>
            <w:rFonts w:ascii="Times New Roman" w:cs="Times New Roman" w:eastAsia="Times New Roman" w:hAnsi="Times New Roman"/>
            <w:sz w:val="18"/>
            <w:szCs w:val="18"/>
            <w:u w:val="single" w:color="auto"/>
            <w:color w:val="0000EE"/>
          </w:rPr>
          <w:t>May 13, 2025</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EE"/>
          </w:rPr>
          <w:t>May 16, 2025</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EE"/>
          </w:rPr>
          <w:t>May 28, 2025</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EE"/>
          </w:rPr>
          <w:t>June 16, 2025</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September 23,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9">
        <w:r>
          <w:rPr>
            <w:rFonts w:ascii="Times New Roman" w:cs="Times New Roman" w:eastAsia="Times New Roman" w:hAnsi="Times New Roman"/>
            <w:sz w:val="18"/>
            <w:szCs w:val="18"/>
            <w:u w:val="single" w:color="auto"/>
            <w:color w:val="0000EE"/>
          </w:rPr>
          <w:t>October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0">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01">
        <w:r>
          <w:rPr>
            <w:rFonts w:ascii="Times New Roman" w:cs="Times New Roman" w:eastAsia="Times New Roman" w:hAnsi="Times New Roman"/>
            <w:sz w:val="18"/>
            <w:szCs w:val="18"/>
            <w:u w:val="single" w:color="auto"/>
            <w:color w:val="0000EE"/>
          </w:rPr>
          <w:t>November 19,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02">
        <w:r>
          <w:rPr>
            <w:rFonts w:ascii="Times New Roman" w:cs="Times New Roman" w:eastAsia="Times New Roman" w:hAnsi="Times New Roman"/>
            <w:sz w:val="18"/>
            <w:szCs w:val="18"/>
            <w:u w:val="single" w:color="auto"/>
            <w:color w:val="0000EE"/>
          </w:rPr>
          <w:t>November 24,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94"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Any future filings Crown makes with the SEC under Sections 13(a), 13(c), 14 or 15(d) of the Exchange Act after (i) the date of the initial registration statement and prior to effectiveness of the registration statement and (ii) the date of this prospectus and before the offering is terminated are also “incorporated by reference” into this prospectus. The information incorporated by reference is considered a part of this prospectus, and subsequent information that Crown files with the SEC will automatically update and supersede this information. Any information which is subsequently modified or superseded will not constitute a part of this prospectus, except as so modified or superseded.</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Upon written or oral request, you will be provided with a copy of the incorporated documents without charge (not including exhibits to the respective documents unless the exhibits are specifically incorporated by reference into the respective documents). You may submit such a request for this material at the following address and telephone number:</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 Crown Holdings,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Tampa, Florida 33637</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(215) 698-5100</w:t>
      </w:r>
    </w:p>
    <w:p>
      <w:pPr>
        <w:spacing w:after="0" w:line="203"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color w:val="auto"/>
        </w:rPr>
        <w:t>In order to obtain timely delivery, you must request such documents no later than five business days before the expiration date. The expiration date is         , 2026.</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652780</wp:posOffset>
            </wp:positionV>
            <wp:extent cx="2785745" cy="3429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2785745" cy="342900"/>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43"/>
          <w:szCs w:val="43"/>
          <w:b w:val="1"/>
          <w:bCs w:val="1"/>
          <w:color w:val="auto"/>
        </w:rPr>
        <w:t>Crown Americas LLC</w:t>
      </w: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5"/>
          <w:szCs w:val="25"/>
          <w:b w:val="1"/>
          <w:bCs w:val="1"/>
          <w:color w:val="auto"/>
        </w:rPr>
        <w:t>OFFER TO EXCHANGE</w:t>
      </w:r>
    </w:p>
    <w:p>
      <w:pPr>
        <w:spacing w:after="0" w:line="200" w:lineRule="exact"/>
        <w:rPr>
          <w:sz w:val="20"/>
          <w:szCs w:val="20"/>
          <w:color w:val="auto"/>
        </w:rPr>
      </w:pPr>
    </w:p>
    <w:p>
      <w:pPr>
        <w:spacing w:after="0" w:line="242" w:lineRule="exact"/>
        <w:rPr>
          <w:sz w:val="20"/>
          <w:szCs w:val="20"/>
          <w:color w:val="auto"/>
        </w:rPr>
      </w:pPr>
    </w:p>
    <w:p>
      <w:pPr>
        <w:jc w:val="center"/>
        <w:ind w:left="340"/>
        <w:spacing w:after="0" w:line="287" w:lineRule="auto"/>
        <w:rPr>
          <w:sz w:val="20"/>
          <w:szCs w:val="20"/>
          <w:color w:val="auto"/>
        </w:rPr>
      </w:pPr>
      <w:r>
        <w:rPr>
          <w:rFonts w:ascii="Times New Roman" w:cs="Times New Roman" w:eastAsia="Times New Roman" w:hAnsi="Times New Roman"/>
          <w:sz w:val="25"/>
          <w:szCs w:val="25"/>
          <w:b w:val="1"/>
          <w:bCs w:val="1"/>
          <w:color w:val="auto"/>
        </w:rPr>
        <w:t>$700,000,000 5.875% Senior Unsecured Notes due 2033 and related Guarantees for all outstanding 5.875% Senior Unsecured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1939290</wp:posOffset>
            </wp:positionV>
            <wp:extent cx="14744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20. INDEMNIFICATION OF DIRECTORS AND OFFICERS.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Sections 1741 and 1742 of the Pennsylvania Business Corporation Law (the “BCL”) provide that a corporation may indemnify its representatives (including directors and officers) against expenses (including attorneys’ fees), judgments, fines and amounts paid in settlement actually and reasonably incurred in such capacities, provided certain standards are met, including good faith and the reasonable belief that the particular action is in, or not opposed to, the best interests of the corporation or, in a criminal proceeding, that such representatives had no reasonable cause to believe their conduct was unlawful. In the case of actions against a director or officer by or in the right of the corporation, the power to indemnify extends only to expenses actually and reasonably incurred in connection with the defense or settlement, and such power generally does not exist if the person otherwise entitled to indemnification shall have been adjudged to be liable to the corporation, unless it is judicially determined that, despite the adjudication of liability but in view of all the circumstances of the case, the person is fairly and reasonably entitled to indemnification for specified expenses.</w:t>
      </w:r>
    </w:p>
    <w:p>
      <w:pPr>
        <w:spacing w:after="0" w:line="19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 addition, Section 1744 of the BCL provides that, unless ordered by a court, any indemnification referred to above shall be made by the corporation only as authorized in the specific case upon a determination that indemnification is proper in the circumstances because the indemnitee has met the applicable standard of conduct. Such determination shall be made:</w:t>
      </w:r>
    </w:p>
    <w:p>
      <w:pPr>
        <w:spacing w:after="0" w:line="176" w:lineRule="exact"/>
        <w:rPr>
          <w:sz w:val="20"/>
          <w:szCs w:val="20"/>
          <w:color w:val="auto"/>
        </w:rPr>
      </w:pPr>
    </w:p>
    <w:p>
      <w:pPr>
        <w:ind w:left="380" w:hanging="264"/>
        <w:spacing w:after="0"/>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by a majority vote of a quorum consisting of directors who were not parties to the proceeding;</w:t>
      </w:r>
    </w:p>
    <w:p>
      <w:pPr>
        <w:spacing w:after="0" w:line="225" w:lineRule="exact"/>
        <w:rPr>
          <w:rFonts w:ascii="Times New Roman" w:cs="Times New Roman" w:eastAsia="Times New Roman" w:hAnsi="Times New Roman"/>
          <w:sz w:val="18"/>
          <w:szCs w:val="18"/>
          <w:color w:val="auto"/>
        </w:rPr>
      </w:pPr>
    </w:p>
    <w:p>
      <w:pPr>
        <w:ind w:left="120" w:hanging="4"/>
        <w:spacing w:after="0" w:line="282" w:lineRule="auto"/>
        <w:tabs>
          <w:tab w:leader="none" w:pos="37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 quorum is not obtainable, or if obtainable and a majority vote of a quorum of disinterested directors so directs, by independent legal counsel in a written opinion; or</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w:t>
      </w:r>
    </w:p>
    <w:p>
      <w:pPr>
        <w:spacing w:after="0" w:line="225"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Notwithstanding the above, under Section 1743 of the BCL, a corporation is required to indemnify directors and officers against expenses they may incur in defending actions to which they are made a party by reason of their status as such if they are successful on the merits, or otherwise, in the defense of such actions.</w:t>
      </w:r>
    </w:p>
    <w:p>
      <w:pPr>
        <w:spacing w:after="0" w:line="176"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Under Section 1745 of the BCL, a corporation may pay the expenses of a director or officer incurred in defending an action or proceeding in advance of the final disposition thereof upon receipt of an undertaking by or on behalf of such person to repay the amounts advanced, if it is ultimately determined that such person is not entitled to indemnification from the corporation.</w:t>
      </w:r>
    </w:p>
    <w:p>
      <w:pPr>
        <w:spacing w:after="0" w:line="176"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Section 1746 of the BCL provides that the foregoing provisions shall not be deemed exclusive of any other rights to which a person seeking indemnification may be entitled under, among other things, any provision in the corporation’s articles of incorporation or bylaws, provided that no indemnification may be made in any case where the act or failure to act giving rise to the claim for indemnification is determined by a court to have constituted willful misconduct or recklessness.</w:t>
      </w:r>
    </w:p>
    <w:p>
      <w:pPr>
        <w:spacing w:after="0" w:line="180"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Section 1747 of the BCL permits a Pennsylvania business corporation to purchase and maintain insurance on behalf of any person who is or was a director or officer against any liability asserted against such person and incurred by such person in any such capacity, or arising out of such person’s status as such, whether or not the corporation would have the power to indemnify the person against such liability under the provisions described above.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Sections 1748 and 1749 of the BCL extend the indemnification and advancement of expenses provisions to successor corporations in consolidations, mergers or divisions and to representatives serving as fiduciaries of employee benefit plans. Section 1750 of the BCL provides that the indemnification and advancement of expenses provided by, or granted pursuant to, Subchapter D of Chapter 17 of Title 15 of the BCL, shall, unless otherwise provided when authorized or ratified, continue as to a person who has ceased to be a representative of the corporation and shall inure to the benefit of the heirs and personal representative of such person.</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Registrant’s By-Laws provide that the Registrant shall indemnify to the fullest extent permitted by applicable law any person who was or is a party or is threatened to be made a party to or is otherwise involved in any threatened, pending or completed action, suit or proceeding by reason of the fact that such person is or was a director or officer of the Registrant, against all liability, loss and expense (including attorney’s fees and amounts paid in settlement) actually and reasonably incurred by such person in connection with such proceeding, whether or not the indemnified liability arises or arose from any proceeding by or in the right of the Registrant.</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Registrant’s By-Laws also provide that expenses incurred by a person who is or was a director or officer in defending (or acting as a witness in) a proceeding shall be paid by the Registrant in advance of the final disposition of such proceeding, subject to the provisions of applicable law, upon receipt of an undertaking by or on behalf of the person who is or was a director or officer to repay such amount if it shall ultimately be determined that such person is not entitled to be indemnified by the Registrant under the Registrant’s By-Laws or applicable law.</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Additionally, the Registrant’s By-Laws limit directors’ personal liability for monetary damages for any action taken, or any failure to take any action, unless (a) the director has breached or failed to perform the duties of his or her office under Subchapter B of Chapter 17 of the BCL (relating to standard of care and justifiable reliance) and (b) the breach or failure to perform constitutes self-dealing, willful misconduct or recklessness. However, these provisions do not apply to (a) the responsibility or liability of a director pursuant to any criminal statute or (b) the liability of a director for the payment of taxes pursuant to local, state or federal law.</w:t>
      </w:r>
    </w:p>
    <w:p>
      <w:pPr>
        <w:spacing w:after="0" w:line="183"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Registrant has purchased directors’ and officers’ liability insurance covering certain liabilities which may be incurred by the officers and directors of the Registrant in connection with the performance of their duties.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21. EXHIBITS AND FINANCIAL STATEMENT SCHEDULES.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exhibits are filed herewith unless otherwise indicated:</w:t>
      </w:r>
    </w:p>
    <w:p>
      <w:pPr>
        <w:spacing w:after="0" w:line="252" w:lineRule="exact"/>
        <w:rPr>
          <w:sz w:val="20"/>
          <w:szCs w:val="20"/>
          <w:color w:val="auto"/>
        </w:rPr>
      </w:pPr>
    </w:p>
    <w:p>
      <w:pPr>
        <w:ind w:left="780" w:right="120" w:hanging="660"/>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3.a</w:t>
      </w:r>
      <w:r>
        <w:rPr>
          <w:sz w:val="20"/>
          <w:szCs w:val="20"/>
          <w:color w:val="auto"/>
        </w:rPr>
        <w:tab/>
      </w:r>
      <w:hyperlink r:id="rId114">
        <w:r>
          <w:rPr>
            <w:rFonts w:ascii="Times New Roman" w:cs="Times New Roman" w:eastAsia="Times New Roman" w:hAnsi="Times New Roman"/>
            <w:sz w:val="18"/>
            <w:szCs w:val="18"/>
            <w:u w:val="single" w:color="auto"/>
            <w:color w:val="0000EE"/>
          </w:rPr>
          <w:t>Articles of Incorporation of Crown Holdings, Inc., as amended (incorporated by reference to Exhibit 3.a of the Registrant’s Annual Report on</w:t>
        </w:r>
      </w:hyperlink>
      <w:r>
        <w:rPr>
          <w:rFonts w:ascii="Times New Roman" w:cs="Times New Roman" w:eastAsia="Times New Roman" w:hAnsi="Times New Roman"/>
          <w:sz w:val="18"/>
          <w:szCs w:val="18"/>
          <w:u w:val="single" w:color="auto"/>
          <w:color w:val="0000EE"/>
        </w:rPr>
        <w:t xml:space="preserve"> </w:t>
      </w:r>
      <w:hyperlink r:id="rId114">
        <w:r>
          <w:rPr>
            <w:rFonts w:ascii="Times New Roman" w:cs="Times New Roman" w:eastAsia="Times New Roman" w:hAnsi="Times New Roman"/>
            <w:sz w:val="18"/>
            <w:szCs w:val="18"/>
            <w:u w:val="single" w:color="auto"/>
            <w:color w:val="0000EE"/>
          </w:rPr>
          <w:t>Form 10-K for the year ended December 31, 2004 (File No. 0-50189)).</w:t>
        </w:r>
      </w:hyperlink>
    </w:p>
    <w:p>
      <w:pPr>
        <w:spacing w:after="0" w:line="54"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3.b</w:t>
      </w:r>
      <w:r>
        <w:rPr>
          <w:sz w:val="20"/>
          <w:szCs w:val="20"/>
          <w:color w:val="auto"/>
        </w:rPr>
        <w:tab/>
      </w:r>
      <w:hyperlink r:id="rId115">
        <w:r>
          <w:rPr>
            <w:rFonts w:ascii="Times New Roman" w:cs="Times New Roman" w:eastAsia="Times New Roman" w:hAnsi="Times New Roman"/>
            <w:sz w:val="17"/>
            <w:szCs w:val="17"/>
            <w:u w:val="single" w:color="auto"/>
            <w:color w:val="0000EE"/>
          </w:rPr>
          <w:t>Amended and Restated By-Laws of Crown Holdings, Inc. (incorporated by reference to Exhibit 3.1 of the Registrant’s Current Report on Form</w:t>
        </w:r>
      </w:hyperlink>
    </w:p>
    <w:p>
      <w:pPr>
        <w:spacing w:after="0" w:line="27" w:lineRule="exact"/>
        <w:rPr>
          <w:sz w:val="20"/>
          <w:szCs w:val="20"/>
          <w:color w:val="auto"/>
        </w:rPr>
      </w:pPr>
    </w:p>
    <w:p>
      <w:pPr>
        <w:ind w:left="780"/>
        <w:spacing w:after="0"/>
        <w:rPr>
          <w:rFonts w:ascii="Times New Roman" w:cs="Times New Roman" w:eastAsia="Times New Roman" w:hAnsi="Times New Roman"/>
          <w:sz w:val="18"/>
          <w:szCs w:val="18"/>
          <w:u w:val="single" w:color="auto"/>
          <w:color w:val="0000EE"/>
        </w:rPr>
      </w:pPr>
      <w:hyperlink r:id="rId115">
        <w:r>
          <w:rPr>
            <w:rFonts w:ascii="Times New Roman" w:cs="Times New Roman" w:eastAsia="Times New Roman" w:hAnsi="Times New Roman"/>
            <w:sz w:val="18"/>
            <w:szCs w:val="18"/>
            <w:u w:val="single" w:color="auto"/>
            <w:color w:val="0000EE"/>
          </w:rPr>
          <w:t>8-K dated December 13, 2022 (File No. 001-41550)).</w:t>
        </w:r>
      </w:hyperlink>
    </w:p>
    <w:p>
      <w:pPr>
        <w:spacing w:after="0" w:line="99" w:lineRule="exact"/>
        <w:rPr>
          <w:sz w:val="20"/>
          <w:szCs w:val="20"/>
          <w:color w:val="auto"/>
        </w:rPr>
      </w:pPr>
    </w:p>
    <w:p>
      <w:pPr>
        <w:ind w:left="780" w:right="600" w:hanging="660"/>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3.c</w:t>
      </w:r>
      <w:r>
        <w:rPr>
          <w:sz w:val="20"/>
          <w:szCs w:val="20"/>
          <w:color w:val="auto"/>
        </w:rPr>
        <w:tab/>
      </w:r>
      <w:hyperlink r:id="rId116">
        <w:r>
          <w:rPr>
            <w:rFonts w:ascii="Times New Roman" w:cs="Times New Roman" w:eastAsia="Times New Roman" w:hAnsi="Times New Roman"/>
            <w:sz w:val="18"/>
            <w:szCs w:val="18"/>
            <w:u w:val="single" w:color="auto"/>
            <w:color w:val="0000EE"/>
          </w:rPr>
          <w:t>Certificate of Organization of Crown Americas LLC (incorporated by reference to Exhibit 3.c of Amendment No. 2 to the Registrant’s</w:t>
        </w:r>
      </w:hyperlink>
      <w:r>
        <w:rPr>
          <w:rFonts w:ascii="Times New Roman" w:cs="Times New Roman" w:eastAsia="Times New Roman" w:hAnsi="Times New Roman"/>
          <w:sz w:val="18"/>
          <w:szCs w:val="18"/>
          <w:u w:val="single" w:color="auto"/>
          <w:color w:val="0000EE"/>
        </w:rPr>
        <w:t xml:space="preserve"> </w:t>
      </w:r>
      <w:hyperlink r:id="rId116">
        <w:r>
          <w:rPr>
            <w:rFonts w:ascii="Times New Roman" w:cs="Times New Roman" w:eastAsia="Times New Roman" w:hAnsi="Times New Roman"/>
            <w:sz w:val="18"/>
            <w:szCs w:val="18"/>
            <w:u w:val="single" w:color="auto"/>
            <w:color w:val="0000EE"/>
          </w:rPr>
          <w:t>Registration Statement on Form S-4 dated October 17, 2013 (File No. 333-190694)).</w:t>
        </w:r>
      </w:hyperlink>
    </w:p>
    <w:p>
      <w:pPr>
        <w:spacing w:after="0" w:line="54" w:lineRule="exact"/>
        <w:rPr>
          <w:sz w:val="20"/>
          <w:szCs w:val="20"/>
          <w:color w:val="auto"/>
        </w:rPr>
      </w:pPr>
    </w:p>
    <w:p>
      <w:pPr>
        <w:ind w:left="780" w:right="60" w:hanging="660"/>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3.d</w:t>
      </w:r>
      <w:r>
        <w:rPr>
          <w:sz w:val="20"/>
          <w:szCs w:val="20"/>
          <w:color w:val="auto"/>
        </w:rPr>
        <w:tab/>
      </w:r>
      <w:hyperlink r:id="rId117">
        <w:r>
          <w:rPr>
            <w:rFonts w:ascii="Times New Roman" w:cs="Times New Roman" w:eastAsia="Times New Roman" w:hAnsi="Times New Roman"/>
            <w:sz w:val="18"/>
            <w:szCs w:val="18"/>
            <w:u w:val="single" w:color="auto"/>
            <w:color w:val="0000EE"/>
          </w:rPr>
          <w:t>Limited Liability Company Agreement of Crown Americas LLC, dated as of September 27, 2005 (incorporated by reference to Exhibit 3.d of</w:t>
        </w:r>
      </w:hyperlink>
      <w:r>
        <w:rPr>
          <w:rFonts w:ascii="Times New Roman" w:cs="Times New Roman" w:eastAsia="Times New Roman" w:hAnsi="Times New Roman"/>
          <w:sz w:val="18"/>
          <w:szCs w:val="18"/>
          <w:u w:val="single" w:color="auto"/>
          <w:color w:val="0000EE"/>
        </w:rPr>
        <w:t xml:space="preserve"> </w:t>
      </w:r>
      <w:hyperlink r:id="rId117">
        <w:r>
          <w:rPr>
            <w:rFonts w:ascii="Times New Roman" w:cs="Times New Roman" w:eastAsia="Times New Roman" w:hAnsi="Times New Roman"/>
            <w:sz w:val="18"/>
            <w:szCs w:val="18"/>
            <w:u w:val="single" w:color="auto"/>
            <w:color w:val="0000EE"/>
          </w:rPr>
          <w:t>Amendment No. 2 to the Registrant’s Registration Statement on Form S-4 dated October 17, 2013 (File No. 333-190694)).</w:t>
        </w:r>
      </w:hyperlink>
    </w:p>
    <w:p>
      <w:pPr>
        <w:spacing w:after="0" w:line="54" w:lineRule="exact"/>
        <w:rPr>
          <w:sz w:val="20"/>
          <w:szCs w:val="20"/>
          <w:color w:val="auto"/>
        </w:rPr>
      </w:pPr>
    </w:p>
    <w:p>
      <w:pPr>
        <w:ind w:left="780" w:right="720" w:hanging="660"/>
        <w:spacing w:after="0" w:line="282" w:lineRule="auto"/>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3.e</w:t>
      </w:r>
      <w:r>
        <w:rPr>
          <w:sz w:val="20"/>
          <w:szCs w:val="20"/>
          <w:color w:val="auto"/>
        </w:rPr>
        <w:tab/>
      </w:r>
      <w:hyperlink r:id="rId118">
        <w:r>
          <w:rPr>
            <w:rFonts w:ascii="Times New Roman" w:cs="Times New Roman" w:eastAsia="Times New Roman" w:hAnsi="Times New Roman"/>
            <w:sz w:val="18"/>
            <w:szCs w:val="18"/>
            <w:u w:val="single" w:color="auto"/>
            <w:color w:val="0000EE"/>
          </w:rPr>
          <w:t>Certificate of Incorporation of Crown Beverage Packaging Puerto Rico, Inc., as amended (incorporated by reference to Exhibit 3.g of</w:t>
        </w:r>
      </w:hyperlink>
      <w:r>
        <w:rPr>
          <w:rFonts w:ascii="Times New Roman" w:cs="Times New Roman" w:eastAsia="Times New Roman" w:hAnsi="Times New Roman"/>
          <w:sz w:val="18"/>
          <w:szCs w:val="18"/>
          <w:u w:val="single" w:color="auto"/>
          <w:color w:val="0000EE"/>
        </w:rPr>
        <w:t xml:space="preserve"> </w:t>
      </w:r>
      <w:hyperlink r:id="rId118">
        <w:r>
          <w:rPr>
            <w:rFonts w:ascii="Times New Roman" w:cs="Times New Roman" w:eastAsia="Times New Roman" w:hAnsi="Times New Roman"/>
            <w:sz w:val="18"/>
            <w:szCs w:val="18"/>
            <w:u w:val="single" w:color="auto"/>
            <w:color w:val="0000EE"/>
          </w:rPr>
          <w:t>Amendment No. 2 to the Registrant’s Registration Statement on Form S-4 dated October 17, 2013 (File No. 333-190694)).</w:t>
        </w:r>
      </w:hyperlink>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00"/>
          </w:cols>
          <w:pgMar w:left="320" w:top="455" w:right="4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3.f</w:t>
            </w:r>
          </w:p>
        </w:tc>
        <w:tc>
          <w:tcPr>
            <w:tcW w:w="100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Bylaws of Crown Beverage Packaging Puerto Rico, Inc. (incorporated by reference to Exhibit 3.h of Amendment No. 2 to the Registrant’s</w:t>
              </w:r>
            </w:hyperlink>
          </w:p>
        </w:tc>
        <w:tc>
          <w:tcPr>
            <w:tcW w:w="16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6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Registration Statement on Form S-4 dated October 17, 2013 (File No. 333-190694)).</w:t>
              </w:r>
            </w:hyperlink>
          </w:p>
        </w:tc>
        <w:tc>
          <w:tcPr>
            <w:tcW w:w="4060" w:type="dxa"/>
            <w:vAlign w:val="bottom"/>
            <w:gridSpan w:val="22"/>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3.g</w:t>
            </w:r>
          </w:p>
        </w:tc>
        <w:tc>
          <w:tcPr>
            <w:tcW w:w="97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Articles of Incorporation of Crown Consultants, Inc. (incorporated by reference to Exhibit 3.i of Amendment No. 2 to the Registrant’s</w:t>
              </w:r>
            </w:hyperlink>
          </w:p>
        </w:tc>
        <w:tc>
          <w:tcPr>
            <w:tcW w:w="480" w:type="dxa"/>
            <w:vAlign w:val="bottom"/>
            <w:gridSpan w:val="8"/>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6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Registration Statement on Form S-4 dated October 17, 2013 (File No. 333-190694)).</w:t>
              </w:r>
            </w:hyperlink>
          </w:p>
        </w:tc>
        <w:tc>
          <w:tcPr>
            <w:tcW w:w="4060" w:type="dxa"/>
            <w:vAlign w:val="bottom"/>
            <w:gridSpan w:val="22"/>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3.h</w:t>
            </w:r>
          </w:p>
        </w:tc>
        <w:tc>
          <w:tcPr>
            <w:tcW w:w="101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Bylaws of Crown Consultants, Inc. (incorporated by reference to Exhibit 3.j of Amendment No. 2 to the Registrant’s Registration Statement</w:t>
              </w:r>
            </w:hyperlink>
          </w:p>
        </w:tc>
        <w:tc>
          <w:tcPr>
            <w:tcW w:w="20" w:type="dxa"/>
            <w:vAlign w:val="bottom"/>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4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on Form S-4 dated October 17, 2013 (File No. 333-190694)).</w:t>
              </w:r>
            </w:hyperlink>
          </w:p>
        </w:tc>
        <w:tc>
          <w:tcPr>
            <w:tcW w:w="5760" w:type="dxa"/>
            <w:vAlign w:val="bottom"/>
            <w:gridSpan w:val="26"/>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3.i</w:t>
            </w:r>
          </w:p>
        </w:tc>
        <w:tc>
          <w:tcPr>
            <w:tcW w:w="101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Certificate of Formation of Crown Cork &amp; Seal Company (DE), LLC, as amended (incorporated by reference to Exhibit 3.k of Amendment</w:t>
              </w:r>
            </w:hyperlink>
          </w:p>
        </w:tc>
        <w:tc>
          <w:tcPr>
            <w:tcW w:w="80" w:type="dxa"/>
            <w:vAlign w:val="bottom"/>
            <w:gridSpan w:val="3"/>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0180" w:type="dxa"/>
            <w:vAlign w:val="bottom"/>
            <w:gridSpan w:val="28"/>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No. 2 to the Registrant’s Registration Statement on Form S-4 dated October 17, 2013 (File No. 333-190694)).</w:t>
              </w:r>
            </w:hyperlink>
          </w:p>
        </w:tc>
      </w:tr>
      <w:tr>
        <w:trPr>
          <w:trHeight w:val="20"/>
        </w:trPr>
        <w:tc>
          <w:tcPr>
            <w:tcW w:w="7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3.j</w:t>
            </w:r>
          </w:p>
        </w:tc>
        <w:tc>
          <w:tcPr>
            <w:tcW w:w="10180" w:type="dxa"/>
            <w:vAlign w:val="bottom"/>
            <w:gridSpan w:val="28"/>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Limited Liability Company Agreement of Crown Cork &amp; Seal Company (DE), LLC, dated as of September 1, 2001 (incorporated by</w:t>
              </w:r>
            </w:hyperlink>
          </w:p>
        </w:tc>
      </w:tr>
      <w:tr>
        <w:trPr>
          <w:trHeight w:val="196"/>
        </w:trPr>
        <w:tc>
          <w:tcPr>
            <w:tcW w:w="780" w:type="dxa"/>
            <w:vAlign w:val="bottom"/>
          </w:tcPr>
          <w:p>
            <w:pPr>
              <w:spacing w:after="0"/>
              <w:rPr>
                <w:sz w:val="17"/>
                <w:szCs w:val="17"/>
                <w:color w:val="auto"/>
              </w:rPr>
            </w:pPr>
          </w:p>
        </w:tc>
        <w:tc>
          <w:tcPr>
            <w:tcW w:w="962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reference to Exhibit 3.l of Amendment No. 2 to the Registrant’s Registration Statement on Form S-4 dated October 17, 2013 (File</w:t>
              </w:r>
            </w:hyperlink>
          </w:p>
        </w:tc>
        <w:tc>
          <w:tcPr>
            <w:tcW w:w="560" w:type="dxa"/>
            <w:vAlign w:val="bottom"/>
            <w:gridSpan w:val="10"/>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93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No. 333-190694)).</w:t>
              </w:r>
            </w:hyperlink>
          </w:p>
        </w:tc>
        <w:tc>
          <w:tcPr>
            <w:tcW w:w="840" w:type="dxa"/>
            <w:vAlign w:val="bottom"/>
            <w:gridSpan w:val="14"/>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3.k</w:t>
            </w:r>
          </w:p>
        </w:tc>
        <w:tc>
          <w:tcPr>
            <w:tcW w:w="10180" w:type="dxa"/>
            <w:vAlign w:val="bottom"/>
            <w:gridSpan w:val="28"/>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Amended and Restated Articles of Incorporation of Crown Cork &amp; Seal Company, Inc. (incorporated by reference to Exhibit 3.m of</w:t>
              </w:r>
            </w:hyperlink>
          </w:p>
        </w:tc>
      </w:tr>
      <w:tr>
        <w:trPr>
          <w:trHeight w:val="196"/>
        </w:trPr>
        <w:tc>
          <w:tcPr>
            <w:tcW w:w="780" w:type="dxa"/>
            <w:vAlign w:val="bottom"/>
          </w:tcPr>
          <w:p>
            <w:pPr>
              <w:spacing w:after="0"/>
              <w:rPr>
                <w:sz w:val="17"/>
                <w:szCs w:val="17"/>
                <w:color w:val="auto"/>
              </w:rPr>
            </w:pPr>
          </w:p>
        </w:tc>
        <w:tc>
          <w:tcPr>
            <w:tcW w:w="88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Amendment No. 2 to the Registrant’s Registration Statement on Form S-4 dated October 17, 2013 (File No. 333-190694)).</w:t>
              </w:r>
            </w:hyperlink>
          </w:p>
        </w:tc>
        <w:tc>
          <w:tcPr>
            <w:tcW w:w="700" w:type="dxa"/>
            <w:vAlign w:val="bottom"/>
            <w:tcBorders>
              <w:top w:val="single" w:sz="8" w:color="0000EE"/>
            </w:tcBorders>
            <w:gridSpan w:val="4"/>
          </w:tcPr>
          <w:p>
            <w:pPr>
              <w:spacing w:after="0"/>
              <w:rPr>
                <w:sz w:val="17"/>
                <w:szCs w:val="17"/>
                <w:color w:val="auto"/>
              </w:rPr>
            </w:pPr>
          </w:p>
        </w:tc>
        <w:tc>
          <w:tcPr>
            <w:tcW w:w="640" w:type="dxa"/>
            <w:vAlign w:val="bottom"/>
            <w:gridSpan w:val="11"/>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3.l</w:t>
            </w:r>
          </w:p>
        </w:tc>
        <w:tc>
          <w:tcPr>
            <w:tcW w:w="10180" w:type="dxa"/>
            <w:vAlign w:val="bottom"/>
            <w:gridSpan w:val="28"/>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By-Laws of Crown Cork &amp; Seal Company, Inc. (incorporated by reference to Exhibit 3.n of Amendment No. 2 to the Registrant’s</w:t>
              </w:r>
            </w:hyperlink>
          </w:p>
        </w:tc>
      </w:tr>
      <w:tr>
        <w:trPr>
          <w:trHeight w:val="196"/>
        </w:trPr>
        <w:tc>
          <w:tcPr>
            <w:tcW w:w="780" w:type="dxa"/>
            <w:vAlign w:val="bottom"/>
          </w:tcPr>
          <w:p>
            <w:pPr>
              <w:spacing w:after="0"/>
              <w:rPr>
                <w:sz w:val="17"/>
                <w:szCs w:val="17"/>
                <w:color w:val="auto"/>
              </w:rPr>
            </w:pPr>
          </w:p>
        </w:tc>
        <w:tc>
          <w:tcPr>
            <w:tcW w:w="61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Registration Statement on Form S-4 dated October 17, 2013 (File No. 333-190694)).</w:t>
              </w:r>
            </w:hyperlink>
          </w:p>
        </w:tc>
        <w:tc>
          <w:tcPr>
            <w:tcW w:w="3220" w:type="dxa"/>
            <w:vAlign w:val="bottom"/>
            <w:tcBorders>
              <w:top w:val="single" w:sz="8" w:color="0000EE"/>
            </w:tcBorders>
            <w:gridSpan w:val="8"/>
          </w:tcPr>
          <w:p>
            <w:pPr>
              <w:spacing w:after="0"/>
              <w:rPr>
                <w:sz w:val="17"/>
                <w:szCs w:val="17"/>
                <w:color w:val="auto"/>
              </w:rPr>
            </w:pPr>
          </w:p>
        </w:tc>
        <w:tc>
          <w:tcPr>
            <w:tcW w:w="800" w:type="dxa"/>
            <w:vAlign w:val="bottom"/>
            <w:gridSpan w:val="13"/>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3.m</w:t>
            </w:r>
          </w:p>
        </w:tc>
        <w:tc>
          <w:tcPr>
            <w:tcW w:w="101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Articles of Incorporation of Crown Financial Corporation, as amended (incorporated by reference to Exhibit 3.o of Amendment No. 2 to the</w:t>
              </w:r>
            </w:hyperlink>
          </w:p>
        </w:tc>
        <w:tc>
          <w:tcPr>
            <w:tcW w:w="40" w:type="dxa"/>
            <w:vAlign w:val="bottom"/>
            <w:gridSpan w:val="2"/>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0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Registrant’s Registration Statement on Form S-4 dated October 17, 2013 (File No. 333-190694)).</w:t>
              </w:r>
            </w:hyperlink>
          </w:p>
        </w:tc>
        <w:tc>
          <w:tcPr>
            <w:tcW w:w="3160" w:type="dxa"/>
            <w:vAlign w:val="bottom"/>
            <w:gridSpan w:val="20"/>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3.n</w:t>
            </w:r>
          </w:p>
        </w:tc>
        <w:tc>
          <w:tcPr>
            <w:tcW w:w="98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By-Laws of Crown Financial Corporation (incorporated by reference to Exhibit 3.p of Amendment No. 2 to the Registrant’s Registration</w:t>
              </w:r>
            </w:hyperlink>
          </w:p>
        </w:tc>
        <w:tc>
          <w:tcPr>
            <w:tcW w:w="320" w:type="dxa"/>
            <w:vAlign w:val="bottom"/>
            <w:gridSpan w:val="7"/>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0180" w:type="dxa"/>
            <w:vAlign w:val="bottom"/>
            <w:gridSpan w:val="28"/>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Statement on Form S-4 dated October 17, 2013 (File No. 333-190694)).</w:t>
              </w:r>
            </w:hyperlink>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3.o</w:t>
            </w:r>
          </w:p>
        </w:tc>
        <w:tc>
          <w:tcPr>
            <w:tcW w:w="518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Certificate of Formation of Crown International Holdings, LLC.</w:t>
              </w:r>
            </w:hyperlink>
          </w:p>
        </w:tc>
        <w:tc>
          <w:tcPr>
            <w:tcW w:w="5000" w:type="dxa"/>
            <w:vAlign w:val="bottom"/>
            <w:gridSpan w:val="24"/>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4620" w:type="dxa"/>
            <w:vAlign w:val="bottom"/>
            <w:gridSpan w:val="3"/>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3.p</w:t>
            </w:r>
          </w:p>
        </w:tc>
        <w:tc>
          <w:tcPr>
            <w:tcW w:w="10180" w:type="dxa"/>
            <w:vAlign w:val="bottom"/>
            <w:gridSpan w:val="28"/>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Limited Liability Company Agreement of Crown International Holdings, LLC, dated as of December 30, 2024.</w:t>
              </w:r>
            </w:hyperlink>
          </w:p>
        </w:tc>
      </w:tr>
      <w:tr>
        <w:trPr>
          <w:trHeight w:val="20"/>
        </w:trPr>
        <w:tc>
          <w:tcPr>
            <w:tcW w:w="780" w:type="dxa"/>
            <w:vAlign w:val="bottom"/>
          </w:tcPr>
          <w:p>
            <w:pPr>
              <w:spacing w:after="0" w:line="20" w:lineRule="exact"/>
              <w:rPr>
                <w:sz w:val="1"/>
                <w:szCs w:val="1"/>
                <w:color w:val="auto"/>
              </w:rPr>
            </w:pPr>
          </w:p>
        </w:tc>
        <w:tc>
          <w:tcPr>
            <w:tcW w:w="6100" w:type="dxa"/>
            <w:vAlign w:val="bottom"/>
            <w:gridSpan w:val="5"/>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3.q</w:t>
            </w:r>
          </w:p>
        </w:tc>
        <w:tc>
          <w:tcPr>
            <w:tcW w:w="99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Certificate of Incorporation of CROWN Packaging Technology, Inc., as amended (incorporated by reference to Exhibit 3.s of Amendment</w:t>
              </w:r>
            </w:hyperlink>
          </w:p>
        </w:tc>
        <w:tc>
          <w:tcPr>
            <w:tcW w:w="220" w:type="dxa"/>
            <w:vAlign w:val="bottom"/>
            <w:gridSpan w:val="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0180" w:type="dxa"/>
            <w:vAlign w:val="bottom"/>
            <w:gridSpan w:val="28"/>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No. 2 to the Registrant’s Registration Statement on Form S-4 dated October 17, 2013 (File No. 333-190694)).</w:t>
              </w:r>
            </w:hyperlink>
          </w:p>
        </w:tc>
      </w:tr>
      <w:tr>
        <w:trPr>
          <w:trHeight w:val="20"/>
        </w:trPr>
        <w:tc>
          <w:tcPr>
            <w:tcW w:w="780" w:type="dxa"/>
            <w:vAlign w:val="bottom"/>
          </w:tcPr>
          <w:p>
            <w:pPr>
              <w:spacing w:after="0" w:line="20" w:lineRule="exact"/>
              <w:rPr>
                <w:sz w:val="1"/>
                <w:szCs w:val="1"/>
                <w:color w:val="auto"/>
              </w:rPr>
            </w:pPr>
          </w:p>
        </w:tc>
        <w:tc>
          <w:tcPr>
            <w:tcW w:w="6100" w:type="dxa"/>
            <w:vAlign w:val="bottom"/>
            <w:gridSpan w:val="5"/>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3.r</w:t>
            </w:r>
          </w:p>
        </w:tc>
        <w:tc>
          <w:tcPr>
            <w:tcW w:w="10180" w:type="dxa"/>
            <w:vAlign w:val="bottom"/>
            <w:gridSpan w:val="28"/>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Bylaws of CROWN Packaging Technology, Inc. (incorporated by reference to Exhibit 3.t of Amendment No. 2 to the Registrant’s</w:t>
              </w:r>
            </w:hyperlink>
          </w:p>
        </w:tc>
      </w:tr>
      <w:tr>
        <w:trPr>
          <w:trHeight w:val="196"/>
        </w:trPr>
        <w:tc>
          <w:tcPr>
            <w:tcW w:w="780" w:type="dxa"/>
            <w:vAlign w:val="bottom"/>
          </w:tcPr>
          <w:p>
            <w:pPr>
              <w:spacing w:after="0"/>
              <w:rPr>
                <w:sz w:val="17"/>
                <w:szCs w:val="17"/>
                <w:color w:val="auto"/>
              </w:rPr>
            </w:pPr>
          </w:p>
        </w:tc>
        <w:tc>
          <w:tcPr>
            <w:tcW w:w="94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Registration Statement on Form S-4 dated October 17, 2013 (File No. 333-190694)).</w:t>
              </w:r>
            </w:hyperlink>
          </w:p>
        </w:tc>
        <w:tc>
          <w:tcPr>
            <w:tcW w:w="780" w:type="dxa"/>
            <w:vAlign w:val="bottom"/>
            <w:gridSpan w:val="12"/>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6100" w:type="dxa"/>
            <w:vAlign w:val="bottom"/>
            <w:gridSpan w:val="5"/>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3.s</w:t>
            </w:r>
          </w:p>
        </w:tc>
        <w:tc>
          <w:tcPr>
            <w:tcW w:w="101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Certificate of Incorporation of Foreign Manufacturers Finance Corporation (incorporated by reference to Exhibit 3.u of Amendment No. 2 to</w:t>
              </w:r>
            </w:hyperlink>
          </w:p>
        </w:tc>
      </w:tr>
      <w:tr>
        <w:trPr>
          <w:trHeight w:val="196"/>
        </w:trPr>
        <w:tc>
          <w:tcPr>
            <w:tcW w:w="780" w:type="dxa"/>
            <w:vAlign w:val="bottom"/>
          </w:tcPr>
          <w:p>
            <w:pPr>
              <w:spacing w:after="0"/>
              <w:rPr>
                <w:sz w:val="17"/>
                <w:szCs w:val="17"/>
                <w:color w:val="auto"/>
              </w:rPr>
            </w:pPr>
          </w:p>
        </w:tc>
        <w:tc>
          <w:tcPr>
            <w:tcW w:w="72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the Registrant’s Registration Statement on Form S-4 dated October 17, 2013 (File No. 333-190694)).</w:t>
              </w:r>
            </w:hyperlink>
          </w:p>
        </w:tc>
        <w:tc>
          <w:tcPr>
            <w:tcW w:w="2900" w:type="dxa"/>
            <w:vAlign w:val="bottom"/>
            <w:gridSpan w:val="19"/>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3.t</w:t>
            </w:r>
          </w:p>
        </w:tc>
        <w:tc>
          <w:tcPr>
            <w:tcW w:w="100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By-Laws of Foreign Manufacturers Finance Corporation (incorporated by reference to Exhibit 3.v of Amendment No. 2 to the Registrant’s</w:t>
              </w:r>
            </w:hyperlink>
          </w:p>
        </w:tc>
        <w:tc>
          <w:tcPr>
            <w:tcW w:w="180" w:type="dxa"/>
            <w:vAlign w:val="bottom"/>
            <w:gridSpan w:val="5"/>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10180" w:type="dxa"/>
            <w:vAlign w:val="bottom"/>
            <w:gridSpan w:val="28"/>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Registration Statement on Form S-4 dated October 17, 2013 (File No. 333-190694)).</w:t>
              </w:r>
            </w:hyperlink>
          </w:p>
        </w:tc>
      </w:tr>
      <w:tr>
        <w:trPr>
          <w:trHeight w:val="20"/>
        </w:trPr>
        <w:tc>
          <w:tcPr>
            <w:tcW w:w="780" w:type="dxa"/>
            <w:vAlign w:val="bottom"/>
          </w:tcPr>
          <w:p>
            <w:pPr>
              <w:spacing w:after="0" w:line="20" w:lineRule="exact"/>
              <w:rPr>
                <w:sz w:val="1"/>
                <w:szCs w:val="1"/>
                <w:color w:val="auto"/>
              </w:rPr>
            </w:pPr>
          </w:p>
        </w:tc>
        <w:tc>
          <w:tcPr>
            <w:tcW w:w="6100" w:type="dxa"/>
            <w:vAlign w:val="bottom"/>
            <w:gridSpan w:val="5"/>
            <w:shd w:val="clear" w:color="auto" w:fill="0000EE"/>
          </w:tcPr>
          <w:p>
            <w:pPr>
              <w:spacing w:after="0" w:line="20" w:lineRule="exact"/>
              <w:rPr>
                <w:sz w:val="1"/>
                <w:szCs w:val="1"/>
                <w:color w:val="auto"/>
              </w:rPr>
            </w:pPr>
          </w:p>
        </w:tc>
        <w:tc>
          <w:tcPr>
            <w:tcW w:w="3560" w:type="dxa"/>
            <w:vAlign w:val="bottom"/>
            <w:gridSpan w:val="14"/>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3.u</w:t>
            </w:r>
          </w:p>
        </w:tc>
        <w:tc>
          <w:tcPr>
            <w:tcW w:w="96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Certificate of Incorporation of CROWN Cork &amp; Seal USA, Inc. (incorporated by reference to Exhibit 3.y of Amendment No. 2 to the</w:t>
              </w:r>
            </w:hyperlink>
          </w:p>
        </w:tc>
        <w:tc>
          <w:tcPr>
            <w:tcW w:w="520" w:type="dxa"/>
            <w:vAlign w:val="bottom"/>
            <w:gridSpan w:val="9"/>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70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Registrant’s Registration Statement on Form S-4 dated October 17, 2013 (File No. 333-190694)).</w:t>
              </w:r>
            </w:hyperlink>
          </w:p>
        </w:tc>
        <w:tc>
          <w:tcPr>
            <w:tcW w:w="3160" w:type="dxa"/>
            <w:vAlign w:val="bottom"/>
            <w:gridSpan w:val="20"/>
          </w:tcPr>
          <w:p>
            <w:pPr>
              <w:spacing w:after="0"/>
              <w:rPr>
                <w:sz w:val="17"/>
                <w:szCs w:val="17"/>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00" w:right="14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3.v</w:t>
      </w:r>
      <w:r>
        <w:rPr>
          <w:sz w:val="20"/>
          <w:szCs w:val="20"/>
          <w:color w:val="auto"/>
        </w:rPr>
        <w:tab/>
      </w:r>
      <w:hyperlink r:id="rId137">
        <w:r>
          <w:rPr>
            <w:rFonts w:ascii="Times New Roman" w:cs="Times New Roman" w:eastAsia="Times New Roman" w:hAnsi="Times New Roman"/>
            <w:sz w:val="18"/>
            <w:szCs w:val="18"/>
            <w:u w:val="single" w:color="auto"/>
            <w:color w:val="0000EE"/>
          </w:rPr>
          <w:t>Bylaws of CROWN Cork &amp; Seal USA, Inc. (incorporated by reference to Exhibit 3.z of Amendment No. 2 to the Registrant’s Registration</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Statement on Form S-4 dated October 17, 2013 (File No. 333-190694)).</w:t>
        </w:r>
      </w:hyperlink>
    </w:p>
    <w:p>
      <w:pPr>
        <w:spacing w:after="0" w:line="54" w:lineRule="exact"/>
        <w:rPr>
          <w:sz w:val="20"/>
          <w:szCs w:val="20"/>
          <w:color w:val="auto"/>
        </w:rPr>
      </w:pPr>
    </w:p>
    <w:p>
      <w:pPr>
        <w:ind w:left="900" w:right="24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3.w</w:t>
      </w:r>
      <w:r>
        <w:rPr>
          <w:sz w:val="20"/>
          <w:szCs w:val="20"/>
          <w:color w:val="auto"/>
        </w:rPr>
        <w:tab/>
      </w:r>
      <w:hyperlink r:id="rId138">
        <w:r>
          <w:rPr>
            <w:rFonts w:ascii="Times New Roman" w:cs="Times New Roman" w:eastAsia="Times New Roman" w:hAnsi="Times New Roman"/>
            <w:sz w:val="18"/>
            <w:szCs w:val="18"/>
            <w:u w:val="single" w:color="auto"/>
            <w:color w:val="0000EE"/>
          </w:rPr>
          <w:t>Restated Certificate of Incorporation of CR USA, Inc., as amended (incorporated by reference to Exhibit 3.aa of Amendment No. 2 to the</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Registrant’s Registration Statement on Form S-4 dated October 17, 2013 (File No. 333-190694)).</w:t>
        </w:r>
      </w:hyperlink>
    </w:p>
    <w:p>
      <w:pPr>
        <w:spacing w:after="0" w:line="54" w:lineRule="exact"/>
        <w:rPr>
          <w:sz w:val="20"/>
          <w:szCs w:val="20"/>
          <w:color w:val="auto"/>
        </w:rPr>
      </w:pPr>
    </w:p>
    <w:p>
      <w:pPr>
        <w:ind w:left="90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3.x</w:t>
      </w:r>
      <w:r>
        <w:rPr>
          <w:sz w:val="20"/>
          <w:szCs w:val="20"/>
          <w:color w:val="auto"/>
        </w:rPr>
        <w:tab/>
      </w:r>
      <w:hyperlink r:id="rId139">
        <w:r>
          <w:rPr>
            <w:rFonts w:ascii="Times New Roman" w:cs="Times New Roman" w:eastAsia="Times New Roman" w:hAnsi="Times New Roman"/>
            <w:sz w:val="18"/>
            <w:szCs w:val="18"/>
            <w:u w:val="single" w:color="auto"/>
            <w:color w:val="0000EE"/>
          </w:rPr>
          <w:t>Bylaws of CR USA, Inc. (incorporated by reference to Exhibit 3.bb of Amendment No. 2 to the Registrant’s Registration Statement on Form</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S-4 dated October 17, 2013 (File No. 333-190694)).</w:t>
        </w:r>
      </w:hyperlink>
    </w:p>
    <w:p>
      <w:pPr>
        <w:spacing w:after="0" w:line="54" w:lineRule="exact"/>
        <w:rPr>
          <w:sz w:val="20"/>
          <w:szCs w:val="20"/>
          <w:color w:val="auto"/>
        </w:rPr>
      </w:pPr>
    </w:p>
    <w:p>
      <w:pPr>
        <w:ind w:left="900" w:right="64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3.y</w:t>
      </w:r>
      <w:r>
        <w:rPr>
          <w:sz w:val="20"/>
          <w:szCs w:val="20"/>
          <w:color w:val="auto"/>
        </w:rPr>
        <w:tab/>
      </w:r>
      <w:hyperlink r:id="rId140">
        <w:r>
          <w:rPr>
            <w:rFonts w:ascii="Times New Roman" w:cs="Times New Roman" w:eastAsia="Times New Roman" w:hAnsi="Times New Roman"/>
            <w:sz w:val="18"/>
            <w:szCs w:val="18"/>
            <w:u w:val="single" w:color="auto"/>
            <w:color w:val="0000EE"/>
          </w:rPr>
          <w:t>Certificate of Formation of Crown Beverage Packaging, LLC (incorporated by reference to Exhibit 3.cc of Amendment No. 2 to the</w:t>
        </w:r>
      </w:hyperlink>
      <w:r>
        <w:rPr>
          <w:rFonts w:ascii="Times New Roman" w:cs="Times New Roman" w:eastAsia="Times New Roman" w:hAnsi="Times New Roman"/>
          <w:sz w:val="18"/>
          <w:szCs w:val="18"/>
          <w:u w:val="single" w:color="auto"/>
          <w:color w:val="0000EE"/>
        </w:rPr>
        <w:t xml:space="preserve"> </w:t>
      </w:r>
      <w:hyperlink r:id="rId140">
        <w:r>
          <w:rPr>
            <w:rFonts w:ascii="Times New Roman" w:cs="Times New Roman" w:eastAsia="Times New Roman" w:hAnsi="Times New Roman"/>
            <w:sz w:val="18"/>
            <w:szCs w:val="18"/>
            <w:u w:val="single" w:color="auto"/>
            <w:color w:val="0000EE"/>
          </w:rPr>
          <w:t>Registrant’s Registration Statement on Form S-4 dated October 17, 2013 (File No. 333-190694)).</w:t>
        </w:r>
      </w:hyperlink>
    </w:p>
    <w:p>
      <w:pPr>
        <w:spacing w:after="0" w:line="54" w:lineRule="exact"/>
        <w:rPr>
          <w:sz w:val="20"/>
          <w:szCs w:val="20"/>
          <w:color w:val="auto"/>
        </w:rPr>
      </w:pPr>
    </w:p>
    <w:p>
      <w:pPr>
        <w:jc w:val="center"/>
        <w:ind w:right="-119"/>
        <w:spacing w:after="0"/>
        <w:tabs>
          <w:tab w:leader="none" w:pos="5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3.z</w:t>
      </w:r>
      <w:r>
        <w:rPr>
          <w:sz w:val="20"/>
          <w:szCs w:val="20"/>
          <w:color w:val="auto"/>
        </w:rPr>
        <w:tab/>
      </w:r>
      <w:hyperlink r:id="rId141">
        <w:r>
          <w:rPr>
            <w:rFonts w:ascii="Times New Roman" w:cs="Times New Roman" w:eastAsia="Times New Roman" w:hAnsi="Times New Roman"/>
            <w:sz w:val="18"/>
            <w:szCs w:val="18"/>
            <w:u w:val="single" w:color="auto"/>
            <w:color w:val="0000EE"/>
          </w:rPr>
          <w:t>Limited Liability Company Agreement of Crown Beverage Packaging, LLC, dated as of June 30, 2010 (incorporated by reference to Exhibit</w:t>
        </w:r>
      </w:hyperlink>
    </w:p>
    <w:p>
      <w:pPr>
        <w:spacing w:after="0" w:line="27" w:lineRule="exact"/>
        <w:rPr>
          <w:sz w:val="20"/>
          <w:szCs w:val="20"/>
          <w:color w:val="auto"/>
        </w:rPr>
      </w:pPr>
    </w:p>
    <w:p>
      <w:pPr>
        <w:jc w:val="center"/>
        <w:ind w:right="-159"/>
        <w:spacing w:after="0"/>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3.dd of Amendment No. 2 to the Registrant’s Registration Statement on Form S-4 dated October 17, 2013 (File No. 333-190694)).</w:t>
        </w:r>
      </w:hyperlink>
    </w:p>
    <w:p>
      <w:pPr>
        <w:spacing w:after="0" w:line="99" w:lineRule="exact"/>
        <w:rPr>
          <w:sz w:val="20"/>
          <w:szCs w:val="20"/>
          <w:color w:val="auto"/>
        </w:rPr>
      </w:pPr>
    </w:p>
    <w:p>
      <w:pPr>
        <w:ind w:left="900" w:right="2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3.aa</w:t>
      </w:r>
      <w:r>
        <w:rPr>
          <w:sz w:val="20"/>
          <w:szCs w:val="20"/>
          <w:color w:val="auto"/>
        </w:rPr>
        <w:tab/>
      </w:r>
      <w:hyperlink r:id="rId142">
        <w:r>
          <w:rPr>
            <w:rFonts w:ascii="Times New Roman" w:cs="Times New Roman" w:eastAsia="Times New Roman" w:hAnsi="Times New Roman"/>
            <w:sz w:val="18"/>
            <w:szCs w:val="18"/>
            <w:u w:val="single" w:color="auto"/>
            <w:color w:val="0000EE"/>
          </w:rPr>
          <w:t>Certificate of Formation of Signode Industrial Group LLC (f/k/a SPG US LLC) (incorporated by reference to Exhibit 3.gg of the Registrant’s</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Registration Statement on Form S-4 filed on December 17, 2018 (File No. 333-228692)).</w:t>
        </w:r>
      </w:hyperlink>
    </w:p>
    <w:p>
      <w:pPr>
        <w:spacing w:after="0" w:line="54" w:lineRule="exact"/>
        <w:rPr>
          <w:sz w:val="20"/>
          <w:szCs w:val="20"/>
          <w:color w:val="auto"/>
        </w:rPr>
      </w:pPr>
    </w:p>
    <w:p>
      <w:pPr>
        <w:ind w:left="900" w:right="240" w:hanging="782"/>
        <w:spacing w:after="0" w:line="266"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3.bb</w:t>
      </w:r>
      <w:r>
        <w:rPr>
          <w:sz w:val="20"/>
          <w:szCs w:val="20"/>
          <w:color w:val="auto"/>
        </w:rPr>
        <w:tab/>
      </w:r>
      <w:hyperlink r:id="rId143">
        <w:r>
          <w:rPr>
            <w:rFonts w:ascii="Times New Roman" w:cs="Times New Roman" w:eastAsia="Times New Roman" w:hAnsi="Times New Roman"/>
            <w:sz w:val="18"/>
            <w:szCs w:val="18"/>
            <w:u w:val="single" w:color="auto"/>
            <w:color w:val="0000EE"/>
          </w:rPr>
          <w:t>Second Amended and Restated Limited Liability Company Agreement of Signode Industrial Group LLC (f/k/a Premark Packaging LLC),</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dated as of May 1, 2014 (incorporated by reference to Exhibit 3.hh of the Registrant’s Registration Statement on Form S-4 filed on</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December 17, 2018 (File No. 333-228692)).</w:t>
        </w:r>
      </w:hyperlink>
    </w:p>
    <w:p>
      <w:pPr>
        <w:spacing w:after="0" w:line="68" w:lineRule="exact"/>
        <w:rPr>
          <w:rFonts w:ascii="Times New Roman" w:cs="Times New Roman" w:eastAsia="Times New Roman" w:hAnsi="Times New Roman"/>
          <w:sz w:val="18"/>
          <w:szCs w:val="18"/>
          <w:u w:val="single" w:color="auto"/>
          <w:color w:val="0000EE"/>
        </w:rPr>
      </w:pPr>
    </w:p>
    <w:p>
      <w:pPr>
        <w:ind w:left="900" w:right="66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3.cc</w:t>
      </w:r>
      <w:r>
        <w:rPr>
          <w:sz w:val="20"/>
          <w:szCs w:val="20"/>
          <w:color w:val="auto"/>
        </w:rPr>
        <w:tab/>
      </w:r>
      <w:hyperlink r:id="rId144">
        <w:r>
          <w:rPr>
            <w:rFonts w:ascii="Times New Roman" w:cs="Times New Roman" w:eastAsia="Times New Roman" w:hAnsi="Times New Roman"/>
            <w:sz w:val="18"/>
            <w:szCs w:val="18"/>
            <w:u w:val="single" w:color="auto"/>
            <w:color w:val="0000EE"/>
          </w:rPr>
          <w:t>Certificate of Formation of Signode Pickling Holding LLC (incorporated by reference to Exhibit 3.ii of the Registrant’s Registration</w:t>
        </w:r>
      </w:hyperlink>
      <w:r>
        <w:rPr>
          <w:rFonts w:ascii="Times New Roman" w:cs="Times New Roman" w:eastAsia="Times New Roman" w:hAnsi="Times New Roman"/>
          <w:sz w:val="18"/>
          <w:szCs w:val="18"/>
          <w:u w:val="single" w:color="auto"/>
          <w:color w:val="0000EE"/>
        </w:rPr>
        <w:t xml:space="preserve"> </w:t>
      </w:r>
      <w:hyperlink r:id="rId144">
        <w:r>
          <w:rPr>
            <w:rFonts w:ascii="Times New Roman" w:cs="Times New Roman" w:eastAsia="Times New Roman" w:hAnsi="Times New Roman"/>
            <w:sz w:val="18"/>
            <w:szCs w:val="18"/>
            <w:u w:val="single" w:color="auto"/>
            <w:color w:val="0000EE"/>
          </w:rPr>
          <w:t>Statement on Form S-4 filed on December 17, 2018 (File No. 333-228692)).</w:t>
        </w:r>
      </w:hyperlink>
    </w:p>
    <w:p>
      <w:pPr>
        <w:spacing w:after="0" w:line="54" w:lineRule="exact"/>
        <w:rPr>
          <w:sz w:val="20"/>
          <w:szCs w:val="20"/>
          <w:color w:val="auto"/>
        </w:rPr>
      </w:pPr>
    </w:p>
    <w:p>
      <w:pPr>
        <w:ind w:left="120"/>
        <w:spacing w:after="0"/>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3.dd</w:t>
      </w:r>
      <w:r>
        <w:rPr>
          <w:sz w:val="20"/>
          <w:szCs w:val="20"/>
          <w:color w:val="auto"/>
        </w:rPr>
        <w:tab/>
      </w:r>
      <w:hyperlink r:id="rId145">
        <w:r>
          <w:rPr>
            <w:rFonts w:ascii="Times New Roman" w:cs="Times New Roman" w:eastAsia="Times New Roman" w:hAnsi="Times New Roman"/>
            <w:sz w:val="18"/>
            <w:szCs w:val="18"/>
            <w:u w:val="single" w:color="auto"/>
            <w:color w:val="0000EE"/>
          </w:rPr>
          <w:t>Limited Liability Company Agreement of Signode Pickling Holding LLC, dated as of May 22, 2009 (incorporated by reference to Exhibit</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EE"/>
        </w:rPr>
      </w:pPr>
      <w:hyperlink r:id="rId145">
        <w:r>
          <w:rPr>
            <w:rFonts w:ascii="Times New Roman" w:cs="Times New Roman" w:eastAsia="Times New Roman" w:hAnsi="Times New Roman"/>
            <w:sz w:val="18"/>
            <w:szCs w:val="18"/>
            <w:u w:val="single" w:color="auto"/>
            <w:color w:val="0000EE"/>
          </w:rPr>
          <w:t>3.jj of the Registrant’s Registration Statement on Form S-4 filed on December 17, 2018 (File No. 333-228692)).</w:t>
        </w:r>
      </w:hyperlink>
    </w:p>
    <w:p>
      <w:pPr>
        <w:spacing w:after="0" w:line="99" w:lineRule="exact"/>
        <w:rPr>
          <w:sz w:val="20"/>
          <w:szCs w:val="20"/>
          <w:color w:val="auto"/>
        </w:rPr>
      </w:pPr>
    </w:p>
    <w:p>
      <w:pPr>
        <w:ind w:left="900" w:right="12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3.ee</w:t>
      </w:r>
      <w:r>
        <w:rPr>
          <w:sz w:val="20"/>
          <w:szCs w:val="20"/>
          <w:color w:val="auto"/>
        </w:rPr>
        <w:tab/>
      </w:r>
      <w:hyperlink r:id="rId146">
        <w:r>
          <w:rPr>
            <w:rFonts w:ascii="Times New Roman" w:cs="Times New Roman" w:eastAsia="Times New Roman" w:hAnsi="Times New Roman"/>
            <w:sz w:val="18"/>
            <w:szCs w:val="18"/>
            <w:u w:val="single" w:color="auto"/>
            <w:color w:val="0000EE"/>
          </w:rPr>
          <w:t>Certificate of Formation of Signode US IP Holdings LLC (f/k/a US Packaging Acquisition LLC) (incorporated by reference to Exhibit 3.kk</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of the Registrant’s Registration Statement on Form S-4 filed on December 17, 2018 (File No. 333-228692)).</w:t>
        </w:r>
      </w:hyperlink>
    </w:p>
    <w:p>
      <w:pPr>
        <w:spacing w:after="0" w:line="54" w:lineRule="exact"/>
        <w:rPr>
          <w:sz w:val="20"/>
          <w:szCs w:val="20"/>
          <w:color w:val="auto"/>
        </w:rPr>
      </w:pPr>
    </w:p>
    <w:p>
      <w:pPr>
        <w:ind w:left="900" w:right="120" w:hanging="782"/>
        <w:spacing w:after="0" w:line="261"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3.ff</w:t>
      </w:r>
      <w:r>
        <w:rPr>
          <w:sz w:val="20"/>
          <w:szCs w:val="20"/>
          <w:color w:val="auto"/>
        </w:rPr>
        <w:tab/>
      </w:r>
      <w:hyperlink r:id="rId147">
        <w:r>
          <w:rPr>
            <w:rFonts w:ascii="Times New Roman" w:cs="Times New Roman" w:eastAsia="Times New Roman" w:hAnsi="Times New Roman"/>
            <w:sz w:val="18"/>
            <w:szCs w:val="18"/>
            <w:u w:val="single" w:color="auto"/>
            <w:color w:val="0000EE"/>
          </w:rPr>
          <w:t>Limited Liability Company Agreement of Signode US IP Holdings LLC (f/k/a US Packaging Acquisition LLC), dated as of April 14, 2014</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(incorporated by reference to Exhibit 3.ll of the Registrant’s Registration Statement on Form S-4 filed on December 17, 2018 (File</w:t>
        </w:r>
      </w:hyperlink>
    </w:p>
    <w:p>
      <w:pPr>
        <w:ind w:left="900"/>
        <w:spacing w:after="0"/>
        <w:rPr>
          <w:rFonts w:ascii="Times New Roman" w:cs="Times New Roman" w:eastAsia="Times New Roman" w:hAnsi="Times New Roman"/>
          <w:sz w:val="18"/>
          <w:szCs w:val="18"/>
          <w:u w:val="single" w:color="auto"/>
          <w:color w:val="0000EE"/>
        </w:rPr>
      </w:pPr>
      <w:hyperlink r:id="rId147">
        <w:r>
          <w:rPr>
            <w:rFonts w:ascii="Times New Roman" w:cs="Times New Roman" w:eastAsia="Times New Roman" w:hAnsi="Times New Roman"/>
            <w:sz w:val="18"/>
            <w:szCs w:val="18"/>
            <w:u w:val="single" w:color="auto"/>
            <w:color w:val="0000EE"/>
          </w:rPr>
          <w:t>No. 333-228692)).</w:t>
        </w:r>
      </w:hyperlink>
    </w:p>
    <w:p>
      <w:pPr>
        <w:spacing w:after="0" w:line="99" w:lineRule="exact"/>
        <w:rPr>
          <w:sz w:val="20"/>
          <w:szCs w:val="20"/>
          <w:color w:val="auto"/>
        </w:rPr>
      </w:pPr>
    </w:p>
    <w:p>
      <w:pPr>
        <w:ind w:left="120"/>
        <w:spacing w:after="0"/>
        <w:tabs>
          <w:tab w:leader="none" w:pos="8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3.gg</w:t>
      </w:r>
      <w:r>
        <w:rPr>
          <w:sz w:val="20"/>
          <w:szCs w:val="20"/>
          <w:color w:val="auto"/>
        </w:rPr>
        <w:tab/>
      </w:r>
      <w:hyperlink r:id="rId148">
        <w:r>
          <w:rPr>
            <w:rFonts w:ascii="Times New Roman" w:cs="Times New Roman" w:eastAsia="Times New Roman" w:hAnsi="Times New Roman"/>
            <w:sz w:val="17"/>
            <w:szCs w:val="17"/>
            <w:u w:val="single" w:color="auto"/>
            <w:color w:val="0000EE"/>
          </w:rPr>
          <w:t>Certificate of Incorporation of Signode Industrial Group US Inc. (f/k/a US Packaging Acquisition Inc.) (incorporated by reference to Exhibit</w:t>
        </w:r>
      </w:hyperlink>
    </w:p>
    <w:p>
      <w:pPr>
        <w:spacing w:after="0" w:line="27" w:lineRule="exact"/>
        <w:rPr>
          <w:sz w:val="20"/>
          <w:szCs w:val="20"/>
          <w:color w:val="auto"/>
        </w:rPr>
      </w:pPr>
    </w:p>
    <w:p>
      <w:pPr>
        <w:ind w:left="900"/>
        <w:spacing w:after="0"/>
        <w:rPr>
          <w:rFonts w:ascii="Times New Roman" w:cs="Times New Roman" w:eastAsia="Times New Roman" w:hAnsi="Times New Roman"/>
          <w:sz w:val="18"/>
          <w:szCs w:val="18"/>
          <w:u w:val="single" w:color="auto"/>
          <w:color w:val="0000EE"/>
        </w:rPr>
      </w:pPr>
      <w:hyperlink r:id="rId148">
        <w:r>
          <w:rPr>
            <w:rFonts w:ascii="Times New Roman" w:cs="Times New Roman" w:eastAsia="Times New Roman" w:hAnsi="Times New Roman"/>
            <w:sz w:val="18"/>
            <w:szCs w:val="18"/>
            <w:u w:val="single" w:color="auto"/>
            <w:color w:val="0000EE"/>
          </w:rPr>
          <w:t>3.mm of the Registrant’s Registration Statement on Form S-4 filed on December 17, 2018 (File No. 333-228692)).</w:t>
        </w:r>
      </w:hyperlink>
    </w:p>
    <w:p>
      <w:pPr>
        <w:spacing w:after="0" w:line="99" w:lineRule="exact"/>
        <w:rPr>
          <w:sz w:val="20"/>
          <w:szCs w:val="20"/>
          <w:color w:val="auto"/>
        </w:rPr>
      </w:pPr>
    </w:p>
    <w:p>
      <w:pPr>
        <w:ind w:left="900" w:right="68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3.hh</w:t>
      </w:r>
      <w:r>
        <w:rPr>
          <w:sz w:val="20"/>
          <w:szCs w:val="20"/>
          <w:color w:val="auto"/>
        </w:rPr>
        <w:tab/>
      </w:r>
      <w:hyperlink r:id="rId149">
        <w:r>
          <w:rPr>
            <w:rFonts w:ascii="Times New Roman" w:cs="Times New Roman" w:eastAsia="Times New Roman" w:hAnsi="Times New Roman"/>
            <w:sz w:val="18"/>
            <w:szCs w:val="18"/>
            <w:u w:val="single" w:color="auto"/>
            <w:color w:val="0000EE"/>
          </w:rPr>
          <w:t>Bylaws of Signode Industrial Group US Inc. (f/k/a US Packaging Acquisition Inc.) (incorporated by reference to Exhibit 3.nn of the</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Registrant’s Registration Statement on Form S-4 filed on December 17, 2018 (File No. 333-228692)).</w:t>
        </w:r>
      </w:hyperlink>
    </w:p>
    <w:p>
      <w:pPr>
        <w:spacing w:after="0" w:line="54" w:lineRule="exact"/>
        <w:rPr>
          <w:sz w:val="20"/>
          <w:szCs w:val="20"/>
          <w:color w:val="auto"/>
        </w:rPr>
      </w:pPr>
    </w:p>
    <w:p>
      <w:pPr>
        <w:ind w:left="900" w:right="36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3.ii</w:t>
      </w:r>
      <w:r>
        <w:rPr>
          <w:sz w:val="20"/>
          <w:szCs w:val="20"/>
          <w:color w:val="auto"/>
        </w:rPr>
        <w:tab/>
      </w:r>
      <w:hyperlink r:id="rId150">
        <w:r>
          <w:rPr>
            <w:rFonts w:ascii="Times New Roman" w:cs="Times New Roman" w:eastAsia="Times New Roman" w:hAnsi="Times New Roman"/>
            <w:sz w:val="18"/>
            <w:szCs w:val="18"/>
            <w:u w:val="single" w:color="auto"/>
            <w:color w:val="0000EE"/>
          </w:rPr>
          <w:t>Certificate of Incorporation of Signode Industrial Group Holdings US Inc. (incorporated by reference to Exhibit 3.oo of the Registrant’s</w:t>
        </w:r>
      </w:hyperlink>
      <w:r>
        <w:rPr>
          <w:rFonts w:ascii="Times New Roman" w:cs="Times New Roman" w:eastAsia="Times New Roman" w:hAnsi="Times New Roman"/>
          <w:sz w:val="18"/>
          <w:szCs w:val="18"/>
          <w:u w:val="single" w:color="auto"/>
          <w:color w:val="0000EE"/>
        </w:rPr>
        <w:t xml:space="preserve"> </w:t>
      </w:r>
      <w:hyperlink r:id="rId150">
        <w:r>
          <w:rPr>
            <w:rFonts w:ascii="Times New Roman" w:cs="Times New Roman" w:eastAsia="Times New Roman" w:hAnsi="Times New Roman"/>
            <w:sz w:val="18"/>
            <w:szCs w:val="18"/>
            <w:u w:val="single" w:color="auto"/>
            <w:color w:val="0000EE"/>
          </w:rPr>
          <w:t>Registration Statement on Form S-4 filed on December 17, 2018 (File No. 333-228692)).</w:t>
        </w:r>
      </w:hyperlink>
    </w:p>
    <w:p>
      <w:pPr>
        <w:spacing w:after="0" w:line="54" w:lineRule="exact"/>
        <w:rPr>
          <w:sz w:val="20"/>
          <w:szCs w:val="20"/>
          <w:color w:val="auto"/>
        </w:rPr>
      </w:pPr>
    </w:p>
    <w:p>
      <w:pPr>
        <w:ind w:left="900" w:right="140" w:hanging="782"/>
        <w:spacing w:after="0" w:line="282" w:lineRule="auto"/>
        <w:tabs>
          <w:tab w:leader="none" w:pos="8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3.jj</w:t>
      </w:r>
      <w:r>
        <w:rPr>
          <w:sz w:val="20"/>
          <w:szCs w:val="20"/>
          <w:color w:val="auto"/>
        </w:rPr>
        <w:tab/>
      </w:r>
      <w:hyperlink r:id="rId151">
        <w:r>
          <w:rPr>
            <w:rFonts w:ascii="Times New Roman" w:cs="Times New Roman" w:eastAsia="Times New Roman" w:hAnsi="Times New Roman"/>
            <w:sz w:val="18"/>
            <w:szCs w:val="18"/>
            <w:u w:val="single" w:color="auto"/>
            <w:color w:val="0000EE"/>
          </w:rPr>
          <w:t>Bylaws of Signode Industrial Group Holdings US Inc. (incorporated by reference to Exhibit 3.pp of the Registrant’s Registration Statement</w:t>
        </w:r>
      </w:hyperlink>
      <w:r>
        <w:rPr>
          <w:rFonts w:ascii="Times New Roman" w:cs="Times New Roman" w:eastAsia="Times New Roman" w:hAnsi="Times New Roman"/>
          <w:sz w:val="18"/>
          <w:szCs w:val="18"/>
          <w:u w:val="single" w:color="auto"/>
          <w:color w:val="0000EE"/>
        </w:rPr>
        <w:t xml:space="preserve"> </w:t>
      </w:r>
      <w:hyperlink r:id="rId151">
        <w:r>
          <w:rPr>
            <w:rFonts w:ascii="Times New Roman" w:cs="Times New Roman" w:eastAsia="Times New Roman" w:hAnsi="Times New Roman"/>
            <w:sz w:val="18"/>
            <w:szCs w:val="18"/>
            <w:u w:val="single" w:color="auto"/>
            <w:color w:val="0000EE"/>
          </w:rPr>
          <w:t>on Form S-4 filed on December 17, 2018 (File No. 333-228692)).</w:t>
        </w:r>
      </w:hyperlink>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80"/>
          </w:cols>
          <w:pgMar w:left="320" w:top="455"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3.kk</w:t>
            </w:r>
          </w:p>
        </w:tc>
        <w:tc>
          <w:tcPr>
            <w:tcW w:w="10120" w:type="dxa"/>
            <w:vAlign w:val="bottom"/>
            <w:gridSpan w:val="27"/>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Certificate of Formation of Signode International IP Holdings LLC (incorporated by reference to Exhibit 3.qq of the Registrant’s</w:t>
              </w:r>
            </w:hyperlink>
          </w:p>
        </w:tc>
      </w:tr>
      <w:tr>
        <w:trPr>
          <w:trHeight w:val="196"/>
        </w:trPr>
        <w:tc>
          <w:tcPr>
            <w:tcW w:w="880" w:type="dxa"/>
            <w:vAlign w:val="bottom"/>
          </w:tcPr>
          <w:p>
            <w:pPr>
              <w:spacing w:after="0"/>
              <w:rPr>
                <w:sz w:val="17"/>
                <w:szCs w:val="17"/>
                <w:color w:val="auto"/>
              </w:rPr>
            </w:pPr>
          </w:p>
        </w:tc>
        <w:tc>
          <w:tcPr>
            <w:tcW w:w="64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Registration Statement on Form S-4 filed on December 17, 2018 (File No. 333-228692)).</w:t>
              </w:r>
            </w:hyperlink>
          </w:p>
        </w:tc>
        <w:tc>
          <w:tcPr>
            <w:tcW w:w="2840" w:type="dxa"/>
            <w:vAlign w:val="bottom"/>
            <w:tcBorders>
              <w:top w:val="single" w:sz="8" w:color="0000EE"/>
            </w:tcBorders>
            <w:gridSpan w:val="6"/>
          </w:tcPr>
          <w:p>
            <w:pPr>
              <w:spacing w:after="0"/>
              <w:rPr>
                <w:sz w:val="17"/>
                <w:szCs w:val="17"/>
                <w:color w:val="auto"/>
              </w:rPr>
            </w:pPr>
          </w:p>
        </w:tc>
        <w:tc>
          <w:tcPr>
            <w:tcW w:w="840" w:type="dxa"/>
            <w:vAlign w:val="bottom"/>
            <w:gridSpan w:val="15"/>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3.ll</w:t>
            </w:r>
          </w:p>
        </w:tc>
        <w:tc>
          <w:tcPr>
            <w:tcW w:w="100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Limited Liability Company Agreement of Signode International IP Holdings LLC, dated as of April 23, 2014 (incorporated by reference to</w:t>
              </w:r>
            </w:hyperlink>
          </w:p>
        </w:tc>
        <w:tc>
          <w:tcPr>
            <w:tcW w:w="4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Exhibit 3.rr of the Registrant’s Registration Statement on Form S-4 filed on December 17, 2018 (File No. 333-228692)).</w:t>
              </w:r>
            </w:hyperlink>
          </w:p>
        </w:tc>
      </w:tr>
      <w:tr>
        <w:trPr>
          <w:trHeight w:val="20"/>
        </w:trPr>
        <w:tc>
          <w:tcPr>
            <w:tcW w:w="88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3.mm</w:t>
            </w:r>
          </w:p>
        </w:tc>
        <w:tc>
          <w:tcPr>
            <w:tcW w:w="95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Certificate of Formation of Simplimatic Engineering Holdings, LLC (incorporated by reference to Exhibit 3.mm of the Registrant’s</w:t>
              </w:r>
            </w:hyperlink>
          </w:p>
        </w:tc>
        <w:tc>
          <w:tcPr>
            <w:tcW w:w="600" w:type="dxa"/>
            <w:vAlign w:val="bottom"/>
            <w:gridSpan w:val="1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4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Registration Statement on Form S-4 filed on November 14, 2022 (File No. 333-268350)).</w:t>
              </w:r>
            </w:hyperlink>
          </w:p>
        </w:tc>
        <w:tc>
          <w:tcPr>
            <w:tcW w:w="3640" w:type="dxa"/>
            <w:vAlign w:val="bottom"/>
            <w:gridSpan w:val="1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3.nn</w:t>
            </w:r>
          </w:p>
        </w:tc>
        <w:tc>
          <w:tcPr>
            <w:tcW w:w="96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Limited Liability Company Agreement of Simplimatic Engineering Holdings, LLC (incorporated by reference to Exhibit 3.nn of the</w:t>
              </w:r>
            </w:hyperlink>
          </w:p>
        </w:tc>
        <w:tc>
          <w:tcPr>
            <w:tcW w:w="52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Registrant’s Registration Statement on Form S-4 filed on November 14, 2022 (File No. 333-268350)).</w:t>
              </w:r>
            </w:hyperlink>
          </w:p>
        </w:tc>
      </w:tr>
      <w:tr>
        <w:trPr>
          <w:trHeight w:val="20"/>
        </w:trPr>
        <w:tc>
          <w:tcPr>
            <w:tcW w:w="88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3.oo</w:t>
            </w:r>
          </w:p>
        </w:tc>
        <w:tc>
          <w:tcPr>
            <w:tcW w:w="95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Certificate of Formation of Simplimatic Automation LLC (incorporated by reference to Exhibit 3.oo of the Registrant’s Registration</w:t>
              </w:r>
            </w:hyperlink>
          </w:p>
        </w:tc>
        <w:tc>
          <w:tcPr>
            <w:tcW w:w="540" w:type="dxa"/>
            <w:vAlign w:val="bottom"/>
            <w:gridSpan w:val="1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Statement on Form S-4 filed on November 14, 2022 (File No. 333-268350)).</w:t>
              </w:r>
            </w:hyperlink>
          </w:p>
        </w:tc>
        <w:tc>
          <w:tcPr>
            <w:tcW w:w="4560" w:type="dxa"/>
            <w:vAlign w:val="bottom"/>
            <w:gridSpan w:val="2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3.pp</w:t>
            </w:r>
          </w:p>
        </w:tc>
        <w:tc>
          <w:tcPr>
            <w:tcW w:w="10120" w:type="dxa"/>
            <w:vAlign w:val="bottom"/>
            <w:gridSpan w:val="27"/>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Limited Liability Company Agreement of Simplimatic Automation LLC (incorporated by reference to Exhibit 3.pp of the Registrant’s</w:t>
              </w:r>
            </w:hyperlink>
          </w:p>
        </w:tc>
      </w:tr>
      <w:tr>
        <w:trPr>
          <w:trHeight w:val="196"/>
        </w:trPr>
        <w:tc>
          <w:tcPr>
            <w:tcW w:w="88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Registration Statement on Form S-4 filed on November 14, 2022 (File No. 333-268350)).</w:t>
              </w:r>
            </w:hyperlink>
          </w:p>
        </w:tc>
        <w:tc>
          <w:tcPr>
            <w:tcW w:w="3260" w:type="dxa"/>
            <w:vAlign w:val="bottom"/>
            <w:tcBorders>
              <w:top w:val="single" w:sz="8" w:color="0000EE"/>
            </w:tcBorders>
            <w:gridSpan w:val="11"/>
          </w:tcPr>
          <w:p>
            <w:pPr>
              <w:spacing w:after="0"/>
              <w:rPr>
                <w:sz w:val="17"/>
                <w:szCs w:val="17"/>
                <w:color w:val="auto"/>
              </w:rPr>
            </w:pPr>
          </w:p>
        </w:tc>
        <w:tc>
          <w:tcPr>
            <w:tcW w:w="400" w:type="dxa"/>
            <w:vAlign w:val="bottom"/>
            <w:gridSpan w:val="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3.qq</w:t>
            </w:r>
          </w:p>
        </w:tc>
        <w:tc>
          <w:tcPr>
            <w:tcW w:w="97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Certificate of Formation of SEH Real Estate Holdings LLC (incorporated by reference to Exhibit 3.qq of the Registrant’s Registration</w:t>
              </w:r>
            </w:hyperlink>
          </w:p>
        </w:tc>
        <w:tc>
          <w:tcPr>
            <w:tcW w:w="42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Statement on Form S-4 filed on November 14, 2022 (File No. 333-268350)).</w:t>
              </w:r>
            </w:hyperlink>
          </w:p>
        </w:tc>
        <w:tc>
          <w:tcPr>
            <w:tcW w:w="4560" w:type="dxa"/>
            <w:vAlign w:val="bottom"/>
            <w:gridSpan w:val="2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3.rr</w:t>
            </w:r>
          </w:p>
        </w:tc>
        <w:tc>
          <w:tcPr>
            <w:tcW w:w="10120" w:type="dxa"/>
            <w:vAlign w:val="bottom"/>
            <w:gridSpan w:val="27"/>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Limited Liability Agreement of SEH Real Estate Holdings LLC (incorporated by reference to Exhibit 3.rr of the Registrant’s Registration</w:t>
              </w:r>
            </w:hyperlink>
          </w:p>
        </w:tc>
      </w:tr>
      <w:tr>
        <w:trPr>
          <w:trHeight w:val="196"/>
        </w:trPr>
        <w:tc>
          <w:tcPr>
            <w:tcW w:w="880" w:type="dxa"/>
            <w:vAlign w:val="bottom"/>
          </w:tcPr>
          <w:p>
            <w:pPr>
              <w:spacing w:after="0"/>
              <w:rPr>
                <w:sz w:val="17"/>
                <w:szCs w:val="17"/>
                <w:color w:val="auto"/>
              </w:rPr>
            </w:pPr>
          </w:p>
        </w:tc>
        <w:tc>
          <w:tcPr>
            <w:tcW w:w="55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Statement on Form S-4 filed on November 14, 2022 (File No. 333-268350)).</w:t>
              </w:r>
            </w:hyperlink>
          </w:p>
        </w:tc>
        <w:tc>
          <w:tcPr>
            <w:tcW w:w="4420" w:type="dxa"/>
            <w:vAlign w:val="bottom"/>
            <w:tcBorders>
              <w:top w:val="single" w:sz="8" w:color="0000EE"/>
            </w:tcBorders>
            <w:gridSpan w:val="21"/>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3.ss</w:t>
            </w:r>
          </w:p>
        </w:tc>
        <w:tc>
          <w:tcPr>
            <w:tcW w:w="10120" w:type="dxa"/>
            <w:vAlign w:val="bottom"/>
            <w:gridSpan w:val="27"/>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Certificate of Formation of SE International Holdings LLC (incorporated by reference to Exhibit 3.ss of the Registrant’s Registration</w:t>
              </w:r>
            </w:hyperlink>
          </w:p>
        </w:tc>
      </w:tr>
      <w:tr>
        <w:trPr>
          <w:trHeight w:val="196"/>
        </w:trPr>
        <w:tc>
          <w:tcPr>
            <w:tcW w:w="880" w:type="dxa"/>
            <w:vAlign w:val="bottom"/>
          </w:tcPr>
          <w:p>
            <w:pPr>
              <w:spacing w:after="0"/>
              <w:rPr>
                <w:sz w:val="17"/>
                <w:szCs w:val="17"/>
                <w:color w:val="auto"/>
              </w:rPr>
            </w:pPr>
          </w:p>
        </w:tc>
        <w:tc>
          <w:tcPr>
            <w:tcW w:w="55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Statement on Form S-4 filed on November 14, 2022 (File No. 333-268350)).</w:t>
              </w:r>
            </w:hyperlink>
          </w:p>
        </w:tc>
        <w:tc>
          <w:tcPr>
            <w:tcW w:w="4060" w:type="dxa"/>
            <w:vAlign w:val="bottom"/>
            <w:tcBorders>
              <w:top w:val="single" w:sz="8" w:color="0000EE"/>
            </w:tcBorders>
            <w:gridSpan w:val="11"/>
          </w:tcPr>
          <w:p>
            <w:pPr>
              <w:spacing w:after="0"/>
              <w:rPr>
                <w:sz w:val="17"/>
                <w:szCs w:val="17"/>
                <w:color w:val="auto"/>
              </w:rPr>
            </w:pPr>
          </w:p>
        </w:tc>
        <w:tc>
          <w:tcPr>
            <w:tcW w:w="500" w:type="dxa"/>
            <w:vAlign w:val="bottom"/>
            <w:gridSpan w:val="11"/>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3.tt</w:t>
            </w:r>
          </w:p>
        </w:tc>
        <w:tc>
          <w:tcPr>
            <w:tcW w:w="99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Limited Liability Agreement of SE International Holdings LLC (incorporated by reference to Exhibit 3.tt of the Registrant’s Registration</w:t>
              </w:r>
            </w:hyperlink>
          </w:p>
        </w:tc>
        <w:tc>
          <w:tcPr>
            <w:tcW w:w="20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Statement on Form S-4 filed on November 14, 2022 (File No. 333-268350)).</w:t>
              </w:r>
            </w:hyperlink>
          </w:p>
        </w:tc>
        <w:tc>
          <w:tcPr>
            <w:tcW w:w="4560" w:type="dxa"/>
            <w:vAlign w:val="bottom"/>
            <w:gridSpan w:val="2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3.uu</w:t>
            </w:r>
          </w:p>
        </w:tc>
        <w:tc>
          <w:tcPr>
            <w:tcW w:w="98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Certificate of Formation of SE International Holdings II LLC (incorporated by reference to Exhibit 3.uu of the Registrant’s Registration</w:t>
              </w:r>
            </w:hyperlink>
          </w:p>
        </w:tc>
        <w:tc>
          <w:tcPr>
            <w:tcW w:w="280" w:type="dxa"/>
            <w:vAlign w:val="bottom"/>
            <w:gridSpan w:val="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5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Statement on Form S-4 filed on November 14, 2022 (File No. 333-268350)).</w:t>
              </w:r>
            </w:hyperlink>
          </w:p>
        </w:tc>
        <w:tc>
          <w:tcPr>
            <w:tcW w:w="4560" w:type="dxa"/>
            <w:vAlign w:val="bottom"/>
            <w:gridSpan w:val="2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3.vv</w:t>
            </w:r>
          </w:p>
        </w:tc>
        <w:tc>
          <w:tcPr>
            <w:tcW w:w="9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Limited Liability Agreement of SE International Holdings II LLC (incorporated by reference to Exhibit 3.vv of the Registrant’s</w:t>
              </w:r>
            </w:hyperlink>
          </w:p>
        </w:tc>
        <w:tc>
          <w:tcPr>
            <w:tcW w:w="880" w:type="dxa"/>
            <w:vAlign w:val="bottom"/>
            <w:gridSpan w:val="16"/>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4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Registration Statement on Form S-4 filed on November 14, 2022 (File No. 333-268350)).</w:t>
              </w:r>
            </w:hyperlink>
          </w:p>
        </w:tc>
        <w:tc>
          <w:tcPr>
            <w:tcW w:w="3640" w:type="dxa"/>
            <w:vAlign w:val="bottom"/>
            <w:gridSpan w:val="19"/>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4.a</w:t>
            </w:r>
          </w:p>
        </w:tc>
        <w:tc>
          <w:tcPr>
            <w:tcW w:w="98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Specimen certificate of Registrant’s Common Stock (incorporated by reference to Exhibit 4.a of the Registrant’s Annual Report on Form</w:t>
              </w:r>
            </w:hyperlink>
          </w:p>
        </w:tc>
        <w:tc>
          <w:tcPr>
            <w:tcW w:w="26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6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10-K for the year ended December 31, 1995 (File No. 1-2227)).</w:t>
              </w:r>
            </w:hyperlink>
          </w:p>
        </w:tc>
        <w:tc>
          <w:tcPr>
            <w:tcW w:w="5520" w:type="dxa"/>
            <w:vAlign w:val="bottom"/>
            <w:gridSpan w:val="24"/>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4.b</w:t>
            </w:r>
          </w:p>
        </w:tc>
        <w:tc>
          <w:tcPr>
            <w:tcW w:w="98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Indenture, dated December 17, 1996, among Crown Cork &amp; Seal Company, Inc., Crown Cork &amp; Seal Finance PLC, Crown Cork &amp; Seal</w:t>
              </w:r>
            </w:hyperlink>
          </w:p>
        </w:tc>
        <w:tc>
          <w:tcPr>
            <w:tcW w:w="24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8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Finance S.A. and the Bank of New York, as trustee (incorporated by reference to Exhibit 4.1 of the Registrant’s Current Report on Form</w:t>
              </w:r>
            </w:hyperlink>
          </w:p>
        </w:tc>
        <w:tc>
          <w:tcPr>
            <w:tcW w:w="30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8-K dated December 17, 1996 (File No. 1-2227)).</w:t>
              </w:r>
            </w:hyperlink>
          </w:p>
        </w:tc>
        <w:tc>
          <w:tcPr>
            <w:tcW w:w="6520" w:type="dxa"/>
            <w:vAlign w:val="bottom"/>
            <w:gridSpan w:val="26"/>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4.c</w:t>
            </w:r>
          </w:p>
        </w:tc>
        <w:tc>
          <w:tcPr>
            <w:tcW w:w="10120" w:type="dxa"/>
            <w:vAlign w:val="bottom"/>
            <w:gridSpan w:val="27"/>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of the Registrant’s 7-3/8% Debentures Due 2026 (incorporated by reference to Exhibit 99.1 of the Registrant’s Current Report on</w:t>
              </w:r>
            </w:hyperlink>
          </w:p>
        </w:tc>
      </w:tr>
      <w:tr>
        <w:trPr>
          <w:trHeight w:val="196"/>
        </w:trPr>
        <w:tc>
          <w:tcPr>
            <w:tcW w:w="880" w:type="dxa"/>
            <w:vAlign w:val="bottom"/>
          </w:tcPr>
          <w:p>
            <w:pPr>
              <w:spacing w:after="0"/>
              <w:rPr>
                <w:sz w:val="17"/>
                <w:szCs w:val="17"/>
                <w:color w:val="auto"/>
              </w:rPr>
            </w:pPr>
          </w:p>
        </w:tc>
        <w:tc>
          <w:tcPr>
            <w:tcW w:w="97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8-K dated December 17, 1996 (File No. 1-2227)).</w:t>
              </w:r>
            </w:hyperlink>
          </w:p>
        </w:tc>
        <w:tc>
          <w:tcPr>
            <w:tcW w:w="380" w:type="dxa"/>
            <w:vAlign w:val="bottom"/>
            <w:gridSpan w:val="8"/>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100" w:type="dxa"/>
            <w:vAlign w:val="bottom"/>
            <w:gridSpan w:val="25"/>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4.d</w:t>
            </w:r>
          </w:p>
        </w:tc>
        <w:tc>
          <w:tcPr>
            <w:tcW w:w="101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Officers’ Certificate for 7-3/8% Debentures Due 2026 (incorporated by reference to Exhibit 99.6 of the Registrant’s Current Report on Form</w:t>
              </w:r>
            </w:hyperlink>
          </w:p>
        </w:tc>
      </w:tr>
      <w:tr>
        <w:trPr>
          <w:trHeight w:val="196"/>
        </w:trPr>
        <w:tc>
          <w:tcPr>
            <w:tcW w:w="880" w:type="dxa"/>
            <w:vAlign w:val="bottom"/>
          </w:tcPr>
          <w:p>
            <w:pPr>
              <w:spacing w:after="0"/>
              <w:rPr>
                <w:sz w:val="17"/>
                <w:szCs w:val="17"/>
                <w:color w:val="auto"/>
              </w:rPr>
            </w:pPr>
          </w:p>
        </w:tc>
        <w:tc>
          <w:tcPr>
            <w:tcW w:w="10120" w:type="dxa"/>
            <w:vAlign w:val="bottom"/>
            <w:gridSpan w:val="27"/>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8-K dated December 17, 1996 (File No. 1-2227)).</w:t>
              </w:r>
            </w:hyperlink>
          </w:p>
        </w:tc>
      </w:tr>
      <w:tr>
        <w:trPr>
          <w:trHeight w:val="385"/>
        </w:trPr>
        <w:tc>
          <w:tcPr>
            <w:tcW w:w="880" w:type="dxa"/>
            <w:vAlign w:val="bottom"/>
          </w:tcPr>
          <w:p>
            <w:pPr>
              <w:spacing w:after="0"/>
              <w:rPr>
                <w:sz w:val="24"/>
                <w:szCs w:val="24"/>
                <w:color w:val="auto"/>
              </w:rPr>
            </w:pPr>
          </w:p>
        </w:tc>
        <w:tc>
          <w:tcPr>
            <w:tcW w:w="36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100" w:type="dxa"/>
            <w:vAlign w:val="bottom"/>
            <w:gridSpan w:val="25"/>
          </w:tcPr>
          <w:p>
            <w:pPr>
              <w:ind w:left="46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4.e</w:t>
            </w:r>
          </w:p>
        </w:tc>
        <w:tc>
          <w:tcPr>
            <w:tcW w:w="10100" w:type="dxa"/>
            <w:vAlign w:val="bottom"/>
            <w:gridSpan w:val="34"/>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of the Registrant’s 7-1/2% Debentures Due 2096 (incorporated by reference to Exhibit 99.2 of the Registrant’s Current Report on</w:t>
              </w:r>
            </w:hyperlink>
          </w:p>
        </w:tc>
      </w:tr>
      <w:tr>
        <w:trPr>
          <w:trHeight w:val="196"/>
        </w:trPr>
        <w:tc>
          <w:tcPr>
            <w:tcW w:w="880" w:type="dxa"/>
            <w:vAlign w:val="bottom"/>
          </w:tcPr>
          <w:p>
            <w:pPr>
              <w:spacing w:after="0"/>
              <w:rPr>
                <w:sz w:val="17"/>
                <w:szCs w:val="17"/>
                <w:color w:val="auto"/>
              </w:rPr>
            </w:pPr>
          </w:p>
        </w:tc>
        <w:tc>
          <w:tcPr>
            <w:tcW w:w="97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8-K dated December 17, 1996 (File No. 1-2227)).</w:t>
              </w:r>
            </w:hyperlink>
          </w:p>
        </w:tc>
        <w:tc>
          <w:tcPr>
            <w:tcW w:w="360" w:type="dxa"/>
            <w:vAlign w:val="bottom"/>
            <w:gridSpan w:val="10"/>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4.f</w:t>
            </w:r>
          </w:p>
        </w:tc>
        <w:tc>
          <w:tcPr>
            <w:tcW w:w="98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Officers’ Certificate for 7-1/2 % Debentures Due 2096 (incorporated by reference to Exhibit 99.7 of the Registrant’s Current Report on</w:t>
              </w:r>
            </w:hyperlink>
          </w:p>
        </w:tc>
        <w:tc>
          <w:tcPr>
            <w:tcW w:w="300" w:type="dxa"/>
            <w:vAlign w:val="bottom"/>
            <w:gridSpan w:val="8"/>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40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8-K dated December 17, 1996 (File No. 1-2227)).</w:t>
              </w:r>
            </w:hyperlink>
          </w:p>
        </w:tc>
        <w:tc>
          <w:tcPr>
            <w:tcW w:w="6020" w:type="dxa"/>
            <w:vAlign w:val="bottom"/>
            <w:gridSpan w:val="2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4.g</w:t>
            </w:r>
          </w:p>
        </w:tc>
        <w:tc>
          <w:tcPr>
            <w:tcW w:w="97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Terms Agreement, dated December 12, 1996 (incorporated by reference to Exhibit 1.1 of the Registrant’s Current Report on Form 8-K</w:t>
              </w:r>
            </w:hyperlink>
          </w:p>
        </w:tc>
        <w:tc>
          <w:tcPr>
            <w:tcW w:w="40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dated December 17, 1996 (File No. 1-2227)).</w:t>
              </w:r>
            </w:hyperlink>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4.h</w:t>
            </w:r>
          </w:p>
        </w:tc>
        <w:tc>
          <w:tcPr>
            <w:tcW w:w="10100" w:type="dxa"/>
            <w:vAlign w:val="bottom"/>
            <w:gridSpan w:val="34"/>
          </w:tcPr>
          <w:p>
            <w:pPr>
              <w:spacing w:after="0"/>
              <w:rPr>
                <w:sz w:val="20"/>
                <w:szCs w:val="20"/>
                <w:color w:val="auto"/>
              </w:rPr>
            </w:pPr>
            <w:r>
              <w:rPr>
                <w:rFonts w:ascii="Times New Roman" w:cs="Times New Roman" w:eastAsia="Times New Roman" w:hAnsi="Times New Roman"/>
                <w:sz w:val="18"/>
                <w:szCs w:val="18"/>
                <w:color w:val="auto"/>
              </w:rPr>
              <w:t>Form of Bearer Security Depositary Agreement (incorporated by reference to Exhibit 4.2 of the Registrant’s Registration Statement on</w:t>
            </w:r>
          </w:p>
        </w:tc>
      </w:tr>
      <w:tr>
        <w:trPr>
          <w:trHeight w:val="194"/>
        </w:trPr>
        <w:tc>
          <w:tcPr>
            <w:tcW w:w="880" w:type="dxa"/>
            <w:vAlign w:val="bottom"/>
          </w:tcPr>
          <w:p>
            <w:pPr>
              <w:spacing w:after="0"/>
              <w:rPr>
                <w:sz w:val="16"/>
                <w:szCs w:val="16"/>
                <w:color w:val="auto"/>
              </w:rPr>
            </w:pPr>
          </w:p>
        </w:tc>
        <w:tc>
          <w:tcPr>
            <w:tcW w:w="10100" w:type="dxa"/>
            <w:vAlign w:val="bottom"/>
            <w:gridSpan w:val="34"/>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S-3, dated </w:t>
            </w:r>
            <w:hyperlink r:id="rId168">
              <w:r>
                <w:rPr>
                  <w:rFonts w:ascii="Times New Roman" w:cs="Times New Roman" w:eastAsia="Times New Roman" w:hAnsi="Times New Roman"/>
                  <w:sz w:val="18"/>
                  <w:szCs w:val="18"/>
                  <w:color w:val="0000EE"/>
                </w:rPr>
                <w:t>November 26, 1996</w:t>
              </w:r>
            </w:hyperlink>
            <w:r>
              <w:rPr>
                <w:rFonts w:ascii="Times New Roman" w:cs="Times New Roman" w:eastAsia="Times New Roman" w:hAnsi="Times New Roman"/>
                <w:sz w:val="18"/>
                <w:szCs w:val="18"/>
                <w:color w:val="auto"/>
              </w:rPr>
              <w:t xml:space="preserve">, amended </w:t>
            </w:r>
            <w:hyperlink r:id="rId169">
              <w:r>
                <w:rPr>
                  <w:rFonts w:ascii="Times New Roman" w:cs="Times New Roman" w:eastAsia="Times New Roman" w:hAnsi="Times New Roman"/>
                  <w:sz w:val="18"/>
                  <w:szCs w:val="18"/>
                  <w:color w:val="0000EE"/>
                </w:rPr>
                <w:t>December 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170">
              <w:r>
                <w:rPr>
                  <w:rFonts w:ascii="Times New Roman" w:cs="Times New Roman" w:eastAsia="Times New Roman" w:hAnsi="Times New Roman"/>
                  <w:sz w:val="18"/>
                  <w:szCs w:val="18"/>
                  <w:color w:val="0000EE"/>
                </w:rPr>
                <w:t>10, 1996</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(File No. 333-16869)).</w:t>
            </w: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4.i</w:t>
            </w:r>
          </w:p>
        </w:tc>
        <w:tc>
          <w:tcPr>
            <w:tcW w:w="97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Supplemental Indenture to Indenture dated December 17, 1996, dated as of February 25, 2003, between Crown Cork &amp; Seal Company,</w:t>
              </w:r>
            </w:hyperlink>
          </w:p>
        </w:tc>
        <w:tc>
          <w:tcPr>
            <w:tcW w:w="320" w:type="dxa"/>
            <w:vAlign w:val="bottom"/>
            <w:gridSpan w:val="9"/>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Inc., as Issuer and Guarantor, Crown Cork &amp; Seal Finance PLC, as Issuer, Crown Cork &amp; Seal Finance S.A., as Issuer, Crown Holdings,</w:t>
              </w:r>
            </w:hyperlink>
          </w:p>
        </w:tc>
        <w:tc>
          <w:tcPr>
            <w:tcW w:w="220" w:type="dxa"/>
            <w:vAlign w:val="bottom"/>
            <w:gridSpan w:val="7"/>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Inc., as Additional Guarantor and Bank One Trust Company, N.A., as Trustee (incorporated by reference to Exhibit 4.5 of the Registrant’s</w:t>
              </w:r>
            </w:hyperlink>
          </w:p>
        </w:tc>
      </w:tr>
      <w:tr>
        <w:trPr>
          <w:trHeight w:val="196"/>
        </w:trPr>
        <w:tc>
          <w:tcPr>
            <w:tcW w:w="880" w:type="dxa"/>
            <w:vAlign w:val="bottom"/>
          </w:tcPr>
          <w:p>
            <w:pPr>
              <w:spacing w:after="0"/>
              <w:rPr>
                <w:sz w:val="17"/>
                <w:szCs w:val="17"/>
                <w:color w:val="auto"/>
              </w:rPr>
            </w:pPr>
          </w:p>
        </w:tc>
        <w:tc>
          <w:tcPr>
            <w:tcW w:w="99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Current Report on Form 8-K dated February 26, 2003 (File No. 0-50189)).</w:t>
              </w:r>
            </w:hyperlink>
          </w:p>
        </w:tc>
        <w:tc>
          <w:tcPr>
            <w:tcW w:w="160" w:type="dxa"/>
            <w:vAlign w:val="bottom"/>
            <w:gridSpan w:val="6"/>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4.j</w:t>
            </w:r>
          </w:p>
        </w:tc>
        <w:tc>
          <w:tcPr>
            <w:tcW w:w="10100" w:type="dxa"/>
            <w:vAlign w:val="bottom"/>
            <w:gridSpan w:val="34"/>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Indenture dated October 31, 2019, between Crown European Holdings S.A., the Guarantors (as defined therein), U.S. Bank National</w:t>
              </w:r>
            </w:hyperlink>
          </w:p>
        </w:tc>
      </w:tr>
      <w:tr>
        <w:trPr>
          <w:trHeight w:val="196"/>
        </w:trPr>
        <w:tc>
          <w:tcPr>
            <w:tcW w:w="880" w:type="dxa"/>
            <w:vAlign w:val="bottom"/>
          </w:tcPr>
          <w:p>
            <w:pPr>
              <w:spacing w:after="0"/>
              <w:rPr>
                <w:sz w:val="17"/>
                <w:szCs w:val="17"/>
                <w:color w:val="auto"/>
              </w:rPr>
            </w:pPr>
          </w:p>
        </w:tc>
        <w:tc>
          <w:tcPr>
            <w:tcW w:w="95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Association, as trustee, Elavon Financial Services DAC, as paying agent, as registrar and transfer agent (incorporated by reference to</w:t>
              </w:r>
            </w:hyperlink>
          </w:p>
        </w:tc>
        <w:tc>
          <w:tcPr>
            <w:tcW w:w="20" w:type="dxa"/>
            <w:vAlign w:val="bottom"/>
            <w:tcBorders>
              <w:top w:val="single" w:sz="8" w:color="0000EE"/>
            </w:tcBorders>
          </w:tcPr>
          <w:p>
            <w:pPr>
              <w:spacing w:after="0"/>
              <w:rPr>
                <w:sz w:val="17"/>
                <w:szCs w:val="17"/>
                <w:color w:val="auto"/>
              </w:rPr>
            </w:pPr>
          </w:p>
        </w:tc>
        <w:tc>
          <w:tcPr>
            <w:tcW w:w="500" w:type="dxa"/>
            <w:vAlign w:val="bottom"/>
            <w:gridSpan w:val="1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Exhibit 4.1 to Registrant’s Form 8-K filed on November 4, 2019 (File No. 0-50189)).</w:t>
              </w:r>
            </w:hyperlink>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4.k</w:t>
            </w:r>
          </w:p>
        </w:tc>
        <w:tc>
          <w:tcPr>
            <w:tcW w:w="10100" w:type="dxa"/>
            <w:vAlign w:val="bottom"/>
            <w:gridSpan w:val="34"/>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Indenture dated March 17, 2022, between Crown Americas LLC, the Guarantors (as defined therein) and U.S. Bank National Association,</w:t>
              </w:r>
            </w:hyperlink>
          </w:p>
        </w:tc>
      </w:tr>
      <w:tr>
        <w:trPr>
          <w:trHeight w:val="196"/>
        </w:trPr>
        <w:tc>
          <w:tcPr>
            <w:tcW w:w="880" w:type="dxa"/>
            <w:vAlign w:val="bottom"/>
          </w:tcPr>
          <w:p>
            <w:pPr>
              <w:spacing w:after="0"/>
              <w:rPr>
                <w:sz w:val="17"/>
                <w:szCs w:val="17"/>
                <w:color w:val="auto"/>
              </w:rPr>
            </w:pPr>
          </w:p>
        </w:tc>
        <w:tc>
          <w:tcPr>
            <w:tcW w:w="100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as trustee (incorporated by reference to Exhibit 4.1 to Registrant’s Form 8-K filed on March 21, 2022 (File No. 0-50189)).</w:t>
              </w:r>
            </w:hyperlink>
          </w:p>
        </w:tc>
        <w:tc>
          <w:tcPr>
            <w:tcW w:w="100" w:type="dxa"/>
            <w:vAlign w:val="bottom"/>
            <w:gridSpan w:val="5"/>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4.l</w:t>
            </w:r>
          </w:p>
        </w:tc>
        <w:tc>
          <w:tcPr>
            <w:tcW w:w="10100" w:type="dxa"/>
            <w:vAlign w:val="bottom"/>
            <w:gridSpan w:val="34"/>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Amended &amp; Restated Credit Agreement, dated April 7, 2017, by and among Crown Americas LLC, Crown European Holdings S.A.,</w:t>
              </w:r>
            </w:hyperlink>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900" w:type="dxa"/>
            <w:vAlign w:val="bottom"/>
            <w:gridSpan w:val="6"/>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Crown Metal Packaging Canada LP, each of the Subsidiary Borrowers from time to time party thereto, Crown Holdings, Inc., Crown Cork</w:t>
              </w:r>
            </w:hyperlink>
          </w:p>
        </w:tc>
        <w:tc>
          <w:tcPr>
            <w:tcW w:w="8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&amp; Seal Company, Inc., Crown International Holdings, Inc., each other Credit Party from time to time party thereto, Deutsche Bank AG</w:t>
              </w:r>
            </w:hyperlink>
          </w:p>
        </w:tc>
      </w:tr>
      <w:tr>
        <w:trPr>
          <w:trHeight w:val="196"/>
        </w:trPr>
        <w:tc>
          <w:tcPr>
            <w:tcW w:w="880" w:type="dxa"/>
            <w:vAlign w:val="bottom"/>
          </w:tcPr>
          <w:p>
            <w:pPr>
              <w:spacing w:after="0"/>
              <w:rPr>
                <w:sz w:val="17"/>
                <w:szCs w:val="17"/>
                <w:color w:val="auto"/>
              </w:rPr>
            </w:pPr>
          </w:p>
        </w:tc>
        <w:tc>
          <w:tcPr>
            <w:tcW w:w="950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4">
              <w:r>
                <w:rPr>
                  <w:rFonts w:ascii="Times New Roman" w:cs="Times New Roman" w:eastAsia="Times New Roman" w:hAnsi="Times New Roman"/>
                  <w:sz w:val="18"/>
                  <w:szCs w:val="18"/>
                  <w:color w:val="0000EE"/>
                  <w:w w:val="99"/>
                </w:rPr>
                <w:t>Canada Branch, Deutsche Bank AG London Branch, Deutsche Bank AG New York Branch, and various Lenders referred to therein</w:t>
              </w:r>
            </w:hyperlink>
          </w:p>
        </w:tc>
        <w:tc>
          <w:tcPr>
            <w:tcW w:w="220" w:type="dxa"/>
            <w:vAlign w:val="bottom"/>
            <w:tcBorders>
              <w:top w:val="single" w:sz="8" w:color="0000EE"/>
            </w:tcBorders>
            <w:gridSpan w:val="6"/>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(incorporated by reference to Exhibit 4 of the Registrant’s Quarterly Report on Form 10-Q for the quarter ended March 31, 2017 (File</w:t>
              </w:r>
            </w:hyperlink>
          </w:p>
        </w:tc>
      </w:tr>
      <w:tr>
        <w:trPr>
          <w:trHeight w:val="196"/>
        </w:trPr>
        <w:tc>
          <w:tcPr>
            <w:tcW w:w="880" w:type="dxa"/>
            <w:vAlign w:val="bottom"/>
          </w:tcPr>
          <w:p>
            <w:pPr>
              <w:spacing w:after="0"/>
              <w:rPr>
                <w:sz w:val="17"/>
                <w:szCs w:val="17"/>
                <w:color w:val="auto"/>
              </w:rPr>
            </w:pPr>
          </w:p>
        </w:tc>
        <w:tc>
          <w:tcPr>
            <w:tcW w:w="964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No. 000-50189)).</w:t>
              </w:r>
            </w:hyperlink>
          </w:p>
        </w:tc>
        <w:tc>
          <w:tcPr>
            <w:tcW w:w="460" w:type="dxa"/>
            <w:vAlign w:val="bottom"/>
            <w:gridSpan w:val="1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4.m</w:t>
            </w:r>
          </w:p>
        </w:tc>
        <w:tc>
          <w:tcPr>
            <w:tcW w:w="10100" w:type="dxa"/>
            <w:vAlign w:val="bottom"/>
            <w:gridSpan w:val="34"/>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Indenture, dated as of September 15, 2016, by and among Crown European Holdings S.A., as Issuer, the Guarantors named therein, U.S.</w:t>
              </w:r>
            </w:hyperlink>
          </w:p>
        </w:tc>
      </w:tr>
      <w:tr>
        <w:trPr>
          <w:trHeight w:val="20"/>
        </w:trPr>
        <w:tc>
          <w:tcPr>
            <w:tcW w:w="880" w:type="dxa"/>
            <w:vAlign w:val="bottom"/>
          </w:tcPr>
          <w:p>
            <w:pPr>
              <w:spacing w:after="0" w:line="20" w:lineRule="exact"/>
              <w:rPr>
                <w:sz w:val="1"/>
                <w:szCs w:val="1"/>
                <w:color w:val="auto"/>
              </w:rPr>
            </w:pPr>
          </w:p>
        </w:tc>
        <w:tc>
          <w:tcPr>
            <w:tcW w:w="416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0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 xml:space="preserve">Bank National Association, as Trustee, and the other parties thereto, relating to the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600 million 2.625% Senior Unsecured Notes due 2024</w:t>
              </w:r>
            </w:hyperlink>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(incorporated by reference to Exhibit 4.1 of the Registrant’s Current Report on Form 8-K dated September 19, 2016 (File No. 000-50189)).</w:t>
              </w:r>
            </w:hyperlink>
          </w:p>
        </w:tc>
        <w:tc>
          <w:tcPr>
            <w:tcW w:w="20" w:type="dxa"/>
            <w:vAlign w:val="bottom"/>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4.n</w:t>
            </w:r>
          </w:p>
        </w:tc>
        <w:tc>
          <w:tcPr>
            <w:tcW w:w="5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Form of 2.625% Senior Unsecured Notes due 2024 (included in Exhibit 4.q).</w:t>
              </w:r>
            </w:hyperlink>
          </w:p>
        </w:tc>
        <w:tc>
          <w:tcPr>
            <w:tcW w:w="4540" w:type="dxa"/>
            <w:vAlign w:val="bottom"/>
            <w:gridSpan w:val="21"/>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4.o</w:t>
            </w:r>
          </w:p>
        </w:tc>
        <w:tc>
          <w:tcPr>
            <w:tcW w:w="970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Indenture, dated as of September 15, 2016, by and among Crown Americas LLC and Crown Americas Capital Corp. V, as Issuers, the</w:t>
              </w:r>
            </w:hyperlink>
          </w:p>
        </w:tc>
        <w:tc>
          <w:tcPr>
            <w:tcW w:w="400" w:type="dxa"/>
            <w:vAlign w:val="bottom"/>
            <w:gridSpan w:val="1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06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 xml:space="preserve">Guarantors named therein and U.S. Bank National Association, as Trustee, relating to the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400 million 4.25% Senior Unsecured Notes due</w:t>
              </w:r>
            </w:hyperlink>
          </w:p>
        </w:tc>
        <w:tc>
          <w:tcPr>
            <w:tcW w:w="4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2026 (incorporated by reference to Exhibit 4.2 of the Registrant’s Current Report on Form 8-K dated September 19, 2016 (File</w:t>
              </w:r>
            </w:hyperlink>
          </w:p>
        </w:tc>
      </w:tr>
      <w:tr>
        <w:trPr>
          <w:trHeight w:val="196"/>
        </w:trPr>
        <w:tc>
          <w:tcPr>
            <w:tcW w:w="880" w:type="dxa"/>
            <w:vAlign w:val="bottom"/>
          </w:tcPr>
          <w:p>
            <w:pPr>
              <w:spacing w:after="0"/>
              <w:rPr>
                <w:sz w:val="17"/>
                <w:szCs w:val="17"/>
                <w:color w:val="auto"/>
              </w:rPr>
            </w:pPr>
          </w:p>
        </w:tc>
        <w:tc>
          <w:tcPr>
            <w:tcW w:w="918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No. 000-50189)).</w:t>
              </w:r>
            </w:hyperlink>
          </w:p>
        </w:tc>
        <w:tc>
          <w:tcPr>
            <w:tcW w:w="920" w:type="dxa"/>
            <w:vAlign w:val="bottom"/>
            <w:gridSpan w:val="18"/>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500" w:type="dxa"/>
            <w:vAlign w:val="bottom"/>
            <w:gridSpan w:val="1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4.p</w:t>
            </w:r>
          </w:p>
        </w:tc>
        <w:tc>
          <w:tcPr>
            <w:tcW w:w="10100" w:type="dxa"/>
            <w:vAlign w:val="bottom"/>
            <w:gridSpan w:val="34"/>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Form of 4.25% Senior Unsecured Notes due 2026 (included in Exhibit 4.s).</w:t>
              </w:r>
            </w:hyperlink>
          </w:p>
        </w:tc>
      </w:tr>
      <w:tr>
        <w:trPr>
          <w:trHeight w:val="20"/>
        </w:trPr>
        <w:tc>
          <w:tcPr>
            <w:tcW w:w="880" w:type="dxa"/>
            <w:vAlign w:val="bottom"/>
          </w:tcPr>
          <w:p>
            <w:pPr>
              <w:spacing w:after="0" w:line="20" w:lineRule="exact"/>
              <w:rPr>
                <w:sz w:val="1"/>
                <w:szCs w:val="1"/>
                <w:color w:val="auto"/>
              </w:rPr>
            </w:pPr>
          </w:p>
        </w:tc>
        <w:tc>
          <w:tcPr>
            <w:tcW w:w="4160" w:type="dxa"/>
            <w:vAlign w:val="bottom"/>
            <w:gridSpan w:val="7"/>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500" w:type="dxa"/>
            <w:vAlign w:val="bottom"/>
            <w:gridSpan w:val="1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4.q</w:t>
            </w:r>
          </w:p>
        </w:tc>
        <w:tc>
          <w:tcPr>
            <w:tcW w:w="1010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Indenture, dated as of January 26, 2018, by and among Crown European Holdings S.A., as Issuer, the Guarantors named therein, U.S. Bank</w:t>
              </w:r>
            </w:hyperlink>
          </w:p>
        </w:tc>
      </w:tr>
      <w:tr>
        <w:trPr>
          <w:trHeight w:val="196"/>
        </w:trPr>
        <w:tc>
          <w:tcPr>
            <w:tcW w:w="88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 xml:space="preserve">National Association, as Trustee, and the other parties thereto, relating to the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335 million 2.250% Senior Unsecured Notes due 2023 and</w:t>
              </w:r>
            </w:hyperlink>
          </w:p>
        </w:tc>
      </w:tr>
      <w:tr>
        <w:trPr>
          <w:trHeight w:val="20"/>
        </w:trPr>
        <w:tc>
          <w:tcPr>
            <w:tcW w:w="880" w:type="dxa"/>
            <w:vAlign w:val="bottom"/>
          </w:tcPr>
          <w:p>
            <w:pPr>
              <w:spacing w:after="0" w:line="20" w:lineRule="exact"/>
              <w:rPr>
                <w:sz w:val="1"/>
                <w:szCs w:val="1"/>
                <w:color w:val="auto"/>
              </w:rPr>
            </w:pPr>
          </w:p>
        </w:tc>
        <w:tc>
          <w:tcPr>
            <w:tcW w:w="4160" w:type="dxa"/>
            <w:vAlign w:val="bottom"/>
            <w:gridSpan w:val="7"/>
            <w:shd w:val="clear" w:color="auto" w:fill="0000EE"/>
          </w:tcPr>
          <w:p>
            <w:pPr>
              <w:spacing w:after="0" w:line="20" w:lineRule="exact"/>
              <w:rPr>
                <w:sz w:val="1"/>
                <w:szCs w:val="1"/>
                <w:color w:val="auto"/>
              </w:rPr>
            </w:pPr>
          </w:p>
        </w:tc>
        <w:tc>
          <w:tcPr>
            <w:tcW w:w="5780" w:type="dxa"/>
            <w:vAlign w:val="bottom"/>
            <w:gridSpan w:val="21"/>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10100" w:type="dxa"/>
            <w:vAlign w:val="bottom"/>
            <w:gridSpan w:val="34"/>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 xml:space="preserve">the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500 million 2.875% Senior Unsecured Notes due 2026 (incorporated by reference to Exhibit 4.1 of the Registrant’s Current Report on</w:t>
              </w:r>
            </w:hyperlink>
          </w:p>
        </w:tc>
      </w:tr>
      <w:tr>
        <w:trPr>
          <w:trHeight w:val="196"/>
        </w:trPr>
        <w:tc>
          <w:tcPr>
            <w:tcW w:w="880" w:type="dxa"/>
            <w:vAlign w:val="bottom"/>
          </w:tcPr>
          <w:p>
            <w:pPr>
              <w:spacing w:after="0"/>
              <w:rPr>
                <w:sz w:val="17"/>
                <w:szCs w:val="17"/>
                <w:color w:val="auto"/>
              </w:rPr>
            </w:pPr>
          </w:p>
        </w:tc>
        <w:tc>
          <w:tcPr>
            <w:tcW w:w="1004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Form 8-K dated February 1, 2018 (File No. 000-50189)).</w:t>
              </w:r>
            </w:hyperlink>
          </w:p>
        </w:tc>
        <w:tc>
          <w:tcPr>
            <w:tcW w:w="60" w:type="dxa"/>
            <w:vAlign w:val="bottom"/>
            <w:gridSpan w:val="3"/>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4.r</w:t>
            </w:r>
          </w:p>
        </w:tc>
        <w:tc>
          <w:tcPr>
            <w:tcW w:w="10120" w:type="dxa"/>
            <w:vAlign w:val="bottom"/>
            <w:gridSpan w:val="23"/>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Indenture, dated as of May 18, 2023, among Crown European Holdings S.A., Crown Holdings, Inc., the other guarantors party thereto,</w:t>
              </w:r>
            </w:hyperlink>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BNP Paribas, as representative of the several initial purchases party thereto, U.S. Bank Trust Company, National Association, as Trustee,</w:t>
              </w:r>
            </w:hyperlink>
          </w:p>
        </w:tc>
        <w:tc>
          <w:tcPr>
            <w:tcW w:w="240" w:type="dxa"/>
            <w:vAlign w:val="bottom"/>
            <w:gridSpan w:val="6"/>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Elavon Financial Services DAC, as paying agent, registrar</w:t>
              </w:r>
              <w:r>
                <w:rPr>
                  <w:rFonts w:ascii="Times New Roman" w:cs="Times New Roman" w:eastAsia="Times New Roman" w:hAnsi="Times New Roman"/>
                  <w:sz w:val="18"/>
                  <w:szCs w:val="18"/>
                  <w:color w:val="000000"/>
                </w:rPr>
                <w:t>.</w:t>
              </w:r>
            </w:hyperlink>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4.s</w:t>
            </w:r>
          </w:p>
        </w:tc>
        <w:tc>
          <w:tcPr>
            <w:tcW w:w="95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Indenture, dated as of December 11, 2023, among Crown European Holdings S.A., Crown Holdings, Inc., the other guarantors party</w:t>
              </w:r>
            </w:hyperlink>
          </w:p>
        </w:tc>
        <w:tc>
          <w:tcPr>
            <w:tcW w:w="540" w:type="dxa"/>
            <w:vAlign w:val="bottom"/>
            <w:gridSpan w:val="1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thereto, BNP Paribas, as representative of the several initial purchasers party thereto, U.S. Bank Trust Company, National Association, as</w:t>
              </w:r>
            </w:hyperlink>
          </w:p>
        </w:tc>
        <w:tc>
          <w:tcPr>
            <w:tcW w:w="22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93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 xml:space="preserve">Trustee, Elavon Financial Services DAC, as paying agent, registrar and transfer agent, relating to the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500,000,000 4.750% senior</w:t>
              </w:r>
            </w:hyperlink>
          </w:p>
        </w:tc>
        <w:tc>
          <w:tcPr>
            <w:tcW w:w="740" w:type="dxa"/>
            <w:vAlign w:val="bottom"/>
            <w:gridSpan w:val="1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98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unsecured notes due 2029 (incorporated by reference to Exhibit 4.1 of the Registrant’s Current Report on Form 8-K December 12, 2023</w:t>
              </w:r>
            </w:hyperlink>
          </w:p>
        </w:tc>
        <w:tc>
          <w:tcPr>
            <w:tcW w:w="320" w:type="dxa"/>
            <w:vAlign w:val="bottom"/>
            <w:gridSpan w:val="8"/>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(File No. 000-50189)).</w:t>
              </w:r>
            </w:hyperlink>
          </w:p>
        </w:tc>
      </w:tr>
      <w:tr>
        <w:trPr>
          <w:trHeight w:val="20"/>
        </w:trPr>
        <w:tc>
          <w:tcPr>
            <w:tcW w:w="88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4.t</w:t>
            </w:r>
          </w:p>
        </w:tc>
        <w:tc>
          <w:tcPr>
            <w:tcW w:w="10120" w:type="dxa"/>
            <w:vAlign w:val="bottom"/>
            <w:gridSpan w:val="23"/>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Indenture, dated August 8, 2024, among the Issuer, the Company, the other guarantors party thereto, BNP Paribas, as representative of the</w:t>
              </w:r>
            </w:hyperlink>
          </w:p>
        </w:tc>
      </w:tr>
      <w:tr>
        <w:trPr>
          <w:trHeight w:val="196"/>
        </w:trPr>
        <w:tc>
          <w:tcPr>
            <w:tcW w:w="880" w:type="dxa"/>
            <w:vAlign w:val="bottom"/>
          </w:tcPr>
          <w:p>
            <w:pPr>
              <w:spacing w:after="0"/>
              <w:rPr>
                <w:sz w:val="17"/>
                <w:szCs w:val="17"/>
                <w:color w:val="auto"/>
              </w:rPr>
            </w:pPr>
          </w:p>
        </w:tc>
        <w:tc>
          <w:tcPr>
            <w:tcW w:w="98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several initial purchasers party thereto, U.S. Bank Trust Company, National Association, as Trustee, Elavon Financial Services DAC, as</w:t>
              </w:r>
            </w:hyperlink>
          </w:p>
        </w:tc>
        <w:tc>
          <w:tcPr>
            <w:tcW w:w="180" w:type="dxa"/>
            <w:vAlign w:val="bottom"/>
            <w:tcBorders>
              <w:top w:val="single" w:sz="8" w:color="0000EE"/>
            </w:tcBorders>
            <w:gridSpan w:val="4"/>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 xml:space="preserve">paying agent, registrar and transfer agent, relating to the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600,000,000 4.500% senior unsecured notes due 2030 (incorporated by reference</w:t>
              </w:r>
            </w:hyperlink>
          </w:p>
        </w:tc>
      </w:tr>
      <w:tr>
        <w:trPr>
          <w:trHeight w:val="196"/>
        </w:trPr>
        <w:tc>
          <w:tcPr>
            <w:tcW w:w="880" w:type="dxa"/>
            <w:vAlign w:val="bottom"/>
          </w:tcPr>
          <w:p>
            <w:pPr>
              <w:spacing w:after="0"/>
              <w:rPr>
                <w:sz w:val="17"/>
                <w:szCs w:val="17"/>
                <w:color w:val="auto"/>
              </w:rPr>
            </w:pPr>
          </w:p>
        </w:tc>
        <w:tc>
          <w:tcPr>
            <w:tcW w:w="77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to Exhibit 4.1 of the Registrant’s Current Report on Form 8-K dated August 8, 2024 (File No. 001-41550)).</w:t>
              </w:r>
            </w:hyperlink>
          </w:p>
        </w:tc>
        <w:tc>
          <w:tcPr>
            <w:tcW w:w="2280" w:type="dxa"/>
            <w:vAlign w:val="bottom"/>
            <w:tcBorders>
              <w:top w:val="single" w:sz="8" w:color="0000EE"/>
            </w:tcBorders>
            <w:gridSpan w:val="14"/>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4.u</w:t>
            </w:r>
          </w:p>
        </w:tc>
        <w:tc>
          <w:tcPr>
            <w:tcW w:w="98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Indenture, dated as of May 27, 2025, among the Issuer, the Company, the other guarantors party thereto, and U.S. Bank Trust Company,</w:t>
              </w:r>
            </w:hyperlink>
          </w:p>
        </w:tc>
        <w:tc>
          <w:tcPr>
            <w:tcW w:w="280" w:type="dxa"/>
            <w:vAlign w:val="bottom"/>
            <w:gridSpan w:val="7"/>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 xml:space="preserve">National Association, as Trustee, relating to the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700,000,000 5.875% senior unsecured notes due 2033 (incorporated by reference to</w:t>
              </w:r>
            </w:hyperlink>
          </w:p>
        </w:tc>
        <w:tc>
          <w:tcPr>
            <w:tcW w:w="520" w:type="dxa"/>
            <w:vAlign w:val="bottom"/>
            <w:gridSpan w:val="1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Exhibit 4.1 of the Registrant’s Current Report on Form 8-K dated May 28, 2025 (File No. 001-41550).</w:t>
              </w:r>
            </w:hyperlink>
          </w:p>
        </w:tc>
        <w:tc>
          <w:tcPr>
            <w:tcW w:w="2720" w:type="dxa"/>
            <w:vAlign w:val="bottom"/>
            <w:gridSpan w:val="18"/>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4.v</w:t>
            </w:r>
          </w:p>
        </w:tc>
        <w:tc>
          <w:tcPr>
            <w:tcW w:w="100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Indenture, dated October 6, 2025, among the Issuer, the Company, the other guarantors party thereto, BNP PARIBAS, as representative of</w:t>
              </w:r>
            </w:hyperlink>
          </w:p>
        </w:tc>
        <w:tc>
          <w:tcPr>
            <w:tcW w:w="12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the several initial purchasers party thereto, U.S. Bank Trust Company, National Association, as Trustee, U.S. Bank Europe DAC, as paying</w:t>
              </w:r>
            </w:hyperlink>
          </w:p>
        </w:tc>
      </w:tr>
      <w:tr>
        <w:trPr>
          <w:trHeight w:val="196"/>
        </w:trPr>
        <w:tc>
          <w:tcPr>
            <w:tcW w:w="88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 xml:space="preserve">agent, registrar and transfer agent, relating to the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500,000,000 3.750% senior unsecured notes due 2031 (incorporated by reference to</w:t>
              </w:r>
            </w:hyperlink>
          </w:p>
        </w:tc>
        <w:tc>
          <w:tcPr>
            <w:tcW w:w="340" w:type="dxa"/>
            <w:vAlign w:val="bottom"/>
            <w:tcBorders>
              <w:top w:val="single" w:sz="8" w:color="0000EE"/>
            </w:tcBorders>
            <w:gridSpan w:val="9"/>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76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3">
              <w:r>
                <w:rPr>
                  <w:rFonts w:ascii="Times New Roman" w:cs="Times New Roman" w:eastAsia="Times New Roman" w:hAnsi="Times New Roman"/>
                  <w:sz w:val="18"/>
                  <w:szCs w:val="18"/>
                  <w:color w:val="0000EE"/>
                  <w:w w:val="99"/>
                </w:rPr>
                <w:t>Exhibit 4.1 of the Registrant’s Current Report on Form 8-K dated October 8, 2025 (File No. 001-41550)).</w:t>
              </w:r>
            </w:hyperlink>
          </w:p>
        </w:tc>
        <w:tc>
          <w:tcPr>
            <w:tcW w:w="2500" w:type="dxa"/>
            <w:vAlign w:val="bottom"/>
            <w:gridSpan w:val="17"/>
          </w:tcPr>
          <w:p>
            <w:pPr>
              <w:spacing w:after="0"/>
              <w:rPr>
                <w:sz w:val="17"/>
                <w:szCs w:val="17"/>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4.w</w:t>
            </w:r>
          </w:p>
        </w:tc>
        <w:tc>
          <w:tcPr>
            <w:tcW w:w="55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Form of 2.875% Senior Unsecured Notes due 2026 (included in Exhibit 4.z)</w:t>
              </w:r>
            </w:hyperlink>
          </w:p>
        </w:tc>
        <w:tc>
          <w:tcPr>
            <w:tcW w:w="4620" w:type="dxa"/>
            <w:vAlign w:val="bottom"/>
            <w:gridSpan w:val="20"/>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4.x</w:t>
            </w:r>
          </w:p>
        </w:tc>
        <w:tc>
          <w:tcPr>
            <w:tcW w:w="97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First Amendment to Amended &amp; Restated Credit Agreement, dated December 28, 2017, by and among Crown Americas LLC, Crown</w:t>
              </w:r>
            </w:hyperlink>
          </w:p>
        </w:tc>
        <w:tc>
          <w:tcPr>
            <w:tcW w:w="400" w:type="dxa"/>
            <w:vAlign w:val="bottom"/>
            <w:gridSpan w:val="10"/>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European Holdings S.A., Crown Metal Packaging Canada LP, each of the Subsidiary Borrowers party thereto, Crown Holdings, Inc., Crown</w:t>
              </w:r>
            </w:hyperlink>
          </w:p>
        </w:tc>
      </w:tr>
      <w:tr>
        <w:trPr>
          <w:trHeight w:val="196"/>
        </w:trPr>
        <w:tc>
          <w:tcPr>
            <w:tcW w:w="88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Cork &amp; Seal Company, Inc., Crown International Holdings, Inc., Deutsche Bank AG Canada Branch, Deutsche Bank AG London Branch,</w:t>
              </w:r>
            </w:hyperlink>
          </w:p>
        </w:tc>
      </w:tr>
      <w:tr>
        <w:trPr>
          <w:trHeight w:val="196"/>
        </w:trPr>
        <w:tc>
          <w:tcPr>
            <w:tcW w:w="880" w:type="dxa"/>
            <w:vAlign w:val="bottom"/>
          </w:tcPr>
          <w:p>
            <w:pPr>
              <w:spacing w:after="0"/>
              <w:rPr>
                <w:sz w:val="17"/>
                <w:szCs w:val="17"/>
                <w:color w:val="auto"/>
              </w:rPr>
            </w:pPr>
          </w:p>
        </w:tc>
        <w:tc>
          <w:tcPr>
            <w:tcW w:w="98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Deutsche Bank AG New York Branch, and the Lenders party thereto (incorporated by reference to Exhibit 4.x of the Registrant’s Annual</w:t>
              </w:r>
            </w:hyperlink>
          </w:p>
        </w:tc>
        <w:tc>
          <w:tcPr>
            <w:tcW w:w="120" w:type="dxa"/>
            <w:vAlign w:val="bottom"/>
            <w:tcBorders>
              <w:top w:val="single" w:sz="8" w:color="0000EE"/>
            </w:tcBorders>
            <w:gridSpan w:val="3"/>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Report on Form 10-K for the year ended December 31, 2017 (File No. 000-50189)).</w:t>
              </w:r>
            </w:hyperlink>
          </w:p>
        </w:tc>
      </w:tr>
      <w:tr>
        <w:trPr>
          <w:trHeight w:val="20"/>
        </w:trPr>
        <w:tc>
          <w:tcPr>
            <w:tcW w:w="880" w:type="dxa"/>
            <w:vAlign w:val="bottom"/>
          </w:tcPr>
          <w:p>
            <w:pPr>
              <w:spacing w:after="0" w:line="20" w:lineRule="exact"/>
              <w:rPr>
                <w:sz w:val="1"/>
                <w:szCs w:val="1"/>
                <w:color w:val="auto"/>
              </w:rPr>
            </w:pPr>
          </w:p>
        </w:tc>
        <w:tc>
          <w:tcPr>
            <w:tcW w:w="6060" w:type="dxa"/>
            <w:vAlign w:val="bottom"/>
            <w:gridSpan w:val="4"/>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4.y</w:t>
            </w:r>
          </w:p>
        </w:tc>
        <w:tc>
          <w:tcPr>
            <w:tcW w:w="99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Incremental Amendment No. 1 to Amended &amp; Restated Credit Agreement, dated January 29, 2018, by and among Crown Americas LLC,</w:t>
              </w:r>
            </w:hyperlink>
          </w:p>
        </w:tc>
        <w:tc>
          <w:tcPr>
            <w:tcW w:w="14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012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Crown European Holdings S.A., Crown Metal Packaging Canada LP, each of the Subsidiary Borrowers party thereto, Crown Holdings, Inc.,</w:t>
              </w:r>
            </w:hyperlink>
          </w:p>
        </w:tc>
      </w:tr>
      <w:tr>
        <w:trPr>
          <w:trHeight w:val="196"/>
        </w:trPr>
        <w:tc>
          <w:tcPr>
            <w:tcW w:w="88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Crown Cork &amp; Seal Company, Inc., Crown International Holdings, Inc., each other Credit Party party thereto, Deutsche Bank AG Canada</w:t>
              </w:r>
            </w:hyperlink>
          </w:p>
        </w:tc>
      </w:tr>
      <w:tr>
        <w:trPr>
          <w:trHeight w:val="196"/>
        </w:trPr>
        <w:tc>
          <w:tcPr>
            <w:tcW w:w="88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Branch, Deutsche Bank AG London Branch, Deutsche Bank AG New York Branch, and the Lenders party thereto (incorporated by</w:t>
              </w:r>
            </w:hyperlink>
          </w:p>
        </w:tc>
        <w:tc>
          <w:tcPr>
            <w:tcW w:w="520" w:type="dxa"/>
            <w:vAlign w:val="bottom"/>
            <w:tcBorders>
              <w:top w:val="single" w:sz="8" w:color="0000EE"/>
            </w:tcBorders>
            <w:gridSpan w:val="10"/>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120" w:type="dxa"/>
            <w:vAlign w:val="bottom"/>
            <w:gridSpan w:val="23"/>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reference to Exhibit 4.y of the Registrant’s Annual Report on Form 10-K for the year ended December 31, 2017 (File No. 000-50189)).</w:t>
              </w:r>
            </w:hyperlink>
          </w:p>
        </w:tc>
      </w:tr>
      <w:tr>
        <w:trPr>
          <w:trHeight w:val="20"/>
        </w:trPr>
        <w:tc>
          <w:tcPr>
            <w:tcW w:w="880" w:type="dxa"/>
            <w:vAlign w:val="bottom"/>
          </w:tcPr>
          <w:p>
            <w:pPr>
              <w:spacing w:after="0" w:line="20" w:lineRule="exact"/>
              <w:rPr>
                <w:sz w:val="1"/>
                <w:szCs w:val="1"/>
                <w:color w:val="auto"/>
              </w:rPr>
            </w:pPr>
          </w:p>
        </w:tc>
        <w:tc>
          <w:tcPr>
            <w:tcW w:w="9460" w:type="dxa"/>
            <w:vAlign w:val="bottom"/>
            <w:gridSpan w:val="9"/>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4.z</w:t>
            </w:r>
          </w:p>
        </w:tc>
        <w:tc>
          <w:tcPr>
            <w:tcW w:w="100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Second Amendment to Amended &amp; Restated Credit Agreement, dated as of March 23, 2018, by and among Crown Americas LLC, Crown</w:t>
              </w:r>
            </w:hyperlink>
          </w:p>
        </w:tc>
        <w:tc>
          <w:tcPr>
            <w:tcW w:w="8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9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European Holdings S.A., each of the Subsidiary Borrowers party thereto, Crown Metal Packaging Canada LP, Crown Cork &amp; Seal</w:t>
              </w:r>
            </w:hyperlink>
          </w:p>
        </w:tc>
        <w:tc>
          <w:tcPr>
            <w:tcW w:w="660" w:type="dxa"/>
            <w:vAlign w:val="bottom"/>
            <w:gridSpan w:val="14"/>
          </w:tcPr>
          <w:p>
            <w:pPr>
              <w:spacing w:after="0"/>
              <w:rPr>
                <w:sz w:val="17"/>
                <w:szCs w:val="17"/>
                <w:color w:val="auto"/>
              </w:rPr>
            </w:pPr>
          </w:p>
        </w:tc>
      </w:tr>
    </w:tbl>
    <w:p>
      <w:pPr>
        <w:spacing w:after="0" w:line="9" w:lineRule="exact"/>
        <w:rPr>
          <w:sz w:val="20"/>
          <w:szCs w:val="20"/>
          <w:color w:val="auto"/>
        </w:rPr>
      </w:pPr>
    </w:p>
    <w:p>
      <w:pPr>
        <w:ind w:left="1000" w:right="280"/>
        <w:spacing w:after="0" w:line="266" w:lineRule="auto"/>
        <w:rPr>
          <w:rFonts w:ascii="Times New Roman" w:cs="Times New Roman" w:eastAsia="Times New Roman" w:hAnsi="Times New Roman"/>
          <w:sz w:val="18"/>
          <w:szCs w:val="18"/>
          <w:u w:val="single" w:color="auto"/>
          <w:color w:val="0000EE"/>
        </w:rPr>
      </w:pPr>
      <w:hyperlink r:id="rId184">
        <w:r>
          <w:rPr>
            <w:rFonts w:ascii="Times New Roman" w:cs="Times New Roman" w:eastAsia="Times New Roman" w:hAnsi="Times New Roman"/>
            <w:sz w:val="18"/>
            <w:szCs w:val="18"/>
            <w:u w:val="single" w:color="auto"/>
            <w:color w:val="0000EE"/>
          </w:rPr>
          <w:t>Company, Inc., Crown Holdings, Inc. and Crown International Holdings, Inc., Deutsche Bank Ag Canada Branch, Deutsche Bank AG</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London Branch, Deutsche Bank AG New York Branch, the Required Lenders and the other parties thereto. (incorporated by reference to</w:t>
        </w:r>
      </w:hyperlink>
      <w:r>
        <w:rPr>
          <w:rFonts w:ascii="Times New Roman" w:cs="Times New Roman" w:eastAsia="Times New Roman" w:hAnsi="Times New Roman"/>
          <w:sz w:val="18"/>
          <w:szCs w:val="18"/>
          <w:u w:val="single" w:color="auto"/>
          <w:color w:val="0000EE"/>
        </w:rPr>
        <w:t xml:space="preserve"> </w:t>
      </w:r>
      <w:hyperlink r:id="rId184">
        <w:r>
          <w:rPr>
            <w:rFonts w:ascii="Times New Roman" w:cs="Times New Roman" w:eastAsia="Times New Roman" w:hAnsi="Times New Roman"/>
            <w:sz w:val="18"/>
            <w:szCs w:val="18"/>
            <w:u w:val="single" w:color="auto"/>
            <w:color w:val="0000EE"/>
          </w:rPr>
          <w:t>Exhibit 4 to the Registrant’s Annual Report on Form 10-K for the year ended December 31, 2018 (File No. 000-50189)).</w:t>
        </w:r>
      </w:hyperlink>
    </w:p>
    <w:p>
      <w:pPr>
        <w:spacing w:after="0" w:line="108" w:lineRule="exact"/>
        <w:rPr>
          <w:rFonts w:ascii="Times New Roman" w:cs="Times New Roman" w:eastAsia="Times New Roman" w:hAnsi="Times New Roman"/>
          <w:sz w:val="18"/>
          <w:szCs w:val="18"/>
          <w:u w:val="single" w:color="auto"/>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00" w:hanging="890"/>
        <w:spacing w:after="0" w:line="25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4.aa</w:t>
      </w:r>
      <w:r>
        <w:rPr>
          <w:sz w:val="20"/>
          <w:szCs w:val="20"/>
          <w:color w:val="auto"/>
        </w:rPr>
        <w:tab/>
      </w:r>
      <w:hyperlink r:id="rId188">
        <w:r>
          <w:rPr>
            <w:rFonts w:ascii="Times New Roman" w:cs="Times New Roman" w:eastAsia="Times New Roman" w:hAnsi="Times New Roman"/>
            <w:sz w:val="18"/>
            <w:szCs w:val="18"/>
            <w:u w:val="single" w:color="auto"/>
            <w:color w:val="0000EE"/>
          </w:rPr>
          <w:t>Incremental Amendment No. 2 and Third Amendment to Amended and Restated Credit Agreement, dated as of December 13, 2019, by and</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among Crown Americas LLC, Crown European Holdings S.A., each of the Subsidiary Borrowers party thereto, Crown Metal Packaging</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Canada LP, Crown Cork &amp; Seal Company, Inc., Crown Holdings, Inc. and Crown International Holdings, Inc., each other Credit Party</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party thereto, Deutsche Bank AG New York Branch, Deutsche Bank AG, London Branch, Deutsche Bank AG, Canada Branch, 2019</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Additional Term Lenders (as defined therein) and Revolving Lenders (as defined) (incorporated by reference to Exhibit 4.1 to the</w:t>
        </w:r>
      </w:hyperlink>
      <w:r>
        <w:rPr>
          <w:rFonts w:ascii="Times New Roman" w:cs="Times New Roman" w:eastAsia="Times New Roman" w:hAnsi="Times New Roman"/>
          <w:sz w:val="18"/>
          <w:szCs w:val="18"/>
          <w:u w:val="single" w:color="auto"/>
          <w:color w:val="0000EE"/>
        </w:rPr>
        <w:t xml:space="preserve"> </w:t>
      </w:r>
      <w:hyperlink r:id="rId188">
        <w:r>
          <w:rPr>
            <w:rFonts w:ascii="Times New Roman" w:cs="Times New Roman" w:eastAsia="Times New Roman" w:hAnsi="Times New Roman"/>
            <w:sz w:val="18"/>
            <w:szCs w:val="18"/>
            <w:u w:val="single" w:color="auto"/>
            <w:color w:val="0000EE"/>
          </w:rPr>
          <w:t>Registrant’s Form 8-K/A filed on February 28, 2020 (File No. 000-50189)).</w:t>
        </w:r>
      </w:hyperlink>
    </w:p>
    <w:p>
      <w:pPr>
        <w:spacing w:after="0" w:line="79" w:lineRule="exact"/>
        <w:rPr>
          <w:rFonts w:ascii="Times New Roman" w:cs="Times New Roman" w:eastAsia="Times New Roman" w:hAnsi="Times New Roman"/>
          <w:sz w:val="18"/>
          <w:szCs w:val="18"/>
          <w:u w:val="single" w:color="auto"/>
          <w:color w:val="0000EE"/>
        </w:rPr>
      </w:pPr>
    </w:p>
    <w:p>
      <w:pPr>
        <w:ind w:left="1000" w:right="80" w:hanging="890"/>
        <w:spacing w:after="0" w:line="258"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4.bb</w:t>
      </w:r>
      <w:r>
        <w:rPr>
          <w:sz w:val="20"/>
          <w:szCs w:val="20"/>
          <w:color w:val="auto"/>
        </w:rPr>
        <w:tab/>
      </w:r>
      <w:hyperlink r:id="rId189">
        <w:r>
          <w:rPr>
            <w:rFonts w:ascii="Times New Roman" w:cs="Times New Roman" w:eastAsia="Times New Roman" w:hAnsi="Times New Roman"/>
            <w:sz w:val="18"/>
            <w:szCs w:val="18"/>
            <w:u w:val="single" w:color="auto"/>
            <w:color w:val="0000EE"/>
          </w:rPr>
          <w:t>Fourth Amendment to Amended and Restated Credit Agreement, dated as of October 4, 2021, among Crown Americas LLC, Crown</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European Holdings S.A., Crown Metal Packaging Canada LP, each of the Subsidiary Borrowers from time to time party thereto, Crown</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Holdings, Inc., Crown Cork &amp; Seal Company, Inc. and Crown International Holdings, Inc., each other Credit Party from time to time party</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thereto, Deutsche Bank AG New York Branch, Deutsche Bank AG, London Branch, Deutsche Bank AG, Canada Branch, and various</w:t>
        </w:r>
      </w:hyperlink>
      <w:r>
        <w:rPr>
          <w:rFonts w:ascii="Times New Roman" w:cs="Times New Roman" w:eastAsia="Times New Roman" w:hAnsi="Times New Roman"/>
          <w:sz w:val="18"/>
          <w:szCs w:val="18"/>
          <w:u w:val="single" w:color="auto"/>
          <w:color w:val="0000EE"/>
        </w:rPr>
        <w:t xml:space="preserve"> </w:t>
      </w:r>
      <w:hyperlink r:id="rId189">
        <w:r>
          <w:rPr>
            <w:rFonts w:ascii="Times New Roman" w:cs="Times New Roman" w:eastAsia="Times New Roman" w:hAnsi="Times New Roman"/>
            <w:sz w:val="18"/>
            <w:szCs w:val="18"/>
            <w:u w:val="single" w:color="auto"/>
            <w:color w:val="0000EE"/>
          </w:rPr>
          <w:t>Lenders referred to therein.</w:t>
        </w:r>
      </w:hyperlink>
    </w:p>
    <w:p>
      <w:pPr>
        <w:spacing w:after="0" w:line="75" w:lineRule="exact"/>
        <w:rPr>
          <w:rFonts w:ascii="Times New Roman" w:cs="Times New Roman" w:eastAsia="Times New Roman" w:hAnsi="Times New Roman"/>
          <w:sz w:val="18"/>
          <w:szCs w:val="18"/>
          <w:u w:val="single" w:color="auto"/>
          <w:color w:val="0000EE"/>
        </w:rPr>
      </w:pPr>
    </w:p>
    <w:p>
      <w:pPr>
        <w:ind w:left="1000" w:right="20" w:hanging="890"/>
        <w:spacing w:after="0" w:line="256"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4.cc</w:t>
      </w:r>
      <w:r>
        <w:rPr>
          <w:sz w:val="20"/>
          <w:szCs w:val="20"/>
          <w:color w:val="auto"/>
        </w:rPr>
        <w:tab/>
      </w:r>
      <w:hyperlink r:id="rId190">
        <w:r>
          <w:rPr>
            <w:rFonts w:ascii="Times New Roman" w:cs="Times New Roman" w:eastAsia="Times New Roman" w:hAnsi="Times New Roman"/>
            <w:sz w:val="18"/>
            <w:szCs w:val="18"/>
            <w:u w:val="single" w:color="auto"/>
            <w:color w:val="0000EE"/>
          </w:rPr>
          <w:t>Incremental Amendment No. 3 and Fifth Amendment, dated August 8, 2022, to Amended and Restated Credit Agreement, dated April 7,</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2017, among Crown Holdings, Inc., Crown Americas LLC, Crown European Holdings S.A., the Subsidiary Borrowers party thereto, Crown</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Metal Packaging Canada LP, Crown Cork &amp; Seal Company, Inc., the Parent Guarantors party thereto, the other Credit Parties party thereto,</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the Lenders party thereto, Deutsche Bank AG Canada Branch, Deutsche Bank AG London Branch, and Deutsche Bank AG New York</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Branch (incorporated by reference to Exhibit 4.z of the Registrant’s Current Report on Form 8-K dated August 11, 2022 (File</w:t>
        </w:r>
      </w:hyperlink>
      <w:r>
        <w:rPr>
          <w:rFonts w:ascii="Times New Roman" w:cs="Times New Roman" w:eastAsia="Times New Roman" w:hAnsi="Times New Roman"/>
          <w:sz w:val="18"/>
          <w:szCs w:val="18"/>
          <w:u w:val="single" w:color="auto"/>
          <w:color w:val="0000EE"/>
        </w:rPr>
        <w:t xml:space="preserve"> </w:t>
      </w:r>
      <w:hyperlink r:id="rId190">
        <w:r>
          <w:rPr>
            <w:rFonts w:ascii="Times New Roman" w:cs="Times New Roman" w:eastAsia="Times New Roman" w:hAnsi="Times New Roman"/>
            <w:sz w:val="18"/>
            <w:szCs w:val="18"/>
            <w:u w:val="single" w:color="auto"/>
            <w:color w:val="0000EE"/>
          </w:rPr>
          <w:t>No. 000-50189)).</w:t>
        </w:r>
      </w:hyperlink>
    </w:p>
    <w:p>
      <w:pPr>
        <w:spacing w:after="0" w:line="79" w:lineRule="exact"/>
        <w:rPr>
          <w:rFonts w:ascii="Times New Roman" w:cs="Times New Roman" w:eastAsia="Times New Roman" w:hAnsi="Times New Roman"/>
          <w:sz w:val="18"/>
          <w:szCs w:val="18"/>
          <w:u w:val="single" w:color="auto"/>
          <w:color w:val="0000EE"/>
        </w:rPr>
      </w:pPr>
    </w:p>
    <w:p>
      <w:pPr>
        <w:ind w:left="1000" w:hanging="890"/>
        <w:spacing w:after="0" w:line="258"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4.dd</w:t>
      </w:r>
      <w:r>
        <w:rPr>
          <w:sz w:val="20"/>
          <w:szCs w:val="20"/>
          <w:color w:val="auto"/>
        </w:rPr>
        <w:tab/>
      </w:r>
      <w:hyperlink r:id="rId191">
        <w:r>
          <w:rPr>
            <w:rFonts w:ascii="Times New Roman" w:cs="Times New Roman" w:eastAsia="Times New Roman" w:hAnsi="Times New Roman"/>
            <w:sz w:val="18"/>
            <w:szCs w:val="18"/>
            <w:u w:val="single" w:color="auto"/>
            <w:color w:val="0000EE"/>
          </w:rPr>
          <w:t>Sixth Amendment, dated June 28, 2024, to Amended and Restated Credit Agreement, dated April 7, 2017, among Crown Holdings, Inc.,</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Crown Americas LLC, Crown European Holdings S.A., the Subsidiary Borrowers party thereto, Crown Metal Packaging Canada LP, Crown</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Cork &amp; Seal Company, Inc., the Parent Guarantors party thereto, the other Credit Parties party thereto, the Lenders party thereto, Deutsche</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Bank AG Canada Branch, Deutsche Bank AG London Branch, and Deutsche Bank AG New York Branch (incorporated by reference to</w:t>
        </w:r>
      </w:hyperlink>
      <w:r>
        <w:rPr>
          <w:rFonts w:ascii="Times New Roman" w:cs="Times New Roman" w:eastAsia="Times New Roman" w:hAnsi="Times New Roman"/>
          <w:sz w:val="18"/>
          <w:szCs w:val="18"/>
          <w:u w:val="single" w:color="auto"/>
          <w:color w:val="0000EE"/>
        </w:rPr>
        <w:t xml:space="preserve"> </w:t>
      </w:r>
      <w:hyperlink r:id="rId191">
        <w:r>
          <w:rPr>
            <w:rFonts w:ascii="Times New Roman" w:cs="Times New Roman" w:eastAsia="Times New Roman" w:hAnsi="Times New Roman"/>
            <w:sz w:val="18"/>
            <w:szCs w:val="18"/>
            <w:u w:val="single" w:color="auto"/>
            <w:color w:val="0000EE"/>
          </w:rPr>
          <w:t>Exhibit 10.1 of the Registrant’s Quarterly Report on Form 10-Q dated July 29, 2024 (File No. 001-41550)).</w:t>
        </w:r>
      </w:hyperlink>
    </w:p>
    <w:p>
      <w:pPr>
        <w:spacing w:after="0" w:line="75" w:lineRule="exact"/>
        <w:rPr>
          <w:rFonts w:ascii="Times New Roman" w:cs="Times New Roman" w:eastAsia="Times New Roman" w:hAnsi="Times New Roman"/>
          <w:sz w:val="18"/>
          <w:szCs w:val="18"/>
          <w:u w:val="single" w:color="auto"/>
          <w:color w:val="0000EE"/>
        </w:rPr>
      </w:pPr>
    </w:p>
    <w:p>
      <w:pPr>
        <w:ind w:left="1000" w:right="220" w:hanging="890"/>
        <w:spacing w:after="0" w:line="258" w:lineRule="auto"/>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4.ee</w:t>
      </w:r>
      <w:r>
        <w:rPr>
          <w:sz w:val="20"/>
          <w:szCs w:val="20"/>
          <w:color w:val="auto"/>
        </w:rPr>
        <w:tab/>
      </w:r>
      <w:hyperlink r:id="rId192">
        <w:r>
          <w:rPr>
            <w:rFonts w:ascii="Times New Roman" w:cs="Times New Roman" w:eastAsia="Times New Roman" w:hAnsi="Times New Roman"/>
            <w:sz w:val="18"/>
            <w:szCs w:val="18"/>
            <w:u w:val="single" w:color="auto"/>
            <w:color w:val="0000EE"/>
          </w:rPr>
          <w:t>Seventh Amendment, dated November 11, 2024, to Amended and Restated Credit Agreement, dated April 7, 2017, among Crown</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Holdings, Inc., Crown Americas LLC, Crown European Holdings S.A., Crown Metal Packaging Canada LP, the Borrowers party thereto,</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Crown Cork &amp; Seal Company, Inc., Crown Holdings, Inc., Crown International Holdings, Inc., the Parent Guarantors party thereto, the</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Lenders from time to time party thereto, Deutsche Bank AG New York Branch, as administrative agent, Deutsche Bank AG, London</w:t>
        </w:r>
      </w:hyperlink>
      <w:r>
        <w:rPr>
          <w:rFonts w:ascii="Times New Roman" w:cs="Times New Roman" w:eastAsia="Times New Roman" w:hAnsi="Times New Roman"/>
          <w:sz w:val="18"/>
          <w:szCs w:val="18"/>
          <w:u w:val="single" w:color="auto"/>
          <w:color w:val="0000EE"/>
        </w:rPr>
        <w:t xml:space="preserve"> </w:t>
      </w:r>
      <w:hyperlink r:id="rId192">
        <w:r>
          <w:rPr>
            <w:rFonts w:ascii="Times New Roman" w:cs="Times New Roman" w:eastAsia="Times New Roman" w:hAnsi="Times New Roman"/>
            <w:sz w:val="18"/>
            <w:szCs w:val="18"/>
            <w:u w:val="single" w:color="auto"/>
            <w:color w:val="0000EE"/>
          </w:rPr>
          <w:t>Branch, as U.K. administrative agent, Deutsche Bank AG, Canada Branch, as Canadian administrative agent.</w:t>
        </w:r>
      </w:hyperlink>
    </w:p>
    <w:p>
      <w:pPr>
        <w:spacing w:after="0" w:line="75" w:lineRule="exact"/>
        <w:rPr>
          <w:rFonts w:ascii="Times New Roman" w:cs="Times New Roman" w:eastAsia="Times New Roman" w:hAnsi="Times New Roman"/>
          <w:sz w:val="18"/>
          <w:szCs w:val="18"/>
          <w:u w:val="single" w:color="auto"/>
          <w:color w:val="0000EE"/>
        </w:rPr>
      </w:pPr>
    </w:p>
    <w:p>
      <w:pPr>
        <w:ind w:left="1000" w:right="40"/>
        <w:spacing w:after="0" w:line="282" w:lineRule="auto"/>
        <w:rPr>
          <w:sz w:val="20"/>
          <w:szCs w:val="20"/>
          <w:color w:val="auto"/>
        </w:rPr>
      </w:pPr>
      <w:r>
        <w:rPr>
          <w:rFonts w:ascii="Times New Roman" w:cs="Times New Roman" w:eastAsia="Times New Roman" w:hAnsi="Times New Roman"/>
          <w:sz w:val="18"/>
          <w:szCs w:val="18"/>
          <w:color w:val="auto"/>
        </w:rPr>
        <w:t>Other long-term agreements of the Registrant are not filed pursuant to Item 601(b)(4)(iii)(A) of Regulation S-K and the Registrant agrees to furnish copies of such agreements to the Securities and Exchange Commission upon its requests.</w:t>
      </w:r>
    </w:p>
    <w:p>
      <w:pPr>
        <w:spacing w:after="0" w:line="54" w:lineRule="exact"/>
        <w:rPr>
          <w:rFonts w:ascii="Times New Roman" w:cs="Times New Roman" w:eastAsia="Times New Roman" w:hAnsi="Times New Roman"/>
          <w:sz w:val="18"/>
          <w:szCs w:val="18"/>
          <w:u w:val="single" w:color="auto"/>
          <w:color w:val="0000EE"/>
        </w:rPr>
      </w:pPr>
    </w:p>
    <w:p>
      <w:pPr>
        <w:ind w:left="1000" w:hanging="884"/>
        <w:spacing w:after="0"/>
        <w:tabs>
          <w:tab w:leader="none" w:pos="1000" w:val="left"/>
        </w:tabs>
        <w:numPr>
          <w:ilvl w:val="0"/>
          <w:numId w:val="76"/>
        </w:numPr>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Opinion of Dechert LLP, Philadelphia, Pennsylvania.*</w:t>
        </w:r>
      </w:hyperlink>
    </w:p>
    <w:p>
      <w:pPr>
        <w:spacing w:after="0" w:line="117" w:lineRule="exact"/>
        <w:rPr>
          <w:rFonts w:ascii="Times New Roman" w:cs="Times New Roman" w:eastAsia="Times New Roman" w:hAnsi="Times New Roman"/>
          <w:sz w:val="18"/>
          <w:szCs w:val="18"/>
          <w:u w:val="single" w:color="auto"/>
          <w:color w:val="0000EE"/>
        </w:rPr>
      </w:pPr>
    </w:p>
    <w:p>
      <w:pPr>
        <w:ind w:left="12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23.a</w:t>
      </w:r>
      <w:r>
        <w:rPr>
          <w:rFonts w:ascii="Times New Roman" w:cs="Times New Roman" w:eastAsia="Times New Roman" w:hAnsi="Times New Roman"/>
          <w:sz w:val="17"/>
          <w:szCs w:val="17"/>
          <w:u w:val="single" w:color="auto"/>
          <w:color w:val="0000EE"/>
        </w:rPr>
        <w:t>Consent of PricewaterhouseCoopers LLP.</w:t>
      </w:r>
    </w:p>
    <w:p>
      <w:pPr>
        <w:spacing w:after="0" w:line="117" w:lineRule="exact"/>
        <w:rPr>
          <w:rFonts w:ascii="Times New Roman" w:cs="Times New Roman" w:eastAsia="Times New Roman" w:hAnsi="Times New Roman"/>
          <w:sz w:val="18"/>
          <w:szCs w:val="18"/>
          <w:u w:val="single" w:color="auto"/>
          <w:color w:val="0000EE"/>
        </w:rPr>
      </w:pPr>
    </w:p>
    <w:p>
      <w:pPr>
        <w:ind w:left="120"/>
        <w:spacing w:after="0"/>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23.c</w:t>
      </w:r>
      <w:r>
        <w:rPr>
          <w:sz w:val="20"/>
          <w:szCs w:val="20"/>
          <w:color w:val="auto"/>
        </w:rPr>
        <w:tab/>
      </w:r>
      <w:hyperlink r:id="rId193">
        <w:r>
          <w:rPr>
            <w:rFonts w:ascii="Times New Roman" w:cs="Times New Roman" w:eastAsia="Times New Roman" w:hAnsi="Times New Roman"/>
            <w:sz w:val="17"/>
            <w:szCs w:val="17"/>
            <w:u w:val="single" w:color="auto"/>
            <w:color w:val="0000EE"/>
          </w:rPr>
          <w:t>Consent of Dechert LLP, Philadelphia, Pennsylvania (included in Exhibit 5).</w:t>
        </w:r>
      </w:hyperlink>
    </w:p>
    <w:p>
      <w:pPr>
        <w:spacing w:after="0" w:line="117" w:lineRule="exact"/>
        <w:rPr>
          <w:rFonts w:ascii="Times New Roman" w:cs="Times New Roman" w:eastAsia="Times New Roman" w:hAnsi="Times New Roman"/>
          <w:sz w:val="18"/>
          <w:szCs w:val="18"/>
          <w:u w:val="single" w:color="auto"/>
          <w:color w:val="0000EE"/>
        </w:rPr>
      </w:pPr>
    </w:p>
    <w:p>
      <w:pPr>
        <w:ind w:left="1000" w:hanging="884"/>
        <w:spacing w:after="0"/>
        <w:tabs>
          <w:tab w:leader="none" w:pos="1000" w:val="left"/>
        </w:tabs>
        <w:numPr>
          <w:ilvl w:val="0"/>
          <w:numId w:val="77"/>
        </w:numPr>
        <w:rPr>
          <w:rFonts w:ascii="Times New Roman" w:cs="Times New Roman" w:eastAsia="Times New Roman" w:hAnsi="Times New Roman"/>
          <w:sz w:val="18"/>
          <w:szCs w:val="18"/>
          <w:u w:val="single" w:color="auto"/>
          <w:color w:val="0000EE"/>
        </w:rPr>
      </w:pPr>
      <w:hyperlink r:id="rId194">
        <w:r>
          <w:rPr>
            <w:rFonts w:ascii="Times New Roman" w:cs="Times New Roman" w:eastAsia="Times New Roman" w:hAnsi="Times New Roman"/>
            <w:sz w:val="18"/>
            <w:szCs w:val="18"/>
            <w:u w:val="single" w:color="auto"/>
            <w:color w:val="0000EE"/>
          </w:rPr>
          <w:t>Powers of Attorney (included on the signature pages hereto).*</w:t>
        </w:r>
      </w:hyperlink>
    </w:p>
    <w:p>
      <w:pPr>
        <w:spacing w:after="0" w:line="117" w:lineRule="exact"/>
        <w:rPr>
          <w:rFonts w:ascii="Times New Roman" w:cs="Times New Roman" w:eastAsia="Times New Roman" w:hAnsi="Times New Roman"/>
          <w:sz w:val="18"/>
          <w:szCs w:val="18"/>
          <w:u w:val="single" w:color="auto"/>
          <w:color w:val="0000EE"/>
        </w:rPr>
      </w:pPr>
    </w:p>
    <w:p>
      <w:pPr>
        <w:ind w:left="1000" w:hanging="884"/>
        <w:spacing w:after="0"/>
        <w:tabs>
          <w:tab w:leader="none" w:pos="1000" w:val="left"/>
        </w:tabs>
        <w:numPr>
          <w:ilvl w:val="0"/>
          <w:numId w:val="77"/>
        </w:numPr>
        <w:rPr>
          <w:rFonts w:ascii="Times New Roman" w:cs="Times New Roman" w:eastAsia="Times New Roman" w:hAnsi="Times New Roman"/>
          <w:sz w:val="18"/>
          <w:szCs w:val="18"/>
          <w:u w:val="single" w:color="auto"/>
          <w:color w:val="0000EE"/>
        </w:rPr>
      </w:pPr>
      <w:hyperlink r:id="rId195">
        <w:r>
          <w:rPr>
            <w:rFonts w:ascii="Times New Roman" w:cs="Times New Roman" w:eastAsia="Times New Roman" w:hAnsi="Times New Roman"/>
            <w:sz w:val="18"/>
            <w:szCs w:val="18"/>
            <w:u w:val="single" w:color="auto"/>
            <w:color w:val="0000EE"/>
          </w:rPr>
          <w:t>Statements of Eligibility of U.S. Bank Trust Company, National Association*</w:t>
        </w:r>
      </w:hyperlink>
    </w:p>
    <w:p>
      <w:pPr>
        <w:spacing w:after="0" w:line="104"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99.a</w:t>
            </w:r>
          </w:p>
        </w:tc>
        <w:tc>
          <w:tcPr>
            <w:tcW w:w="22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Form of Letter of Transmittal.*</w:t>
              </w:r>
            </w:hyperlink>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99.b</w:t>
            </w:r>
          </w:p>
        </w:tc>
        <w:tc>
          <w:tcPr>
            <w:tcW w:w="2260" w:type="dxa"/>
            <w:vAlign w:val="bottom"/>
            <w:gridSpan w:val="2"/>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Form of Letter to Holders.*</w:t>
              </w:r>
            </w:hyperlink>
          </w:p>
        </w:tc>
      </w:tr>
      <w:tr>
        <w:trPr>
          <w:trHeight w:val="20"/>
        </w:trPr>
        <w:tc>
          <w:tcPr>
            <w:tcW w:w="880" w:type="dxa"/>
            <w:vAlign w:val="bottom"/>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99.c</w:t>
      </w:r>
      <w:r>
        <w:rPr>
          <w:sz w:val="20"/>
          <w:szCs w:val="20"/>
          <w:color w:val="auto"/>
        </w:rPr>
        <w:tab/>
      </w:r>
      <w:hyperlink r:id="rId199">
        <w:r>
          <w:rPr>
            <w:rFonts w:ascii="Times New Roman" w:cs="Times New Roman" w:eastAsia="Times New Roman" w:hAnsi="Times New Roman"/>
            <w:sz w:val="17"/>
            <w:szCs w:val="17"/>
            <w:u w:val="single" w:color="auto"/>
            <w:color w:val="0000EE"/>
          </w:rPr>
          <w:t>Form of Letter to Brokers, Dealers, Commercial Banks, Trust Companies and Other Nominees.*</w:t>
        </w:r>
      </w:hyperlink>
    </w:p>
    <w:p>
      <w:pPr>
        <w:spacing w:after="0" w:line="117" w:lineRule="exact"/>
        <w:rPr>
          <w:sz w:val="20"/>
          <w:szCs w:val="20"/>
          <w:color w:val="auto"/>
        </w:rPr>
      </w:pPr>
    </w:p>
    <w:p>
      <w:pPr>
        <w:ind w:left="120"/>
        <w:spacing w:after="0"/>
        <w:tabs>
          <w:tab w:leader="none" w:pos="9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99.d</w:t>
      </w:r>
      <w:r>
        <w:rPr>
          <w:sz w:val="20"/>
          <w:szCs w:val="20"/>
          <w:color w:val="auto"/>
        </w:rPr>
        <w:tab/>
      </w:r>
      <w:hyperlink r:id="rId200">
        <w:r>
          <w:rPr>
            <w:rFonts w:ascii="Times New Roman" w:cs="Times New Roman" w:eastAsia="Times New Roman" w:hAnsi="Times New Roman"/>
            <w:sz w:val="18"/>
            <w:szCs w:val="18"/>
            <w:u w:val="single" w:color="auto"/>
            <w:color w:val="0000EE"/>
          </w:rPr>
          <w:t>Form of Letter to Clients.*</w:t>
        </w:r>
      </w:hyperlink>
    </w:p>
    <w:p>
      <w:pPr>
        <w:spacing w:after="0" w:line="117" w:lineRule="exact"/>
        <w:rPr>
          <w:sz w:val="20"/>
          <w:szCs w:val="20"/>
          <w:color w:val="auto"/>
        </w:rPr>
      </w:pPr>
    </w:p>
    <w:p>
      <w:pPr>
        <w:ind w:left="120"/>
        <w:spacing w:after="0"/>
        <w:tabs>
          <w:tab w:leader="none" w:pos="9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99.e</w:t>
      </w:r>
      <w:r>
        <w:rPr>
          <w:sz w:val="20"/>
          <w:szCs w:val="20"/>
          <w:color w:val="auto"/>
        </w:rPr>
        <w:tab/>
      </w:r>
      <w:hyperlink r:id="rId196">
        <w:r>
          <w:rPr>
            <w:rFonts w:ascii="Times New Roman" w:cs="Times New Roman" w:eastAsia="Times New Roman" w:hAnsi="Times New Roman"/>
            <w:sz w:val="17"/>
            <w:szCs w:val="17"/>
            <w:u w:val="single" w:color="auto"/>
            <w:color w:val="0000EE"/>
          </w:rPr>
          <w:t>Guidelines for Certification of Taxpayer Identification Number on Substitute Form W-9 (included in Exhibit 99.a).*</w:t>
        </w:r>
      </w:hyperlink>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schedules have been incorporated herein by reference or omitted because they are not applicable or not required.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22. UNDERTAKINGS.</w:t>
      </w:r>
    </w:p>
    <w:p>
      <w:pPr>
        <w:spacing w:after="0" w:line="135"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1"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94"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7" w:lineRule="exact"/>
        <w:rPr>
          <w:sz w:val="20"/>
          <w:szCs w:val="20"/>
          <w:color w:val="auto"/>
        </w:rPr>
      </w:pPr>
    </w:p>
    <w:p>
      <w:pPr>
        <w:ind w:left="540" w:right="10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540" w:right="20" w:hanging="424"/>
        <w:spacing w:after="0" w:line="254"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7" w:lineRule="exact"/>
        <w:rPr>
          <w:rFonts w:ascii="Times New Roman" w:cs="Times New Roman" w:eastAsia="Times New Roman" w:hAnsi="Times New Roman"/>
          <w:sz w:val="18"/>
          <w:szCs w:val="18"/>
          <w:color w:val="auto"/>
        </w:rPr>
      </w:pPr>
    </w:p>
    <w:p>
      <w:pPr>
        <w:ind w:left="540" w:right="180" w:hanging="424"/>
        <w:spacing w:after="0" w:line="266"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securities of the undersigned registrant pursuant to this registration statement, regardless of the underwriting method used to sell the securities to the purchaser, if the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registrants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540" w:right="82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registrants or used or referred to by the undersigned registrants;</w:t>
      </w:r>
    </w:p>
    <w:p>
      <w:pPr>
        <w:spacing w:after="0" w:line="67" w:lineRule="exact"/>
        <w:rPr>
          <w:rFonts w:ascii="Times New Roman" w:cs="Times New Roman" w:eastAsia="Times New Roman" w:hAnsi="Times New Roman"/>
          <w:sz w:val="18"/>
          <w:szCs w:val="18"/>
          <w:color w:val="auto"/>
        </w:rPr>
      </w:pPr>
    </w:p>
    <w:p>
      <w:pPr>
        <w:ind w:left="540" w:right="260" w:hanging="424"/>
        <w:spacing w:after="0" w:line="282"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registrants or its securities provided by or on behalf of the undersigned registrants;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registrants to the purchaser.</w:t>
      </w:r>
    </w:p>
    <w:p>
      <w:pPr>
        <w:spacing w:after="0" w:line="131" w:lineRule="exact"/>
        <w:rPr>
          <w:sz w:val="20"/>
          <w:szCs w:val="20"/>
          <w:color w:val="auto"/>
        </w:rPr>
      </w:pPr>
    </w:p>
    <w:p>
      <w:pPr>
        <w:ind w:left="540" w:right="200" w:hanging="424"/>
        <w:spacing w:after="0" w:line="258"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540" w:right="40" w:hanging="424"/>
        <w:spacing w:after="0" w:line="254"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97"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5" w:lineRule="exact"/>
        <w:rPr>
          <w:rFonts w:ascii="Times New Roman" w:cs="Times New Roman" w:eastAsia="Times New Roman" w:hAnsi="Times New Roman"/>
          <w:sz w:val="18"/>
          <w:szCs w:val="18"/>
          <w:color w:val="auto"/>
        </w:rPr>
      </w:pPr>
    </w:p>
    <w:p>
      <w:pPr>
        <w:ind w:left="540" w:right="60" w:hanging="424"/>
        <w:spacing w:after="0" w:line="282"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1" w:lineRule="exact"/>
        <w:rPr>
          <w:sz w:val="20"/>
          <w:szCs w:val="20"/>
          <w:color w:val="auto"/>
        </w:rPr>
      </w:pPr>
    </w:p>
    <w:p>
      <w:pPr>
        <w:ind w:left="120"/>
        <w:spacing w:after="0"/>
        <w:tabs>
          <w:tab w:leader="none" w:pos="2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32829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Timothy J. Donahue</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Title: Chairman, President &amp; Chief Executive Officer</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18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Chairman of the Board and</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Timothy J. Donahue</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(Principal Executive Officer)</w:t>
            </w:r>
          </w:p>
        </w:tc>
        <w:tc>
          <w:tcPr>
            <w:tcW w:w="1780" w:type="dxa"/>
            <w:vAlign w:val="bottom"/>
          </w:tcPr>
          <w:p>
            <w:pPr>
              <w:spacing w:after="0"/>
              <w:rPr>
                <w:sz w:val="20"/>
                <w:szCs w:val="20"/>
                <w:color w:val="auto"/>
              </w:rPr>
            </w:pPr>
          </w:p>
        </w:tc>
      </w:tr>
      <w:tr>
        <w:trPr>
          <w:trHeight w:val="42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Kevin C. Clothier</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780" w:type="dxa"/>
            <w:vAlign w:val="bottom"/>
          </w:tcPr>
          <w:p>
            <w:pPr>
              <w:spacing w:after="0"/>
              <w:rPr>
                <w:sz w:val="20"/>
                <w:szCs w:val="20"/>
                <w:color w:val="auto"/>
              </w:rPr>
            </w:pPr>
          </w:p>
        </w:tc>
      </w:tr>
      <w:tr>
        <w:trPr>
          <w:trHeight w:val="42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H. Fearon</w:t>
            </w:r>
          </w:p>
        </w:tc>
        <w:tc>
          <w:tcPr>
            <w:tcW w:w="5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Andrea J. Funk</w:t>
            </w:r>
          </w:p>
        </w:tc>
        <w:tc>
          <w:tcPr>
            <w:tcW w:w="5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Stephen J. Hagge</w:t>
            </w:r>
          </w:p>
        </w:tc>
        <w:tc>
          <w:tcPr>
            <w:tcW w:w="5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 Craig Owens</w:t>
            </w:r>
          </w:p>
        </w:tc>
        <w:tc>
          <w:tcPr>
            <w:tcW w:w="5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56"/>
        </w:trPr>
        <w:tc>
          <w:tcPr>
            <w:tcW w:w="3660" w:type="dxa"/>
            <w:vAlign w:val="bottom"/>
          </w:tcPr>
          <w:p>
            <w:pPr>
              <w:spacing w:after="0"/>
              <w:rPr>
                <w:sz w:val="24"/>
                <w:szCs w:val="24"/>
                <w:color w:val="auto"/>
              </w:rPr>
            </w:pPr>
          </w:p>
        </w:tc>
        <w:tc>
          <w:tcPr>
            <w:tcW w:w="51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II-11</w:t>
            </w:r>
          </w:p>
        </w:tc>
        <w:tc>
          <w:tcPr>
            <w:tcW w:w="17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180" w:type="dxa"/>
            <w:vAlign w:val="bottom"/>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740" w:type="dxa"/>
            <w:vAlign w:val="bottom"/>
          </w:tcPr>
          <w:p>
            <w:pPr>
              <w:spacing w:after="0"/>
              <w:rPr>
                <w:sz w:val="16"/>
                <w:szCs w:val="16"/>
                <w:color w:val="auto"/>
              </w:rPr>
            </w:pPr>
          </w:p>
        </w:tc>
        <w:tc>
          <w:tcPr>
            <w:tcW w:w="350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720" w:type="dxa"/>
            <w:vAlign w:val="bottom"/>
          </w:tcPr>
          <w:p>
            <w:pPr>
              <w:jc w:val="center"/>
              <w:ind w:left="1414"/>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tcPr>
          <w:p>
            <w:pPr>
              <w:jc w:val="center"/>
              <w:ind w:left="139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18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8"/>
              </w:rPr>
              <w:t>Angela M. Snyder</w:t>
            </w:r>
          </w:p>
        </w:tc>
        <w:tc>
          <w:tcPr>
            <w:tcW w:w="7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3"/>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tcPr>
          <w:p>
            <w:pPr>
              <w:jc w:val="center"/>
              <w:ind w:left="139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18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8"/>
              </w:rPr>
              <w:t>Caesar F. Sweitzer</w:t>
            </w:r>
          </w:p>
        </w:tc>
        <w:tc>
          <w:tcPr>
            <w:tcW w:w="7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3"/>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tcPr>
          <w:p>
            <w:pPr>
              <w:jc w:val="center"/>
              <w:ind w:left="139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18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9"/>
              </w:rPr>
              <w:t>Marsha C. Williams</w:t>
            </w:r>
          </w:p>
        </w:tc>
        <w:tc>
          <w:tcPr>
            <w:tcW w:w="7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23"/>
        </w:trPr>
        <w:tc>
          <w:tcPr>
            <w:tcW w:w="3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tcPr>
          <w:p>
            <w:pPr>
              <w:jc w:val="center"/>
              <w:ind w:left="139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18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9"/>
              </w:rPr>
              <w:t>Dwayne A. Wilson</w:t>
            </w:r>
          </w:p>
        </w:tc>
        <w:tc>
          <w:tcPr>
            <w:tcW w:w="7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5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7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18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740" w:type="dxa"/>
            <w:vAlign w:val="bottom"/>
            <w:tcBorders>
              <w:top w:val="single" w:sz="8" w:color="auto"/>
            </w:tcBorders>
          </w:tcPr>
          <w:p>
            <w:pPr>
              <w:spacing w:after="0"/>
              <w:rPr>
                <w:sz w:val="17"/>
                <w:szCs w:val="17"/>
                <w:color w:val="auto"/>
              </w:rPr>
            </w:pPr>
          </w:p>
        </w:tc>
        <w:tc>
          <w:tcPr>
            <w:tcW w:w="350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3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7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64"/>
        </w:trPr>
        <w:tc>
          <w:tcPr>
            <w:tcW w:w="4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II-12</w:t>
            </w:r>
          </w:p>
        </w:tc>
        <w:tc>
          <w:tcPr>
            <w:tcW w:w="2720" w:type="dxa"/>
            <w:vAlign w:val="bottom"/>
          </w:tcPr>
          <w:p>
            <w:pPr>
              <w:spacing w:after="0"/>
              <w:rPr>
                <w:sz w:val="24"/>
                <w:szCs w:val="24"/>
                <w:color w:val="auto"/>
              </w:rPr>
            </w:pPr>
          </w:p>
        </w:tc>
      </w:tr>
    </w:tbl>
    <w:p>
      <w:pPr>
        <w:sectPr>
          <w:pgSz w:w="11900" w:h="16838" w:orient="portrait"/>
          <w:cols w:equalWidth="0" w:num="1">
            <w:col w:w="10740"/>
          </w:cols>
          <w:pgMar w:left="320" w:top="455" w:right="8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21" w:lineRule="exact"/>
        <w:rPr>
          <w:sz w:val="20"/>
          <w:szCs w:val="20"/>
          <w:color w:val="auto"/>
        </w:rPr>
      </w:pPr>
    </w:p>
    <w:p>
      <w:pPr>
        <w:ind w:left="120"/>
        <w:spacing w:after="0"/>
        <w:tabs>
          <w:tab w:leader="none" w:pos="2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19685</wp:posOffset>
            </wp:positionV>
            <wp:extent cx="2922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Gary M. Gavin</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Title: President and Chief Executive Officer</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780" w:type="dxa"/>
            <w:vAlign w:val="bottom"/>
          </w:tcPr>
          <w:p>
            <w:pPr>
              <w:jc w:val="center"/>
              <w:ind w:left="49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2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00" w:type="dxa"/>
            <w:vAlign w:val="bottom"/>
          </w:tcPr>
          <w:p>
            <w:pPr>
              <w:jc w:val="center"/>
              <w:ind w:left="89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260" w:type="dxa"/>
            <w:vAlign w:val="bottom"/>
            <w:tcBorders>
              <w:bottom w:val="single" w:sz="8" w:color="auto"/>
            </w:tcBorders>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80" w:type="dxa"/>
            <w:vAlign w:val="bottom"/>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rPr>
              <w:t>Gary M. Gavin</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20"/>
                <w:szCs w:val="20"/>
                <w:color w:val="auto"/>
              </w:rPr>
            </w:pPr>
          </w:p>
        </w:tc>
      </w:tr>
      <w:tr>
        <w:trPr>
          <w:trHeight w:val="423"/>
        </w:trPr>
        <w:tc>
          <w:tcPr>
            <w:tcW w:w="3260" w:type="dxa"/>
            <w:vAlign w:val="bottom"/>
            <w:tcBorders>
              <w:bottom w:val="single" w:sz="8" w:color="auto"/>
            </w:tcBorders>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Chief Financial</w:t>
            </w:r>
          </w:p>
        </w:tc>
        <w:tc>
          <w:tcPr>
            <w:tcW w:w="22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8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rPr>
              <w:t>Ronald S. Cenderelli</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(Principal Financial Officer)</w:t>
            </w:r>
          </w:p>
        </w:tc>
        <w:tc>
          <w:tcPr>
            <w:tcW w:w="2200" w:type="dxa"/>
            <w:vAlign w:val="bottom"/>
          </w:tcPr>
          <w:p>
            <w:pPr>
              <w:spacing w:after="0"/>
              <w:rPr>
                <w:sz w:val="20"/>
                <w:szCs w:val="20"/>
                <w:color w:val="auto"/>
              </w:rPr>
            </w:pPr>
          </w:p>
        </w:tc>
      </w:tr>
      <w:tr>
        <w:trPr>
          <w:trHeight w:val="423"/>
        </w:trPr>
        <w:tc>
          <w:tcPr>
            <w:tcW w:w="3260" w:type="dxa"/>
            <w:vAlign w:val="bottom"/>
            <w:tcBorders>
              <w:bottom w:val="single" w:sz="8" w:color="auto"/>
            </w:tcBorders>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22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80" w:type="dxa"/>
            <w:vAlign w:val="bottom"/>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0" w:type="dxa"/>
            <w:vAlign w:val="bottom"/>
          </w:tcPr>
          <w:p>
            <w:pPr>
              <w:spacing w:after="0"/>
              <w:rPr>
                <w:sz w:val="20"/>
                <w:szCs w:val="20"/>
                <w:color w:val="auto"/>
              </w:rPr>
            </w:pPr>
          </w:p>
        </w:tc>
      </w:tr>
      <w:tr>
        <w:trPr>
          <w:trHeight w:val="423"/>
        </w:trPr>
        <w:tc>
          <w:tcPr>
            <w:tcW w:w="3260" w:type="dxa"/>
            <w:vAlign w:val="bottom"/>
            <w:tcBorders>
              <w:bottom w:val="single" w:sz="8" w:color="auto"/>
            </w:tcBorders>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22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80" w:type="dxa"/>
            <w:vAlign w:val="bottom"/>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rPr>
              <w:t>Adam J. Dickstein</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23"/>
        </w:trPr>
        <w:tc>
          <w:tcPr>
            <w:tcW w:w="3260" w:type="dxa"/>
            <w:vAlign w:val="bottom"/>
            <w:tcBorders>
              <w:bottom w:val="single" w:sz="8" w:color="auto"/>
            </w:tcBorders>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22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8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9"/>
              </w:rPr>
              <w:t>Timothy J. Donahue</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center"/>
              <w:ind w:left="512"/>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2200" w:type="dxa"/>
            <w:vAlign w:val="bottom"/>
          </w:tcPr>
          <w:p>
            <w:pPr>
              <w:jc w:val="center"/>
              <w:ind w:left="87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80" w:type="dxa"/>
            <w:vAlign w:val="bottom"/>
          </w:tcPr>
          <w:p>
            <w:pPr>
              <w:jc w:val="center"/>
              <w:ind w:left="492"/>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50"/>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78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3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[Signature Page to Form S-4—Crown Americas LLC]</w:t>
            </w:r>
          </w:p>
        </w:tc>
        <w:tc>
          <w:tcPr>
            <w:tcW w:w="2200" w:type="dxa"/>
            <w:vAlign w:val="bottom"/>
          </w:tcPr>
          <w:p>
            <w:pPr>
              <w:spacing w:after="0"/>
              <w:rPr>
                <w:sz w:val="24"/>
                <w:szCs w:val="24"/>
                <w:color w:val="auto"/>
              </w:rPr>
            </w:pPr>
          </w:p>
        </w:tc>
      </w:tr>
      <w:tr>
        <w:trPr>
          <w:trHeight w:val="364"/>
        </w:trPr>
        <w:tc>
          <w:tcPr>
            <w:tcW w:w="4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II-13</w:t>
            </w:r>
          </w:p>
        </w:tc>
        <w:tc>
          <w:tcPr>
            <w:tcW w:w="22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Timothy J. Donahue</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68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40" w:type="dxa"/>
            <w:vAlign w:val="bottom"/>
          </w:tcPr>
          <w:p>
            <w:pPr>
              <w:jc w:val="center"/>
              <w:ind w:left="234"/>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(Principal</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9"/>
              </w:rPr>
              <w:t>Timothy J. Donahue</w:t>
            </w:r>
          </w:p>
        </w:tc>
        <w:tc>
          <w:tcPr>
            <w:tcW w:w="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c>
          <w:tcPr>
            <w:tcW w:w="154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Chief Financial</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178"/>
        </w:trPr>
        <w:tc>
          <w:tcPr>
            <w:tcW w:w="480" w:type="dxa"/>
            <w:vAlign w:val="bottom"/>
          </w:tcPr>
          <w:p>
            <w:pPr>
              <w:spacing w:after="0"/>
              <w:rPr>
                <w:sz w:val="15"/>
                <w:szCs w:val="15"/>
                <w:color w:val="auto"/>
              </w:rPr>
            </w:pPr>
          </w:p>
        </w:tc>
        <w:tc>
          <w:tcPr>
            <w:tcW w:w="3840" w:type="dxa"/>
            <w:vAlign w:val="bottom"/>
          </w:tcPr>
          <w:p>
            <w:pPr>
              <w:jc w:val="center"/>
              <w:ind w:right="393"/>
              <w:spacing w:after="0" w:line="177" w:lineRule="exact"/>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80" w:type="dxa"/>
            <w:vAlign w:val="bottom"/>
          </w:tcPr>
          <w:p>
            <w:pPr>
              <w:spacing w:after="0"/>
              <w:rPr>
                <w:sz w:val="15"/>
                <w:szCs w:val="15"/>
                <w:color w:val="auto"/>
              </w:rPr>
            </w:pPr>
          </w:p>
        </w:tc>
        <w:tc>
          <w:tcPr>
            <w:tcW w:w="468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Officer and Director (Principal</w:t>
            </w:r>
          </w:p>
        </w:tc>
        <w:tc>
          <w:tcPr>
            <w:tcW w:w="154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w:t>
            </w:r>
          </w:p>
        </w:tc>
        <w:tc>
          <w:tcPr>
            <w:tcW w:w="1540" w:type="dxa"/>
            <w:vAlign w:val="bottom"/>
          </w:tcPr>
          <w:p>
            <w:pPr>
              <w:spacing w:after="0"/>
              <w:rPr>
                <w:sz w:val="20"/>
                <w:szCs w:val="20"/>
                <w:color w:val="auto"/>
              </w:rPr>
            </w:pPr>
          </w:p>
        </w:tc>
      </w:tr>
      <w:tr>
        <w:trPr>
          <w:trHeight w:val="44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Treasurer (Principal Accounting Officer)</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rPr>
              <w:t>Adam J. Dickstein</w:t>
            </w:r>
          </w:p>
        </w:tc>
        <w:tc>
          <w:tcPr>
            <w:tcW w:w="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Counsel, Secretary and Director</w:t>
            </w:r>
          </w:p>
        </w:tc>
        <w:tc>
          <w:tcPr>
            <w:tcW w:w="154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S-4—Crown Cork &amp; Seal Company, Inc.]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II-14</w:t>
      </w:r>
    </w:p>
    <w:p>
      <w:pPr>
        <w:sectPr>
          <w:pgSz w:w="11900" w:h="16838" w:orient="portrait"/>
          <w:cols w:equalWidth="0" w:num="1">
            <w:col w:w="11080"/>
          </w:cols>
          <w:pgMar w:left="320" w:top="455"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21" w:lineRule="exact"/>
        <w:rPr>
          <w:sz w:val="20"/>
          <w:szCs w:val="20"/>
          <w:color w:val="auto"/>
        </w:rPr>
      </w:pPr>
    </w:p>
    <w:p>
      <w:pPr>
        <w:ind w:left="120"/>
        <w:spacing w:after="0"/>
        <w:tabs>
          <w:tab w:leader="none" w:pos="2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3282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1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Ronald S. Cenderelli</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Title: Vice President, Chief Financial Officer and Treasurer</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560" w:type="dxa"/>
            <w:vAlign w:val="bottom"/>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8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40" w:type="dxa"/>
            <w:vAlign w:val="bottom"/>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0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Chief Financial Officer, Treasurer and</w:t>
            </w:r>
          </w:p>
        </w:tc>
        <w:tc>
          <w:tcPr>
            <w:tcW w:w="17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178"/>
        </w:trPr>
        <w:tc>
          <w:tcPr>
            <w:tcW w:w="480" w:type="dxa"/>
            <w:vAlign w:val="bottom"/>
          </w:tcPr>
          <w:p>
            <w:pPr>
              <w:spacing w:after="0"/>
              <w:rPr>
                <w:sz w:val="15"/>
                <w:szCs w:val="15"/>
                <w:color w:val="auto"/>
              </w:rPr>
            </w:pPr>
          </w:p>
        </w:tc>
        <w:tc>
          <w:tcPr>
            <w:tcW w:w="2560" w:type="dxa"/>
            <w:vAlign w:val="bottom"/>
          </w:tcPr>
          <w:p>
            <w:pPr>
              <w:jc w:val="center"/>
              <w:ind w:left="712"/>
              <w:spacing w:after="0" w:line="177" w:lineRule="exact"/>
              <w:rPr>
                <w:sz w:val="20"/>
                <w:szCs w:val="20"/>
                <w:color w:val="auto"/>
              </w:rPr>
            </w:pPr>
            <w:r>
              <w:rPr>
                <w:rFonts w:ascii="Times New Roman" w:cs="Times New Roman" w:eastAsia="Times New Roman" w:hAnsi="Times New Roman"/>
                <w:sz w:val="18"/>
                <w:szCs w:val="18"/>
                <w:b w:val="1"/>
                <w:bCs w:val="1"/>
                <w:color w:val="auto"/>
              </w:rPr>
              <w:t>Ronald S. Cenderelli</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8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Director of Sole Member (Principal Executive Officer,</w:t>
            </w:r>
          </w:p>
        </w:tc>
        <w:tc>
          <w:tcPr>
            <w:tcW w:w="1740" w:type="dxa"/>
            <w:vAlign w:val="bottom"/>
          </w:tcPr>
          <w:p>
            <w:pPr>
              <w:spacing w:after="0"/>
              <w:rPr>
                <w:sz w:val="15"/>
                <w:szCs w:val="15"/>
                <w:color w:val="auto"/>
              </w:rPr>
            </w:pPr>
          </w:p>
        </w:tc>
      </w:tr>
      <w:tr>
        <w:trPr>
          <w:trHeight w:val="216"/>
        </w:trPr>
        <w:tc>
          <w:tcPr>
            <w:tcW w:w="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174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1740" w:type="dxa"/>
            <w:vAlign w:val="bottom"/>
          </w:tcPr>
          <w:p>
            <w:pPr>
              <w:spacing w:after="0"/>
              <w:rPr>
                <w:sz w:val="20"/>
                <w:szCs w:val="20"/>
                <w:color w:val="auto"/>
              </w:rPr>
            </w:pPr>
          </w:p>
        </w:tc>
      </w:tr>
      <w:tr>
        <w:trPr>
          <w:trHeight w:val="432"/>
        </w:trPr>
        <w:tc>
          <w:tcPr>
            <w:tcW w:w="30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17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60" w:type="dxa"/>
            <w:vAlign w:val="bottom"/>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9"/>
              </w:rPr>
              <w:t>Alfred J. Dermody</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23"/>
        </w:trPr>
        <w:tc>
          <w:tcPr>
            <w:tcW w:w="30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17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60" w:type="dxa"/>
            <w:vAlign w:val="bottom"/>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rPr>
              <w:t>Nüvit Erku</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23"/>
        </w:trPr>
        <w:tc>
          <w:tcPr>
            <w:tcW w:w="30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17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60" w:type="dxa"/>
            <w:vAlign w:val="bottom"/>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rPr>
              <w:t>Gary M. Gavin</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23"/>
        </w:trPr>
        <w:tc>
          <w:tcPr>
            <w:tcW w:w="30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17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60" w:type="dxa"/>
            <w:vAlign w:val="bottom"/>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9"/>
              </w:rPr>
              <w:t>Thomas J. Gordon</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23"/>
        </w:trPr>
        <w:tc>
          <w:tcPr>
            <w:tcW w:w="30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1740" w:type="dxa"/>
            <w:vAlign w:val="bottom"/>
          </w:tcPr>
          <w:p>
            <w:pPr>
              <w:jc w:val="center"/>
              <w:ind w:left="4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60" w:type="dxa"/>
            <w:vAlign w:val="bottom"/>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7"/>
              </w:rPr>
              <w:t>James Yackish</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56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8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[Signature Page to Form S-4—Crown Beverage Packaging, LLC]</w:t>
            </w:r>
          </w:p>
        </w:tc>
        <w:tc>
          <w:tcPr>
            <w:tcW w:w="1740" w:type="dxa"/>
            <w:vAlign w:val="bottom"/>
          </w:tcPr>
          <w:p>
            <w:pPr>
              <w:spacing w:after="0"/>
              <w:rPr>
                <w:sz w:val="24"/>
                <w:szCs w:val="24"/>
                <w:color w:val="auto"/>
              </w:rPr>
            </w:pPr>
          </w:p>
        </w:tc>
      </w:tr>
      <w:tr>
        <w:trPr>
          <w:trHeight w:val="364"/>
        </w:trPr>
        <w:tc>
          <w:tcPr>
            <w:tcW w:w="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II-15</w:t>
            </w:r>
          </w:p>
        </w:tc>
        <w:tc>
          <w:tcPr>
            <w:tcW w:w="17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Kevin C. Clothier</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740" w:type="dxa"/>
            <w:vAlign w:val="bottom"/>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jc w:val="center"/>
              <w:ind w:left="553"/>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16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40" w:type="dxa"/>
            <w:vAlign w:val="bottom"/>
          </w:tcPr>
          <w:p>
            <w:pPr>
              <w:jc w:val="center"/>
              <w:ind w:left="533"/>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3"/>
        </w:trPr>
        <w:tc>
          <w:tcPr>
            <w:tcW w:w="3220" w:type="dxa"/>
            <w:vAlign w:val="bottom"/>
            <w:tcBorders>
              <w:bottom w:val="single" w:sz="8" w:color="auto"/>
            </w:tcBorders>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General Counsel, Secretary and Director</w:t>
            </w:r>
          </w:p>
        </w:tc>
        <w:tc>
          <w:tcPr>
            <w:tcW w:w="16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40" w:type="dxa"/>
            <w:vAlign w:val="bottom"/>
          </w:tcPr>
          <w:p>
            <w:pPr>
              <w:jc w:val="center"/>
              <w:ind w:left="553"/>
              <w:spacing w:after="0"/>
              <w:rPr>
                <w:sz w:val="20"/>
                <w:szCs w:val="20"/>
                <w:color w:val="auto"/>
              </w:rPr>
            </w:pPr>
            <w:r>
              <w:rPr>
                <w:rFonts w:ascii="Times New Roman" w:cs="Times New Roman" w:eastAsia="Times New Roman" w:hAnsi="Times New Roman"/>
                <w:sz w:val="18"/>
                <w:szCs w:val="18"/>
                <w:b w:val="1"/>
                <w:bCs w:val="1"/>
                <w:color w:val="auto"/>
              </w:rPr>
              <w:t>Adam J. Dickstein</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3"/>
        </w:trPr>
        <w:tc>
          <w:tcPr>
            <w:tcW w:w="3220" w:type="dxa"/>
            <w:vAlign w:val="bottom"/>
            <w:tcBorders>
              <w:bottom w:val="single" w:sz="8" w:color="auto"/>
            </w:tcBorders>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Treasurer (Principal Financial and</w:t>
            </w:r>
          </w:p>
        </w:tc>
        <w:tc>
          <w:tcPr>
            <w:tcW w:w="16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40" w:type="dxa"/>
            <w:vAlign w:val="bottom"/>
          </w:tcPr>
          <w:p>
            <w:pPr>
              <w:jc w:val="center"/>
              <w:ind w:left="553"/>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680" w:type="dxa"/>
            <w:vAlign w:val="bottom"/>
          </w:tcPr>
          <w:p>
            <w:pPr>
              <w:spacing w:after="0"/>
              <w:rPr>
                <w:sz w:val="20"/>
                <w:szCs w:val="20"/>
                <w:color w:val="auto"/>
              </w:rPr>
            </w:pPr>
          </w:p>
        </w:tc>
      </w:tr>
      <w:tr>
        <w:trPr>
          <w:trHeight w:val="423"/>
        </w:trPr>
        <w:tc>
          <w:tcPr>
            <w:tcW w:w="3220" w:type="dxa"/>
            <w:vAlign w:val="bottom"/>
            <w:tcBorders>
              <w:bottom w:val="single" w:sz="8" w:color="auto"/>
            </w:tcBorders>
            <w:gridSpan w:val="2"/>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40" w:type="dxa"/>
            <w:vAlign w:val="bottom"/>
          </w:tcPr>
          <w:p>
            <w:pPr>
              <w:jc w:val="center"/>
              <w:ind w:left="553"/>
              <w:spacing w:after="0"/>
              <w:rPr>
                <w:sz w:val="20"/>
                <w:szCs w:val="20"/>
                <w:color w:val="auto"/>
              </w:rPr>
            </w:pPr>
            <w:r>
              <w:rPr>
                <w:rFonts w:ascii="Times New Roman" w:cs="Times New Roman" w:eastAsia="Times New Roman" w:hAnsi="Times New Roman"/>
                <w:sz w:val="18"/>
                <w:szCs w:val="18"/>
                <w:b w:val="1"/>
                <w:bCs w:val="1"/>
                <w:color w:val="auto"/>
              </w:rPr>
              <w:t>Gary M. Gavin</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0"/>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7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5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[Signature Page to Form S-4—Crown Consultants, Inc.]</w:t>
            </w:r>
          </w:p>
        </w:tc>
        <w:tc>
          <w:tcPr>
            <w:tcW w:w="1680" w:type="dxa"/>
            <w:vAlign w:val="bottom"/>
          </w:tcPr>
          <w:p>
            <w:pPr>
              <w:spacing w:after="0"/>
              <w:rPr>
                <w:sz w:val="24"/>
                <w:szCs w:val="24"/>
                <w:color w:val="auto"/>
              </w:rPr>
            </w:pPr>
          </w:p>
        </w:tc>
      </w:tr>
      <w:tr>
        <w:trPr>
          <w:trHeight w:val="365"/>
        </w:trPr>
        <w:tc>
          <w:tcPr>
            <w:tcW w:w="4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II-16</w:t>
            </w:r>
          </w:p>
        </w:tc>
        <w:tc>
          <w:tcPr>
            <w:tcW w:w="16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CORPORATION</w:t>
      </w:r>
    </w:p>
    <w:p>
      <w:pPr>
        <w:spacing w:after="0" w:line="203"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19685</wp:posOffset>
            </wp:positionV>
            <wp:extent cx="258889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1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Name: Ronald S. Cenderelli</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spacing w:after="0"/>
              <w:rPr>
                <w:sz w:val="24"/>
                <w:szCs w:val="24"/>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Ronald S. Cenderelli</w:t>
            </w:r>
          </w:p>
        </w:tc>
        <w:tc>
          <w:tcPr>
            <w:tcW w:w="4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4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spacing w:after="0"/>
              <w:rPr>
                <w:sz w:val="24"/>
                <w:szCs w:val="24"/>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Adam J. Dickstein</w:t>
            </w:r>
          </w:p>
        </w:tc>
        <w:tc>
          <w:tcPr>
            <w:tcW w:w="4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4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spacing w:after="0"/>
              <w:rPr>
                <w:sz w:val="24"/>
                <w:szCs w:val="24"/>
                <w:color w:val="auto"/>
              </w:rPr>
            </w:pP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and Treasurer (Principal Financial</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David A. Beaver</w:t>
            </w: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Accounting Officer)</w:t>
            </w:r>
          </w:p>
        </w:tc>
        <w:tc>
          <w:tcPr>
            <w:tcW w:w="154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 Kevin C. Clothier</w:t>
            </w:r>
          </w:p>
        </w:tc>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4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4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0"/>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4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92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5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42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S-4—Foreign Manufacturers Finance Corporation]</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II-17</w:t>
      </w:r>
    </w:p>
    <w:p>
      <w:pPr>
        <w:sectPr>
          <w:pgSz w:w="11900" w:h="16838" w:orient="portrait"/>
          <w:cols w:equalWidth="0" w:num="1">
            <w:col w:w="11080"/>
          </w:cols>
          <w:pgMar w:left="320" w:top="455"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David A. Beaver</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Vice President and Treasurer</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5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80" w:type="dxa"/>
            <w:vAlign w:val="bottom"/>
          </w:tcPr>
          <w:p>
            <w:pPr>
              <w:jc w:val="center"/>
              <w:ind w:left="37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16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8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Executive, Financial and Accounting Officer)</w:t>
            </w:r>
          </w:p>
        </w:tc>
        <w:tc>
          <w:tcPr>
            <w:tcW w:w="168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w:t>
            </w:r>
          </w:p>
        </w:tc>
        <w:tc>
          <w:tcPr>
            <w:tcW w:w="16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Secretary and Manager</w:t>
            </w:r>
          </w:p>
        </w:tc>
        <w:tc>
          <w:tcPr>
            <w:tcW w:w="16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rPr>
              <w:t>Adam J. Dickstein</w:t>
            </w: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16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rPr>
              <w:t>Ronald S. Cenderelli</w:t>
            </w: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1680" w:type="dxa"/>
            <w:vAlign w:val="bottom"/>
          </w:tcPr>
          <w:p>
            <w:pPr>
              <w:jc w:val="center"/>
              <w:ind w:left="3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rPr>
              <w:t>Gary M. Gavin</w:t>
            </w: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5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S-4—Crown Cork &amp; Seal Company (DE), LLC]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II-18</w:t>
      </w:r>
    </w:p>
    <w:p>
      <w:pPr>
        <w:sectPr>
          <w:pgSz w:w="11900" w:h="16838" w:orient="portrait"/>
          <w:cols w:equalWidth="0" w:num="1">
            <w:col w:w="11080"/>
          </w:cols>
          <w:pgMar w:left="320" w:top="45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CORK &amp; SEAL USA, INC.</w:t>
      </w:r>
    </w:p>
    <w:p>
      <w:pPr>
        <w:spacing w:after="0" w:line="221" w:lineRule="exact"/>
        <w:rPr>
          <w:sz w:val="20"/>
          <w:szCs w:val="20"/>
          <w:color w:val="auto"/>
        </w:rPr>
      </w:pPr>
    </w:p>
    <w:p>
      <w:pPr>
        <w:ind w:left="120"/>
        <w:spacing w:after="0"/>
        <w:tabs>
          <w:tab w:leader="none" w:pos="2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32829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Gary M. Gavin</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Title: Chairman, President and Chief Executive Officer</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18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60" w:type="dxa"/>
            <w:vAlign w:val="bottom"/>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5"/>
        </w:trPr>
        <w:tc>
          <w:tcPr>
            <w:tcW w:w="4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spacing w:after="0"/>
              <w:rPr>
                <w:sz w:val="24"/>
                <w:szCs w:val="24"/>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Chief Executive Officer, Chairman of the</w:t>
            </w:r>
          </w:p>
        </w:tc>
        <w:tc>
          <w:tcPr>
            <w:tcW w:w="15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Gary M. Gavin</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and Director (Principal Executive Officer)</w:t>
            </w:r>
          </w:p>
        </w:tc>
        <w:tc>
          <w:tcPr>
            <w:tcW w:w="1560" w:type="dxa"/>
            <w:vAlign w:val="bottom"/>
          </w:tcPr>
          <w:p>
            <w:pPr>
              <w:spacing w:after="0"/>
              <w:rPr>
                <w:sz w:val="20"/>
                <w:szCs w:val="20"/>
                <w:color w:val="auto"/>
              </w:rPr>
            </w:pPr>
          </w:p>
        </w:tc>
      </w:tr>
      <w:tr>
        <w:trPr>
          <w:trHeight w:val="423"/>
        </w:trPr>
        <w:tc>
          <w:tcPr>
            <w:tcW w:w="4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spacing w:after="0"/>
              <w:rPr>
                <w:sz w:val="24"/>
                <w:szCs w:val="24"/>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Chief Financial Officer, Treasurer</w:t>
            </w:r>
          </w:p>
        </w:tc>
        <w:tc>
          <w:tcPr>
            <w:tcW w:w="15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178"/>
        </w:trPr>
        <w:tc>
          <w:tcPr>
            <w:tcW w:w="480" w:type="dxa"/>
            <w:vAlign w:val="bottom"/>
          </w:tcPr>
          <w:p>
            <w:pPr>
              <w:spacing w:after="0"/>
              <w:rPr>
                <w:sz w:val="15"/>
                <w:szCs w:val="15"/>
                <w:color w:val="auto"/>
              </w:rPr>
            </w:pPr>
          </w:p>
        </w:tc>
        <w:tc>
          <w:tcPr>
            <w:tcW w:w="4480" w:type="dxa"/>
            <w:vAlign w:val="bottom"/>
            <w:gridSpan w:val="2"/>
          </w:tcPr>
          <w:p>
            <w:pPr>
              <w:jc w:val="center"/>
              <w:ind w:right="480"/>
              <w:spacing w:after="0" w:line="177" w:lineRule="exact"/>
              <w:rPr>
                <w:sz w:val="20"/>
                <w:szCs w:val="20"/>
                <w:color w:val="auto"/>
              </w:rPr>
            </w:pPr>
            <w:r>
              <w:rPr>
                <w:rFonts w:ascii="Times New Roman" w:cs="Times New Roman" w:eastAsia="Times New Roman" w:hAnsi="Times New Roman"/>
                <w:sz w:val="18"/>
                <w:szCs w:val="18"/>
                <w:b w:val="1"/>
                <w:bCs w:val="1"/>
                <w:color w:val="auto"/>
              </w:rPr>
              <w:t>Ronald S. Cenderelli</w:t>
            </w:r>
          </w:p>
        </w:tc>
        <w:tc>
          <w:tcPr>
            <w:tcW w:w="418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and Director (Principal Financial Officer and</w:t>
            </w:r>
          </w:p>
        </w:tc>
        <w:tc>
          <w:tcPr>
            <w:tcW w:w="156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560" w:type="dxa"/>
            <w:vAlign w:val="bottom"/>
          </w:tcPr>
          <w:p>
            <w:pPr>
              <w:spacing w:after="0"/>
              <w:rPr>
                <w:sz w:val="20"/>
                <w:szCs w:val="20"/>
                <w:color w:val="auto"/>
              </w:rPr>
            </w:pPr>
          </w:p>
        </w:tc>
      </w:tr>
      <w:tr>
        <w:trPr>
          <w:trHeight w:val="432"/>
        </w:trPr>
        <w:tc>
          <w:tcPr>
            <w:tcW w:w="4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spacing w:after="0"/>
              <w:rPr>
                <w:sz w:val="24"/>
                <w:szCs w:val="24"/>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5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Alfred J. Dermody</w:t>
            </w:r>
          </w:p>
        </w:tc>
        <w:tc>
          <w:tcPr>
            <w:tcW w:w="41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23"/>
        </w:trPr>
        <w:tc>
          <w:tcPr>
            <w:tcW w:w="4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spacing w:after="0"/>
              <w:rPr>
                <w:sz w:val="24"/>
                <w:szCs w:val="24"/>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Nüvit Erku</w:t>
            </w:r>
          </w:p>
        </w:tc>
        <w:tc>
          <w:tcPr>
            <w:tcW w:w="41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23"/>
        </w:trPr>
        <w:tc>
          <w:tcPr>
            <w:tcW w:w="4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spacing w:after="0"/>
              <w:rPr>
                <w:sz w:val="24"/>
                <w:szCs w:val="24"/>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Thomas J. Gordon</w:t>
            </w:r>
          </w:p>
        </w:tc>
        <w:tc>
          <w:tcPr>
            <w:tcW w:w="41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23"/>
        </w:trPr>
        <w:tc>
          <w:tcPr>
            <w:tcW w:w="4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spacing w:after="0"/>
              <w:rPr>
                <w:sz w:val="24"/>
                <w:szCs w:val="24"/>
                <w:color w:val="auto"/>
              </w:rPr>
            </w:pP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56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44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7"/>
              </w:rPr>
              <w:t>James Yackish</w:t>
            </w:r>
          </w:p>
        </w:tc>
        <w:tc>
          <w:tcPr>
            <w:tcW w:w="41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50"/>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4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92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56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6"/>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418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S-4—Crown Cork &amp; Seal USA, Inc.]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II-19</w:t>
      </w:r>
    </w:p>
    <w:p>
      <w:pPr>
        <w:sectPr>
          <w:pgSz w:w="11900" w:h="16838" w:orient="portrait"/>
          <w:cols w:equalWidth="0" w:num="1">
            <w:col w:w="11080"/>
          </w:cols>
          <w:pgMar w:left="320" w:top="455"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Brian Rogers</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500" w:type="dxa"/>
            <w:vAlign w:val="bottom"/>
          </w:tcPr>
          <w:p>
            <w:pPr>
              <w:jc w:val="center"/>
              <w:ind w:left="77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2980" w:type="dxa"/>
            <w:vAlign w:val="bottom"/>
            <w:tcBorders>
              <w:bottom w:val="single" w:sz="8" w:color="auto"/>
            </w:tcBorders>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16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0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Brian Rogers</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3"/>
        </w:trPr>
        <w:tc>
          <w:tcPr>
            <w:tcW w:w="2980" w:type="dxa"/>
            <w:vAlign w:val="bottom"/>
            <w:tcBorders>
              <w:bottom w:val="single" w:sz="8" w:color="auto"/>
            </w:tcBorders>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Treasurer (Principal Financial and</w:t>
            </w:r>
          </w:p>
        </w:tc>
        <w:tc>
          <w:tcPr>
            <w:tcW w:w="16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0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680" w:type="dxa"/>
            <w:vAlign w:val="bottom"/>
          </w:tcPr>
          <w:p>
            <w:pPr>
              <w:spacing w:after="0"/>
              <w:rPr>
                <w:sz w:val="20"/>
                <w:szCs w:val="20"/>
                <w:color w:val="auto"/>
              </w:rPr>
            </w:pPr>
          </w:p>
        </w:tc>
      </w:tr>
      <w:tr>
        <w:trPr>
          <w:trHeight w:val="423"/>
        </w:trPr>
        <w:tc>
          <w:tcPr>
            <w:tcW w:w="2980" w:type="dxa"/>
            <w:vAlign w:val="bottom"/>
            <w:tcBorders>
              <w:bottom w:val="single" w:sz="8" w:color="auto"/>
            </w:tcBorders>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General Counsel, Secretary and Director</w:t>
            </w:r>
          </w:p>
        </w:tc>
        <w:tc>
          <w:tcPr>
            <w:tcW w:w="16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0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rPr>
              <w:t>Adam J. Dickstein</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23"/>
        </w:trPr>
        <w:tc>
          <w:tcPr>
            <w:tcW w:w="2980" w:type="dxa"/>
            <w:vAlign w:val="bottom"/>
            <w:tcBorders>
              <w:bottom w:val="single" w:sz="8" w:color="auto"/>
            </w:tcBorders>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1680" w:type="dxa"/>
            <w:vAlign w:val="bottom"/>
          </w:tcPr>
          <w:p>
            <w:pPr>
              <w:jc w:val="center"/>
              <w:ind w:left="3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00" w:type="dxa"/>
            <w:vAlign w:val="bottom"/>
          </w:tcPr>
          <w:p>
            <w:pPr>
              <w:jc w:val="center"/>
              <w:ind w:left="793"/>
              <w:spacing w:after="0"/>
              <w:rPr>
                <w:sz w:val="20"/>
                <w:szCs w:val="20"/>
                <w:color w:val="auto"/>
              </w:rPr>
            </w:pPr>
            <w:r>
              <w:rPr>
                <w:rFonts w:ascii="Times New Roman" w:cs="Times New Roman" w:eastAsia="Times New Roman" w:hAnsi="Times New Roman"/>
                <w:sz w:val="18"/>
                <w:szCs w:val="18"/>
                <w:b w:val="1"/>
                <w:bCs w:val="1"/>
                <w:color w:val="auto"/>
              </w:rPr>
              <w:t>Gary M. Gavin</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5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50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54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[Signature Page to Form S-4—Crown Packaging Technology, Inc.]</w:t>
            </w:r>
          </w:p>
        </w:tc>
        <w:tc>
          <w:tcPr>
            <w:tcW w:w="1680" w:type="dxa"/>
            <w:vAlign w:val="bottom"/>
          </w:tcPr>
          <w:p>
            <w:pPr>
              <w:spacing w:after="0"/>
              <w:rPr>
                <w:sz w:val="24"/>
                <w:szCs w:val="24"/>
                <w:color w:val="auto"/>
              </w:rPr>
            </w:pPr>
          </w:p>
        </w:tc>
      </w:tr>
      <w:tr>
        <w:trPr>
          <w:trHeight w:val="365"/>
        </w:trPr>
        <w:tc>
          <w:tcPr>
            <w:tcW w:w="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II-20</w:t>
            </w:r>
          </w:p>
        </w:tc>
        <w:tc>
          <w:tcPr>
            <w:tcW w:w="16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BEVERAGE PACKAGING PUERTO RICO, INC.</w:t>
      </w:r>
    </w:p>
    <w:p>
      <w:pPr>
        <w:spacing w:after="0" w:line="221" w:lineRule="exact"/>
        <w:rPr>
          <w:sz w:val="20"/>
          <w:szCs w:val="20"/>
          <w:color w:val="auto"/>
        </w:rPr>
      </w:pPr>
    </w:p>
    <w:p>
      <w:pPr>
        <w:ind w:left="120"/>
        <w:spacing w:after="0"/>
        <w:tabs>
          <w:tab w:leader="none" w:pos="2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32829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Gary M. Gavin</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4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rPr>
              <w:t>Gary M. Gavin</w:t>
            </w: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rPr>
              <w:t>Adam J. Dickstein</w:t>
            </w: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Treasurer (Principal Financial and</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80" w:type="dxa"/>
            <w:vAlign w:val="bottom"/>
          </w:tcPr>
          <w:p>
            <w:pPr>
              <w:spacing w:after="0"/>
              <w:rPr>
                <w:sz w:val="20"/>
                <w:szCs w:val="20"/>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78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rPr>
              <w:t>Ronald S. Cenderelli</w:t>
            </w: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4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S-4—Crown Beverage Packaging Puerto Rico, Inc.]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II-21</w:t>
      </w:r>
    </w:p>
    <w:p>
      <w:pPr>
        <w:sectPr>
          <w:pgSz w:w="11900" w:h="16838" w:orient="portrait"/>
          <w:cols w:equalWidth="0" w:num="1">
            <w:col w:w="11080"/>
          </w:cols>
          <w:pgMar w:left="320" w:top="455"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Kevin C. Clothier</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640" w:type="dxa"/>
            <w:vAlign w:val="bottom"/>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40" w:type="dxa"/>
            <w:vAlign w:val="bottom"/>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120" w:type="dxa"/>
            <w:vAlign w:val="bottom"/>
            <w:tcBorders>
              <w:bottom w:val="single" w:sz="8" w:color="auto"/>
            </w:tcBorders>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40" w:type="dxa"/>
            <w:vAlign w:val="bottom"/>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rPr>
              <w:t>Adam J. Dickstein</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120" w:type="dxa"/>
            <w:vAlign w:val="bottom"/>
            <w:tcBorders>
              <w:bottom w:val="single" w:sz="8" w:color="auto"/>
            </w:tcBorders>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Treasurer (Principal Financial and</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40" w:type="dxa"/>
            <w:vAlign w:val="bottom"/>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780" w:type="dxa"/>
            <w:vAlign w:val="bottom"/>
          </w:tcPr>
          <w:p>
            <w:pPr>
              <w:spacing w:after="0"/>
              <w:rPr>
                <w:sz w:val="20"/>
                <w:szCs w:val="20"/>
                <w:color w:val="auto"/>
              </w:rPr>
            </w:pPr>
          </w:p>
        </w:tc>
      </w:tr>
      <w:tr>
        <w:trPr>
          <w:trHeight w:val="423"/>
        </w:trPr>
        <w:tc>
          <w:tcPr>
            <w:tcW w:w="3120" w:type="dxa"/>
            <w:vAlign w:val="bottom"/>
            <w:tcBorders>
              <w:bottom w:val="single" w:sz="8" w:color="auto"/>
            </w:tcBorders>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40" w:type="dxa"/>
            <w:vAlign w:val="bottom"/>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w w:val="99"/>
              </w:rPr>
              <w:t>Timothy J. Donahue</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6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7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[Signature Page to Form S-4—Crown Financial Corporation]</w:t>
            </w:r>
          </w:p>
        </w:tc>
        <w:tc>
          <w:tcPr>
            <w:tcW w:w="1780" w:type="dxa"/>
            <w:vAlign w:val="bottom"/>
          </w:tcPr>
          <w:p>
            <w:pPr>
              <w:spacing w:after="0"/>
              <w:rPr>
                <w:sz w:val="24"/>
                <w:szCs w:val="24"/>
                <w:color w:val="auto"/>
              </w:rPr>
            </w:pPr>
          </w:p>
        </w:tc>
      </w:tr>
      <w:tr>
        <w:trPr>
          <w:trHeight w:val="365"/>
        </w:trPr>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II-22</w:t>
            </w:r>
          </w:p>
        </w:tc>
        <w:tc>
          <w:tcPr>
            <w:tcW w:w="17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INTERNATIONAL HOLDINGS, LLC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Djalma Novaes, Jr.</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68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40" w:type="dxa"/>
            <w:vAlign w:val="bottom"/>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(Principal Executive Officer)</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7"/>
              </w:rPr>
              <w:t>Djalma Novaes, Jr.</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Secretary and Manager</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rPr>
              <w:t>Adam J. Dickstein</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Chief Financial Officer and Manager</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54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Treasurer (Principal Accounting Officer)</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Timothy J. Donahue</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S-4—Crown International Holdings, LLC]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II-23</w:t>
      </w:r>
    </w:p>
    <w:p>
      <w:pPr>
        <w:sectPr>
          <w:pgSz w:w="11900" w:h="16838" w:orient="portrait"/>
          <w:cols w:equalWidth="0" w:num="1">
            <w:col w:w="11080"/>
          </w:cols>
          <w:pgMar w:left="320" w:top="455"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 USA, INC.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Gary M. Gavin</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920" w:type="dxa"/>
            <w:vAlign w:val="bottom"/>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400" w:type="dxa"/>
            <w:vAlign w:val="bottom"/>
            <w:tcBorders>
              <w:bottom w:val="single" w:sz="8" w:color="auto"/>
            </w:tcBorders>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920" w:type="dxa"/>
            <w:vAlign w:val="bottom"/>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rPr>
              <w:t>Gary M. Gavin</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400" w:type="dxa"/>
            <w:vAlign w:val="bottom"/>
            <w:tcBorders>
              <w:bottom w:val="single" w:sz="8" w:color="auto"/>
            </w:tcBorders>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Treasurer (Principal Financial and</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920" w:type="dxa"/>
            <w:vAlign w:val="bottom"/>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780" w:type="dxa"/>
            <w:vAlign w:val="bottom"/>
          </w:tcPr>
          <w:p>
            <w:pPr>
              <w:spacing w:after="0"/>
              <w:rPr>
                <w:sz w:val="20"/>
                <w:szCs w:val="20"/>
                <w:color w:val="auto"/>
              </w:rPr>
            </w:pPr>
          </w:p>
        </w:tc>
      </w:tr>
      <w:tr>
        <w:trPr>
          <w:trHeight w:val="423"/>
        </w:trPr>
        <w:tc>
          <w:tcPr>
            <w:tcW w:w="3400" w:type="dxa"/>
            <w:vAlign w:val="bottom"/>
            <w:tcBorders>
              <w:bottom w:val="single" w:sz="8" w:color="auto"/>
            </w:tcBorders>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Director</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920" w:type="dxa"/>
            <w:vAlign w:val="bottom"/>
          </w:tcPr>
          <w:p>
            <w:pPr>
              <w:jc w:val="center"/>
              <w:ind w:left="353"/>
              <w:spacing w:after="0"/>
              <w:rPr>
                <w:sz w:val="20"/>
                <w:szCs w:val="20"/>
                <w:color w:val="auto"/>
              </w:rPr>
            </w:pPr>
            <w:r>
              <w:rPr>
                <w:rFonts w:ascii="Times New Roman" w:cs="Times New Roman" w:eastAsia="Times New Roman" w:hAnsi="Times New Roman"/>
                <w:sz w:val="18"/>
                <w:szCs w:val="18"/>
                <w:b w:val="1"/>
                <w:bCs w:val="1"/>
                <w:color w:val="auto"/>
              </w:rPr>
              <w:t>Ronald S. Cenderelli</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23"/>
        </w:trPr>
        <w:tc>
          <w:tcPr>
            <w:tcW w:w="3400" w:type="dxa"/>
            <w:vAlign w:val="bottom"/>
            <w:tcBorders>
              <w:bottom w:val="single" w:sz="8" w:color="auto"/>
            </w:tcBorders>
            <w:gridSpan w:val="2"/>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Secretary and Director</w:t>
            </w:r>
          </w:p>
        </w:tc>
        <w:tc>
          <w:tcPr>
            <w:tcW w:w="17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920" w:type="dxa"/>
            <w:vAlign w:val="bottom"/>
          </w:tcPr>
          <w:p>
            <w:pPr>
              <w:jc w:val="center"/>
              <w:ind w:left="373"/>
              <w:spacing w:after="0"/>
              <w:rPr>
                <w:sz w:val="20"/>
                <w:szCs w:val="20"/>
                <w:color w:val="auto"/>
              </w:rPr>
            </w:pPr>
            <w:r>
              <w:rPr>
                <w:rFonts w:ascii="Times New Roman" w:cs="Times New Roman" w:eastAsia="Times New Roman" w:hAnsi="Times New Roman"/>
                <w:sz w:val="18"/>
                <w:szCs w:val="18"/>
                <w:b w:val="1"/>
                <w:bCs w:val="1"/>
                <w:color w:val="auto"/>
              </w:rPr>
              <w:t>Adam J. Dickstein</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92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4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[Signature Page to Form S-4—CR USA, Inc.]</w:t>
            </w:r>
          </w:p>
        </w:tc>
        <w:tc>
          <w:tcPr>
            <w:tcW w:w="1780" w:type="dxa"/>
            <w:vAlign w:val="bottom"/>
          </w:tcPr>
          <w:p>
            <w:pPr>
              <w:spacing w:after="0"/>
              <w:rPr>
                <w:sz w:val="24"/>
                <w:szCs w:val="24"/>
                <w:color w:val="auto"/>
              </w:rPr>
            </w:pPr>
          </w:p>
        </w:tc>
      </w:tr>
      <w:tr>
        <w:trPr>
          <w:trHeight w:val="364"/>
        </w:trPr>
        <w:tc>
          <w:tcPr>
            <w:tcW w:w="4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II-24</w:t>
            </w:r>
          </w:p>
        </w:tc>
        <w:tc>
          <w:tcPr>
            <w:tcW w:w="17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SIGNODE INDUSTRIAL GROUP LLC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Matt Madeksza</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620" w:type="dxa"/>
            <w:vAlign w:val="bottom"/>
          </w:tcPr>
          <w:p>
            <w:pPr>
              <w:jc w:val="center"/>
              <w:ind w:left="65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8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40" w:type="dxa"/>
            <w:vAlign w:val="bottom"/>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10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of Sole Member (Principal</w:t>
            </w:r>
          </w:p>
        </w:tc>
        <w:tc>
          <w:tcPr>
            <w:tcW w:w="17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20" w:type="dxa"/>
            <w:vAlign w:val="bottom"/>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Matt Madeksza</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c>
          <w:tcPr>
            <w:tcW w:w="1740" w:type="dxa"/>
            <w:vAlign w:val="bottom"/>
          </w:tcPr>
          <w:p>
            <w:pPr>
              <w:spacing w:after="0"/>
              <w:rPr>
                <w:sz w:val="20"/>
                <w:szCs w:val="20"/>
                <w:color w:val="auto"/>
              </w:rPr>
            </w:pPr>
          </w:p>
        </w:tc>
      </w:tr>
      <w:tr>
        <w:trPr>
          <w:trHeight w:val="423"/>
        </w:trPr>
        <w:tc>
          <w:tcPr>
            <w:tcW w:w="310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Treasurer, Chief Financial Officer and Director of Sole</w:t>
            </w:r>
          </w:p>
        </w:tc>
        <w:tc>
          <w:tcPr>
            <w:tcW w:w="17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178"/>
        </w:trPr>
        <w:tc>
          <w:tcPr>
            <w:tcW w:w="480" w:type="dxa"/>
            <w:vAlign w:val="bottom"/>
          </w:tcPr>
          <w:p>
            <w:pPr>
              <w:spacing w:after="0"/>
              <w:rPr>
                <w:sz w:val="15"/>
                <w:szCs w:val="15"/>
                <w:color w:val="auto"/>
              </w:rPr>
            </w:pPr>
          </w:p>
        </w:tc>
        <w:tc>
          <w:tcPr>
            <w:tcW w:w="2620" w:type="dxa"/>
            <w:vAlign w:val="bottom"/>
          </w:tcPr>
          <w:p>
            <w:pPr>
              <w:jc w:val="center"/>
              <w:ind w:left="653"/>
              <w:spacing w:after="0" w:line="177" w:lineRule="exact"/>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8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Member (Principal Financial Officer and Principal</w:t>
            </w:r>
          </w:p>
        </w:tc>
        <w:tc>
          <w:tcPr>
            <w:tcW w:w="174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740" w:type="dxa"/>
            <w:vAlign w:val="bottom"/>
          </w:tcPr>
          <w:p>
            <w:pPr>
              <w:spacing w:after="0"/>
              <w:rPr>
                <w:sz w:val="20"/>
                <w:szCs w:val="20"/>
                <w:color w:val="auto"/>
              </w:rPr>
            </w:pPr>
          </w:p>
        </w:tc>
      </w:tr>
      <w:tr>
        <w:trPr>
          <w:trHeight w:val="432"/>
        </w:trPr>
        <w:tc>
          <w:tcPr>
            <w:tcW w:w="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left="673"/>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17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20" w:type="dxa"/>
            <w:vAlign w:val="bottom"/>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62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[Signature Page to Form S-4—Signode Industrial Group LLC]</w:t>
            </w:r>
          </w:p>
        </w:tc>
        <w:tc>
          <w:tcPr>
            <w:tcW w:w="1740" w:type="dxa"/>
            <w:vAlign w:val="bottom"/>
          </w:tcPr>
          <w:p>
            <w:pPr>
              <w:spacing w:after="0"/>
              <w:rPr>
                <w:sz w:val="24"/>
                <w:szCs w:val="24"/>
                <w:color w:val="auto"/>
              </w:rPr>
            </w:pPr>
          </w:p>
        </w:tc>
      </w:tr>
      <w:tr>
        <w:trPr>
          <w:trHeight w:val="365"/>
        </w:trPr>
        <w:tc>
          <w:tcPr>
            <w:tcW w:w="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II-25</w:t>
            </w:r>
          </w:p>
        </w:tc>
        <w:tc>
          <w:tcPr>
            <w:tcW w:w="17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Patrick Staggs</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620" w:type="dxa"/>
            <w:vAlign w:val="bottom"/>
          </w:tcPr>
          <w:p>
            <w:pPr>
              <w:jc w:val="center"/>
              <w:ind w:left="65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80" w:type="dxa"/>
            <w:vAlign w:val="bottom"/>
          </w:tcPr>
          <w:p>
            <w:pPr>
              <w:jc w:val="center"/>
              <w:ind w:left="27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10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(Principal Executive Officer)</w:t>
            </w:r>
          </w:p>
        </w:tc>
        <w:tc>
          <w:tcPr>
            <w:tcW w:w="15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rPr>
              <w:t>Patrick Staggs</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23"/>
        </w:trPr>
        <w:tc>
          <w:tcPr>
            <w:tcW w:w="310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Assistant Treasurer (Principal Financial</w:t>
            </w:r>
          </w:p>
        </w:tc>
        <w:tc>
          <w:tcPr>
            <w:tcW w:w="15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20" w:type="dxa"/>
            <w:vAlign w:val="bottom"/>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1580" w:type="dxa"/>
            <w:vAlign w:val="bottom"/>
          </w:tcPr>
          <w:p>
            <w:pPr>
              <w:spacing w:after="0"/>
              <w:rPr>
                <w:sz w:val="20"/>
                <w:szCs w:val="20"/>
                <w:color w:val="auto"/>
              </w:rPr>
            </w:pPr>
          </w:p>
        </w:tc>
      </w:tr>
      <w:tr>
        <w:trPr>
          <w:trHeight w:val="423"/>
        </w:trPr>
        <w:tc>
          <w:tcPr>
            <w:tcW w:w="310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Secretary</w:t>
            </w:r>
          </w:p>
        </w:tc>
        <w:tc>
          <w:tcPr>
            <w:tcW w:w="15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Kevin Jaffe</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23"/>
        </w:trPr>
        <w:tc>
          <w:tcPr>
            <w:tcW w:w="310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 of Sole Member</w:t>
            </w:r>
          </w:p>
        </w:tc>
        <w:tc>
          <w:tcPr>
            <w:tcW w:w="15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Matt Madeksza</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 of Sole Member</w:t>
            </w:r>
          </w:p>
        </w:tc>
        <w:tc>
          <w:tcPr>
            <w:tcW w:w="15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23"/>
        </w:trPr>
        <w:tc>
          <w:tcPr>
            <w:tcW w:w="310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 of Sole Member</w:t>
            </w:r>
          </w:p>
        </w:tc>
        <w:tc>
          <w:tcPr>
            <w:tcW w:w="1580" w:type="dxa"/>
            <w:vAlign w:val="bottom"/>
          </w:tcPr>
          <w:p>
            <w:pPr>
              <w:jc w:val="center"/>
              <w:ind w:left="25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20" w:type="dxa"/>
            <w:vAlign w:val="bottom"/>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62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9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[Signature Page to Form S-4—Signode Pickling Holding LLC]</w:t>
            </w:r>
          </w:p>
        </w:tc>
        <w:tc>
          <w:tcPr>
            <w:tcW w:w="1580" w:type="dxa"/>
            <w:vAlign w:val="bottom"/>
          </w:tcPr>
          <w:p>
            <w:pPr>
              <w:spacing w:after="0"/>
              <w:rPr>
                <w:sz w:val="24"/>
                <w:szCs w:val="24"/>
                <w:color w:val="auto"/>
              </w:rPr>
            </w:pPr>
          </w:p>
        </w:tc>
      </w:tr>
      <w:tr>
        <w:trPr>
          <w:trHeight w:val="365"/>
        </w:trPr>
        <w:tc>
          <w:tcPr>
            <w:tcW w:w="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II-26</w:t>
            </w:r>
          </w:p>
        </w:tc>
        <w:tc>
          <w:tcPr>
            <w:tcW w:w="15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Matt Madeksza</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640" w:type="dxa"/>
            <w:vAlign w:val="bottom"/>
          </w:tcPr>
          <w:p>
            <w:pPr>
              <w:jc w:val="center"/>
              <w:ind w:left="63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120" w:type="dxa"/>
            <w:vAlign w:val="bottom"/>
            <w:tcBorders>
              <w:bottom w:val="single" w:sz="8" w:color="auto"/>
            </w:tcBorders>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of Sole Member (Principal</w:t>
            </w:r>
          </w:p>
        </w:tc>
        <w:tc>
          <w:tcPr>
            <w:tcW w:w="16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40" w:type="dxa"/>
            <w:vAlign w:val="bottom"/>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w w:val="99"/>
              </w:rPr>
              <w:t>Matt Madeksza</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c>
          <w:tcPr>
            <w:tcW w:w="1660" w:type="dxa"/>
            <w:vAlign w:val="bottom"/>
          </w:tcPr>
          <w:p>
            <w:pPr>
              <w:spacing w:after="0"/>
              <w:rPr>
                <w:sz w:val="20"/>
                <w:szCs w:val="20"/>
                <w:color w:val="auto"/>
              </w:rPr>
            </w:pPr>
          </w:p>
        </w:tc>
      </w:tr>
      <w:tr>
        <w:trPr>
          <w:trHeight w:val="423"/>
        </w:trPr>
        <w:tc>
          <w:tcPr>
            <w:tcW w:w="3120" w:type="dxa"/>
            <w:vAlign w:val="bottom"/>
            <w:tcBorders>
              <w:bottom w:val="single" w:sz="8" w:color="auto"/>
            </w:tcBorders>
            <w:gridSpan w:val="2"/>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and Treasurer and Director of Sole</w:t>
            </w:r>
          </w:p>
        </w:tc>
        <w:tc>
          <w:tcPr>
            <w:tcW w:w="16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178"/>
        </w:trPr>
        <w:tc>
          <w:tcPr>
            <w:tcW w:w="480" w:type="dxa"/>
            <w:vAlign w:val="bottom"/>
          </w:tcPr>
          <w:p>
            <w:pPr>
              <w:spacing w:after="0"/>
              <w:rPr>
                <w:sz w:val="15"/>
                <w:szCs w:val="15"/>
                <w:color w:val="auto"/>
              </w:rPr>
            </w:pPr>
          </w:p>
        </w:tc>
        <w:tc>
          <w:tcPr>
            <w:tcW w:w="2640" w:type="dxa"/>
            <w:vAlign w:val="bottom"/>
          </w:tcPr>
          <w:p>
            <w:pPr>
              <w:jc w:val="center"/>
              <w:ind w:left="633"/>
              <w:spacing w:after="0" w:line="177" w:lineRule="exact"/>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6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Member (Principal Financial Officer and Principal</w:t>
            </w:r>
          </w:p>
        </w:tc>
        <w:tc>
          <w:tcPr>
            <w:tcW w:w="166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660" w:type="dxa"/>
            <w:vAlign w:val="bottom"/>
          </w:tcPr>
          <w:p>
            <w:pPr>
              <w:spacing w:after="0"/>
              <w:rPr>
                <w:sz w:val="20"/>
                <w:szCs w:val="20"/>
                <w:color w:val="auto"/>
              </w:rPr>
            </w:pPr>
          </w:p>
        </w:tc>
      </w:tr>
      <w:tr>
        <w:trPr>
          <w:trHeight w:val="432"/>
        </w:trPr>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1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16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640" w:type="dxa"/>
            <w:vAlign w:val="bottom"/>
          </w:tcPr>
          <w:p>
            <w:pPr>
              <w:jc w:val="center"/>
              <w:ind w:left="633"/>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0"/>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6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6"/>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8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[Signature Page to Form S-4—Signode US IP Holdings LLC]</w:t>
            </w:r>
          </w:p>
        </w:tc>
        <w:tc>
          <w:tcPr>
            <w:tcW w:w="1660" w:type="dxa"/>
            <w:vAlign w:val="bottom"/>
          </w:tcPr>
          <w:p>
            <w:pPr>
              <w:spacing w:after="0"/>
              <w:rPr>
                <w:sz w:val="24"/>
                <w:szCs w:val="24"/>
                <w:color w:val="auto"/>
              </w:rPr>
            </w:pPr>
          </w:p>
        </w:tc>
      </w:tr>
      <w:tr>
        <w:trPr>
          <w:trHeight w:val="365"/>
        </w:trPr>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II-27</w:t>
            </w:r>
          </w:p>
        </w:tc>
        <w:tc>
          <w:tcPr>
            <w:tcW w:w="16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Matt Madeksza</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560" w:type="dxa"/>
            <w:vAlign w:val="bottom"/>
          </w:tcPr>
          <w:p>
            <w:pPr>
              <w:jc w:val="center"/>
              <w:ind w:left="71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0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16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60" w:type="dxa"/>
            <w:vAlign w:val="bottom"/>
          </w:tcPr>
          <w:p>
            <w:pPr>
              <w:jc w:val="center"/>
              <w:ind w:left="713"/>
              <w:spacing w:after="0"/>
              <w:rPr>
                <w:sz w:val="20"/>
                <w:szCs w:val="20"/>
                <w:color w:val="auto"/>
              </w:rPr>
            </w:pPr>
            <w:r>
              <w:rPr>
                <w:rFonts w:ascii="Times New Roman" w:cs="Times New Roman" w:eastAsia="Times New Roman" w:hAnsi="Times New Roman"/>
                <w:sz w:val="18"/>
                <w:szCs w:val="18"/>
                <w:b w:val="1"/>
                <w:bCs w:val="1"/>
                <w:color w:val="auto"/>
                <w:w w:val="99"/>
              </w:rPr>
              <w:t>Matt Madeksza</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04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Treasurer, Chief Financial Officer</w:t>
            </w:r>
          </w:p>
        </w:tc>
        <w:tc>
          <w:tcPr>
            <w:tcW w:w="16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178"/>
        </w:trPr>
        <w:tc>
          <w:tcPr>
            <w:tcW w:w="480" w:type="dxa"/>
            <w:vAlign w:val="bottom"/>
          </w:tcPr>
          <w:p>
            <w:pPr>
              <w:spacing w:after="0"/>
              <w:rPr>
                <w:sz w:val="15"/>
                <w:szCs w:val="15"/>
                <w:color w:val="auto"/>
              </w:rPr>
            </w:pPr>
          </w:p>
        </w:tc>
        <w:tc>
          <w:tcPr>
            <w:tcW w:w="2560" w:type="dxa"/>
            <w:vAlign w:val="bottom"/>
          </w:tcPr>
          <w:p>
            <w:pPr>
              <w:jc w:val="center"/>
              <w:ind w:left="713"/>
              <w:spacing w:after="0" w:line="177" w:lineRule="exact"/>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56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and Director (Principal Financial Officer and Principal</w:t>
            </w:r>
          </w:p>
        </w:tc>
        <w:tc>
          <w:tcPr>
            <w:tcW w:w="166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660" w:type="dxa"/>
            <w:vAlign w:val="bottom"/>
          </w:tcPr>
          <w:p>
            <w:pPr>
              <w:spacing w:after="0"/>
              <w:rPr>
                <w:sz w:val="20"/>
                <w:szCs w:val="20"/>
                <w:color w:val="auto"/>
              </w:rPr>
            </w:pPr>
          </w:p>
        </w:tc>
      </w:tr>
      <w:tr>
        <w:trPr>
          <w:trHeight w:val="432"/>
        </w:trPr>
        <w:tc>
          <w:tcPr>
            <w:tcW w:w="4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center"/>
              <w:ind w:left="733"/>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1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60" w:type="dxa"/>
            <w:vAlign w:val="bottom"/>
          </w:tcPr>
          <w:p>
            <w:pPr>
              <w:jc w:val="center"/>
              <w:ind w:left="713"/>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0"/>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56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2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6"/>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[Signature Page to Form S-4—Signode Industrial Group US Inc.]</w:t>
            </w:r>
          </w:p>
        </w:tc>
        <w:tc>
          <w:tcPr>
            <w:tcW w:w="1660" w:type="dxa"/>
            <w:vAlign w:val="bottom"/>
          </w:tcPr>
          <w:p>
            <w:pPr>
              <w:spacing w:after="0"/>
              <w:rPr>
                <w:sz w:val="24"/>
                <w:szCs w:val="24"/>
                <w:color w:val="auto"/>
              </w:rPr>
            </w:pPr>
          </w:p>
        </w:tc>
      </w:tr>
      <w:tr>
        <w:trPr>
          <w:trHeight w:val="365"/>
        </w:trPr>
        <w:tc>
          <w:tcPr>
            <w:tcW w:w="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II-28</w:t>
            </w:r>
          </w:p>
        </w:tc>
        <w:tc>
          <w:tcPr>
            <w:tcW w:w="16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SIGNODE INDUSTRIAL GROUP HOLDINGS US INC.</w:t>
      </w:r>
    </w:p>
    <w:p>
      <w:pPr>
        <w:spacing w:after="0" w:line="221" w:lineRule="exact"/>
        <w:rPr>
          <w:sz w:val="20"/>
          <w:szCs w:val="20"/>
          <w:color w:val="auto"/>
        </w:rPr>
      </w:pPr>
    </w:p>
    <w:p>
      <w:pPr>
        <w:ind w:left="120"/>
        <w:spacing w:after="0"/>
        <w:tabs>
          <w:tab w:leader="none" w:pos="3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19685</wp:posOffset>
            </wp:positionV>
            <wp:extent cx="32486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Name: Matt Madeksza</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16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9"/>
              </w:rPr>
              <w:t>Matt Madeksza</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Treasurer, Chief Financial Officer</w:t>
            </w:r>
          </w:p>
        </w:tc>
        <w:tc>
          <w:tcPr>
            <w:tcW w:w="16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178"/>
        </w:trPr>
        <w:tc>
          <w:tcPr>
            <w:tcW w:w="480" w:type="dxa"/>
            <w:vAlign w:val="bottom"/>
          </w:tcPr>
          <w:p>
            <w:pPr>
              <w:spacing w:after="0"/>
              <w:rPr>
                <w:sz w:val="15"/>
                <w:szCs w:val="15"/>
                <w:color w:val="auto"/>
              </w:rPr>
            </w:pPr>
          </w:p>
        </w:tc>
        <w:tc>
          <w:tcPr>
            <w:tcW w:w="3840" w:type="dxa"/>
            <w:vAlign w:val="bottom"/>
          </w:tcPr>
          <w:p>
            <w:pPr>
              <w:jc w:val="center"/>
              <w:ind w:right="393"/>
              <w:spacing w:after="0" w:line="177" w:lineRule="exact"/>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80" w:type="dxa"/>
            <w:vAlign w:val="bottom"/>
          </w:tcPr>
          <w:p>
            <w:pPr>
              <w:spacing w:after="0"/>
              <w:rPr>
                <w:sz w:val="15"/>
                <w:szCs w:val="15"/>
                <w:color w:val="auto"/>
              </w:rPr>
            </w:pPr>
          </w:p>
        </w:tc>
        <w:tc>
          <w:tcPr>
            <w:tcW w:w="456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and Director (Principal Financial Officer and Principal</w:t>
            </w:r>
          </w:p>
        </w:tc>
        <w:tc>
          <w:tcPr>
            <w:tcW w:w="166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Officer)</w:t>
            </w:r>
          </w:p>
        </w:tc>
        <w:tc>
          <w:tcPr>
            <w:tcW w:w="1660" w:type="dxa"/>
            <w:vAlign w:val="bottom"/>
          </w:tcPr>
          <w:p>
            <w:pPr>
              <w:spacing w:after="0"/>
              <w:rPr>
                <w:sz w:val="20"/>
                <w:szCs w:val="20"/>
                <w:color w:val="auto"/>
              </w:rPr>
            </w:pPr>
          </w:p>
        </w:tc>
      </w:tr>
      <w:tr>
        <w:trPr>
          <w:trHeight w:val="432"/>
        </w:trPr>
        <w:tc>
          <w:tcPr>
            <w:tcW w:w="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S-4—Signode Industrial Group Holdings US Inc.]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II-29</w:t>
      </w:r>
    </w:p>
    <w:p>
      <w:pPr>
        <w:sectPr>
          <w:pgSz w:w="11900" w:h="16838" w:orient="portrait"/>
          <w:cols w:equalWidth="0" w:num="1">
            <w:col w:w="11080"/>
          </w:cols>
          <w:pgMar w:left="320" w:top="455"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SIGNODE INTERNATIONAL IP HOLDINGS LLC</w:t>
      </w:r>
    </w:p>
    <w:p>
      <w:pPr>
        <w:spacing w:after="0" w:line="221" w:lineRule="exact"/>
        <w:rPr>
          <w:sz w:val="20"/>
          <w:szCs w:val="20"/>
          <w:color w:val="auto"/>
        </w:rPr>
      </w:pPr>
    </w:p>
    <w:p>
      <w:pPr>
        <w:ind w:left="120"/>
        <w:spacing w:after="0"/>
        <w:tabs>
          <w:tab w:leader="none" w:pos="2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19685</wp:posOffset>
            </wp:positionV>
            <wp:extent cx="29229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Name: Matt Madeksza</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58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40" w:type="dxa"/>
            <w:vAlign w:val="bottom"/>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of Sole Member (Principal</w:t>
            </w:r>
          </w:p>
        </w:tc>
        <w:tc>
          <w:tcPr>
            <w:tcW w:w="164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9"/>
              </w:rPr>
              <w:t>Matt Madeksza</w:t>
            </w:r>
          </w:p>
        </w:tc>
        <w:tc>
          <w:tcPr>
            <w:tcW w:w="8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c>
          <w:tcPr>
            <w:tcW w:w="164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Treasurer, Chief Financial Officer</w:t>
            </w:r>
          </w:p>
        </w:tc>
        <w:tc>
          <w:tcPr>
            <w:tcW w:w="164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178"/>
        </w:trPr>
        <w:tc>
          <w:tcPr>
            <w:tcW w:w="480" w:type="dxa"/>
            <w:vAlign w:val="bottom"/>
          </w:tcPr>
          <w:p>
            <w:pPr>
              <w:spacing w:after="0"/>
              <w:rPr>
                <w:sz w:val="15"/>
                <w:szCs w:val="15"/>
                <w:color w:val="auto"/>
              </w:rPr>
            </w:pPr>
          </w:p>
        </w:tc>
        <w:tc>
          <w:tcPr>
            <w:tcW w:w="3840" w:type="dxa"/>
            <w:vAlign w:val="bottom"/>
          </w:tcPr>
          <w:p>
            <w:pPr>
              <w:jc w:val="center"/>
              <w:ind w:right="393"/>
              <w:spacing w:after="0" w:line="177" w:lineRule="exact"/>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80" w:type="dxa"/>
            <w:vAlign w:val="bottom"/>
          </w:tcPr>
          <w:p>
            <w:pPr>
              <w:spacing w:after="0"/>
              <w:rPr>
                <w:sz w:val="15"/>
                <w:szCs w:val="15"/>
                <w:color w:val="auto"/>
              </w:rPr>
            </w:pPr>
          </w:p>
        </w:tc>
        <w:tc>
          <w:tcPr>
            <w:tcW w:w="458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and Director of Sole Member (Principal Financial Officer</w:t>
            </w:r>
          </w:p>
        </w:tc>
        <w:tc>
          <w:tcPr>
            <w:tcW w:w="164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1640" w:type="dxa"/>
            <w:vAlign w:val="bottom"/>
          </w:tcPr>
          <w:p>
            <w:pPr>
              <w:spacing w:after="0"/>
              <w:rPr>
                <w:sz w:val="20"/>
                <w:szCs w:val="20"/>
                <w:color w:val="auto"/>
              </w:rPr>
            </w:pPr>
          </w:p>
        </w:tc>
      </w:tr>
      <w:tr>
        <w:trPr>
          <w:trHeight w:val="432"/>
        </w:trPr>
        <w:tc>
          <w:tcPr>
            <w:tcW w:w="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373"/>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Sole Member</w:t>
            </w:r>
          </w:p>
        </w:tc>
        <w:tc>
          <w:tcPr>
            <w:tcW w:w="1640" w:type="dxa"/>
            <w:vAlign w:val="bottom"/>
          </w:tcPr>
          <w:p>
            <w:pPr>
              <w:jc w:val="center"/>
              <w:ind w:left="31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3"/>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5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4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S-4—Signode International IP Holdings LLC]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II-30</w:t>
      </w:r>
    </w:p>
    <w:p>
      <w:pPr>
        <w:sectPr>
          <w:pgSz w:w="11900" w:h="16838" w:orient="portrait"/>
          <w:cols w:equalWidth="0" w:num="1">
            <w:col w:w="11080"/>
          </w:cols>
          <w:pgMar w:left="320" w:top="455"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Tampa, State of Florida,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CROWN BEVERAGE HOLDINGS, INC.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David A. Beaver</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540" w:type="dxa"/>
            <w:vAlign w:val="bottom"/>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2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0" w:type="dxa"/>
            <w:vAlign w:val="bottom"/>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020" w:type="dxa"/>
            <w:vAlign w:val="bottom"/>
            <w:tcBorders>
              <w:bottom w:val="single" w:sz="8" w:color="auto"/>
            </w:tcBorders>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Director (Principal Executive Officer)</w:t>
            </w:r>
          </w:p>
        </w:tc>
        <w:tc>
          <w:tcPr>
            <w:tcW w:w="160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40" w:type="dxa"/>
            <w:vAlign w:val="bottom"/>
          </w:tcPr>
          <w:p>
            <w:pPr>
              <w:jc w:val="center"/>
              <w:ind w:left="754"/>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23"/>
        </w:trPr>
        <w:tc>
          <w:tcPr>
            <w:tcW w:w="3020" w:type="dxa"/>
            <w:vAlign w:val="bottom"/>
            <w:tcBorders>
              <w:bottom w:val="single" w:sz="8" w:color="auto"/>
            </w:tcBorders>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(Finance) and Director (Principal Financial</w:t>
            </w:r>
          </w:p>
        </w:tc>
        <w:tc>
          <w:tcPr>
            <w:tcW w:w="160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40" w:type="dxa"/>
            <w:vAlign w:val="bottom"/>
          </w:tcPr>
          <w:p>
            <w:pPr>
              <w:jc w:val="center"/>
              <w:ind w:left="734"/>
              <w:spacing w:after="0"/>
              <w:rPr>
                <w:sz w:val="20"/>
                <w:szCs w:val="20"/>
                <w:color w:val="auto"/>
              </w:rPr>
            </w:pPr>
            <w:r>
              <w:rPr>
                <w:rFonts w:ascii="Times New Roman" w:cs="Times New Roman" w:eastAsia="Times New Roman" w:hAnsi="Times New Roman"/>
                <w:sz w:val="18"/>
                <w:szCs w:val="18"/>
                <w:b w:val="1"/>
                <w:bCs w:val="1"/>
                <w:color w:val="auto"/>
              </w:rPr>
              <w:t>Joseph C. Pearce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and Principal Accounting Officer)</w:t>
            </w:r>
          </w:p>
        </w:tc>
        <w:tc>
          <w:tcPr>
            <w:tcW w:w="1600" w:type="dxa"/>
            <w:vAlign w:val="bottom"/>
          </w:tcPr>
          <w:p>
            <w:pPr>
              <w:spacing w:after="0"/>
              <w:rPr>
                <w:sz w:val="20"/>
                <w:szCs w:val="20"/>
                <w:color w:val="auto"/>
              </w:rPr>
            </w:pPr>
          </w:p>
        </w:tc>
      </w:tr>
      <w:tr>
        <w:trPr>
          <w:trHeight w:val="423"/>
        </w:trPr>
        <w:tc>
          <w:tcPr>
            <w:tcW w:w="3020" w:type="dxa"/>
            <w:vAlign w:val="bottom"/>
            <w:tcBorders>
              <w:bottom w:val="single" w:sz="8" w:color="auto"/>
            </w:tcBorders>
            <w:gridSpan w:val="2"/>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540" w:type="dxa"/>
            <w:vAlign w:val="bottom"/>
          </w:tcPr>
          <w:p>
            <w:pPr>
              <w:jc w:val="center"/>
              <w:ind w:left="754"/>
              <w:spacing w:after="0"/>
              <w:rPr>
                <w:sz w:val="20"/>
                <w:szCs w:val="20"/>
                <w:color w:val="auto"/>
              </w:rPr>
            </w:pPr>
            <w:r>
              <w:rPr>
                <w:rFonts w:ascii="Times New Roman" w:cs="Times New Roman" w:eastAsia="Times New Roman" w:hAnsi="Times New Roman"/>
                <w:sz w:val="18"/>
                <w:szCs w:val="18"/>
                <w:b w:val="1"/>
                <w:bCs w:val="1"/>
                <w:color w:val="auto"/>
                <w:w w:val="99"/>
              </w:rPr>
              <w:t>Donald J. Puglisi</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50"/>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5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2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3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[Signature Page to Form S-4—Crown Beverage Holdings, Inc.]</w:t>
            </w:r>
          </w:p>
        </w:tc>
        <w:tc>
          <w:tcPr>
            <w:tcW w:w="1600" w:type="dxa"/>
            <w:vAlign w:val="bottom"/>
          </w:tcPr>
          <w:p>
            <w:pPr>
              <w:spacing w:after="0"/>
              <w:rPr>
                <w:sz w:val="24"/>
                <w:szCs w:val="24"/>
                <w:color w:val="auto"/>
              </w:rPr>
            </w:pPr>
          </w:p>
        </w:tc>
      </w:tr>
      <w:tr>
        <w:trPr>
          <w:trHeight w:val="364"/>
        </w:trPr>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II-31</w:t>
            </w:r>
          </w:p>
        </w:tc>
        <w:tc>
          <w:tcPr>
            <w:tcW w:w="160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SIMPLIMATIC ENGINEERING HOLDINGS, LLC</w:t>
      </w:r>
    </w:p>
    <w:p>
      <w:pPr>
        <w:spacing w:after="0" w:line="221" w:lineRule="exact"/>
        <w:rPr>
          <w:sz w:val="20"/>
          <w:szCs w:val="20"/>
          <w:color w:val="auto"/>
        </w:rPr>
      </w:pPr>
    </w:p>
    <w:p>
      <w:pPr>
        <w:ind w:left="120"/>
        <w:spacing w:after="0"/>
        <w:tabs>
          <w:tab w:leader="none" w:pos="2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19685</wp:posOffset>
            </wp:positionV>
            <wp:extent cx="25888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Name: Dietmar Holzmann</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68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40" w:type="dxa"/>
            <w:vAlign w:val="bottom"/>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Manager (Principal Executive Officer)</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Dietmar Holzmann</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Sr. Vice President and Treasurer (Principal Financial Officer</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154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Secretary</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Rosemary M. Haselroth</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15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6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S-4—Simplimatic Engineering Holdings, LLC]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II-32</w:t>
      </w:r>
    </w:p>
    <w:p>
      <w:pPr>
        <w:sectPr>
          <w:pgSz w:w="11900" w:h="16838" w:orient="portrait"/>
          <w:cols w:equalWidth="0" w:num="1">
            <w:col w:w="11080"/>
          </w:cols>
          <w:pgMar w:left="320" w:top="455"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SIMPLIMATIC AUTOMATION LLC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Dietmar Holzmann</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2700" w:type="dxa"/>
            <w:vAlign w:val="bottom"/>
          </w:tcPr>
          <w:p>
            <w:pPr>
              <w:jc w:val="center"/>
              <w:ind w:left="57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3180" w:type="dxa"/>
            <w:vAlign w:val="bottom"/>
            <w:tcBorders>
              <w:bottom w:val="single" w:sz="8" w:color="auto"/>
            </w:tcBorders>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Manager (Principal Executive Officer)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00" w:type="dxa"/>
            <w:vAlign w:val="bottom"/>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9"/>
              </w:rPr>
              <w:t>Dietmar Holzmann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180" w:type="dxa"/>
            <w:vAlign w:val="bottom"/>
            <w:tcBorders>
              <w:bottom w:val="single" w:sz="8" w:color="auto"/>
            </w:tcBorders>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Treasurer and Manager (Principal</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00" w:type="dxa"/>
            <w:vAlign w:val="bottom"/>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660" w:type="dxa"/>
            <w:vAlign w:val="bottom"/>
          </w:tcPr>
          <w:p>
            <w:pPr>
              <w:spacing w:after="0"/>
              <w:rPr>
                <w:sz w:val="20"/>
                <w:szCs w:val="20"/>
                <w:color w:val="auto"/>
              </w:rPr>
            </w:pPr>
          </w:p>
        </w:tc>
      </w:tr>
      <w:tr>
        <w:trPr>
          <w:trHeight w:val="423"/>
        </w:trPr>
        <w:tc>
          <w:tcPr>
            <w:tcW w:w="3180" w:type="dxa"/>
            <w:vAlign w:val="bottom"/>
            <w:tcBorders>
              <w:bottom w:val="single" w:sz="8" w:color="auto"/>
            </w:tcBorders>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Assistant Treasurer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00" w:type="dxa"/>
            <w:vAlign w:val="bottom"/>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3180" w:type="dxa"/>
            <w:vAlign w:val="bottom"/>
            <w:tcBorders>
              <w:bottom w:val="single" w:sz="8" w:color="auto"/>
            </w:tcBorders>
            <w:gridSpan w:val="2"/>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Secretary</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00" w:type="dxa"/>
            <w:vAlign w:val="bottom"/>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9"/>
              </w:rPr>
              <w:t>Rosemary M. Haselroth</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center"/>
              <w:ind w:left="592"/>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2700" w:type="dxa"/>
            <w:vAlign w:val="bottom"/>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0"/>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270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1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6"/>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[Signature Page to Form S-4—Simplimatic Automation LLC]</w:t>
            </w:r>
          </w:p>
        </w:tc>
        <w:tc>
          <w:tcPr>
            <w:tcW w:w="1660" w:type="dxa"/>
            <w:vAlign w:val="bottom"/>
          </w:tcPr>
          <w:p>
            <w:pPr>
              <w:spacing w:after="0"/>
              <w:rPr>
                <w:sz w:val="24"/>
                <w:szCs w:val="24"/>
                <w:color w:val="auto"/>
              </w:rPr>
            </w:pPr>
          </w:p>
        </w:tc>
      </w:tr>
      <w:tr>
        <w:trPr>
          <w:trHeight w:val="365"/>
        </w:trPr>
        <w:tc>
          <w:tcPr>
            <w:tcW w:w="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II-33</w:t>
            </w:r>
          </w:p>
        </w:tc>
        <w:tc>
          <w:tcPr>
            <w:tcW w:w="166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SEH REAL ESTATE HOLDINGS LLC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Dietmar Holzmann</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Manager (Principal Executive Officer)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Dietmar Holzmann</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Treasurer and Manager (Principal</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8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Assistant Treasurer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Secretary</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Rosemary M. Haselroth</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S-4—SEH Real Estate Holdings LLC]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II-34</w:t>
      </w:r>
    </w:p>
    <w:p>
      <w:pPr>
        <w:sectPr>
          <w:pgSz w:w="11900" w:h="16838" w:orient="portrait"/>
          <w:cols w:equalWidth="0" w:num="1">
            <w:col w:w="11080"/>
          </w:cols>
          <w:pgMar w:left="320" w:top="455"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 INTERNATIONAL HOLDINGS LLC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Dietmar Holzmann</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Manager (Principal Executive Officer)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Dietmar Holzmann</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Treasurer and Manager (Principal</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8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Assistant Treasurer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Secretary</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Rosemary M. Haselroth</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S-4—SE International Holdings LLC]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II-35</w:t>
      </w:r>
    </w:p>
    <w:p>
      <w:pPr>
        <w:sectPr>
          <w:pgSz w:w="11900" w:h="16838" w:orient="portrait"/>
          <w:cols w:equalWidth="0" w:num="1">
            <w:col w:w="11080"/>
          </w:cols>
          <w:pgMar w:left="320" w:top="455"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County of Cook, State of Illinois, on January 26, 2026.</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21"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19685</wp:posOffset>
            </wp:positionV>
            <wp:extent cx="2562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Name: Dietmar Holzmann</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Title: President</w:t>
      </w:r>
    </w:p>
    <w:p>
      <w:pPr>
        <w:spacing w:after="0" w:line="22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480" w:type="dxa"/>
            <w:vAlign w:val="bottom"/>
          </w:tcPr>
          <w:p>
            <w:pPr>
              <w:spacing w:after="0"/>
              <w:rPr>
                <w:sz w:val="16"/>
                <w:szCs w:val="16"/>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56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60" w:type="dxa"/>
            <w:vAlign w:val="bottom"/>
          </w:tcPr>
          <w:p>
            <w:pPr>
              <w:jc w:val="center"/>
              <w:ind w:left="35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5"/>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 and Manager (Principal Executive Officer)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Dietmar Holzmann</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Treasurer and Manager (Principal</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Oliver Streit</w:t>
            </w:r>
          </w:p>
        </w:tc>
        <w:tc>
          <w:tcPr>
            <w:tcW w:w="8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and Assistant Treasurer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David A. Beaver</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Assistant Secretary</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Rosemary M. Haselroth</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23"/>
        </w:trPr>
        <w:tc>
          <w:tcPr>
            <w:tcW w:w="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8"/>
                <w:szCs w:val="18"/>
                <w:b w:val="1"/>
                <w:bCs w:val="1"/>
                <w:color w:val="auto"/>
                <w:w w:val="99"/>
              </w:rPr>
              <w:t>/s/ Kevin C. Clothier</w:t>
            </w:r>
          </w:p>
        </w:tc>
        <w:tc>
          <w:tcPr>
            <w:tcW w:w="8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Manager</w:t>
            </w:r>
          </w:p>
        </w:tc>
        <w:tc>
          <w:tcPr>
            <w:tcW w:w="166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rPr>
              <w:t>January 26, 2026</w:t>
            </w:r>
          </w:p>
        </w:tc>
      </w:tr>
      <w:tr>
        <w:trPr>
          <w:trHeight w:val="232"/>
        </w:trPr>
        <w:tc>
          <w:tcPr>
            <w:tcW w:w="480" w:type="dxa"/>
            <w:vAlign w:val="bottom"/>
          </w:tcPr>
          <w:p>
            <w:pPr>
              <w:spacing w:after="0"/>
              <w:rPr>
                <w:sz w:val="20"/>
                <w:szCs w:val="20"/>
                <w:color w:val="auto"/>
              </w:rPr>
            </w:pPr>
          </w:p>
        </w:tc>
        <w:tc>
          <w:tcPr>
            <w:tcW w:w="3840" w:type="dxa"/>
            <w:vAlign w:val="bottom"/>
          </w:tcPr>
          <w:p>
            <w:pPr>
              <w:jc w:val="center"/>
              <w:ind w:right="392"/>
              <w:spacing w:after="0"/>
              <w:rPr>
                <w:sz w:val="20"/>
                <w:szCs w:val="20"/>
                <w:color w:val="auto"/>
              </w:rPr>
            </w:pPr>
            <w:r>
              <w:rPr>
                <w:rFonts w:ascii="Times New Roman" w:cs="Times New Roman" w:eastAsia="Times New Roman" w:hAnsi="Times New Roman"/>
                <w:sz w:val="18"/>
                <w:szCs w:val="18"/>
                <w:b w:val="1"/>
                <w:bCs w:val="1"/>
                <w:color w:val="auto"/>
                <w:w w:val="99"/>
              </w:rPr>
              <w:t>Kevin C. Clothier</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C. Clothier</w:t>
            </w: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5"/>
              </w:rPr>
              <w:t>Name:</w:t>
            </w:r>
          </w:p>
        </w:tc>
        <w:tc>
          <w:tcPr>
            <w:tcW w:w="3840" w:type="dxa"/>
            <w:vAlign w:val="bottom"/>
            <w:tcBorders>
              <w:top w:val="single" w:sz="8" w:color="auto"/>
            </w:tcBorders>
          </w:tcPr>
          <w:p>
            <w:pPr>
              <w:ind w:left="40"/>
              <w:spacing w:after="0" w:line="202" w:lineRule="exact"/>
              <w:rPr>
                <w:sz w:val="20"/>
                <w:szCs w:val="20"/>
                <w:color w:val="auto"/>
              </w:rPr>
            </w:pPr>
            <w:r>
              <w:rPr>
                <w:rFonts w:ascii="Times New Roman" w:cs="Times New Roman" w:eastAsia="Times New Roman" w:hAnsi="Times New Roman"/>
                <w:sz w:val="18"/>
                <w:szCs w:val="18"/>
                <w:color w:val="auto"/>
              </w:rPr>
              <w:t>Kevin C. Clothier</w:t>
            </w:r>
          </w:p>
        </w:tc>
        <w:tc>
          <w:tcPr>
            <w:tcW w:w="80" w:type="dxa"/>
            <w:vAlign w:val="bottom"/>
            <w:tcBorders>
              <w:top w:val="single" w:sz="8" w:color="auto"/>
            </w:tcBorders>
          </w:tcPr>
          <w:p>
            <w:pPr>
              <w:spacing w:after="0"/>
              <w:rPr>
                <w:sz w:val="17"/>
                <w:szCs w:val="17"/>
                <w:color w:val="auto"/>
              </w:rPr>
            </w:pPr>
          </w:p>
        </w:tc>
        <w:tc>
          <w:tcPr>
            <w:tcW w:w="456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 attorney-in-fact</w:t>
            </w: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1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Form S-4—SE International Holdings II LLC]</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II-36</w:t>
      </w:r>
    </w:p>
    <w:p>
      <w:pPr>
        <w:sectPr>
          <w:pgSz w:w="11900" w:h="16838" w:orient="portrait"/>
          <w:cols w:equalWidth="0" w:num="1">
            <w:col w:w="11080"/>
          </w:cols>
          <w:pgMar w:left="320" w:top="455" w:right="4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23a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S-4 of Crown Holdings, Inc. of our report dated March 3, 2025, relating to the financial statements, financial statement schedule and the effectiveness of internal control over financial reporting, which appears in Crown Holdings, Inc.’s Annual Report on Form 10-K for the year ended December 31, 2024.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26, 2026</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1)"/>
      <w:numFmt w:val="decimal"/>
      <w:start w:val="1"/>
    </w:lvl>
  </w:abstractNum>
  <w:abstractNum w:abstractNumId="31">
    <w:nsid w:val="180115BE"/>
    <w:multiLevelType w:val="hybridMultilevel"/>
    <w:lvl w:ilvl="0">
      <w:lvlJc w:val="left"/>
      <w:lvlText w:val="(%1)"/>
      <w:numFmt w:val="decimal"/>
      <w:start w:val="7"/>
    </w:lvl>
  </w:abstractNum>
  <w:abstractNum w:abstractNumId="32">
    <w:nsid w:val="235BA861"/>
    <w:multiLevelType w:val="hybridMultilevel"/>
    <w:lvl w:ilvl="0">
      <w:lvlJc w:val="left"/>
      <w:lvlText w:val="(%1)"/>
      <w:numFmt w:val="decimal"/>
      <w:start w:val="17"/>
    </w:lvl>
  </w:abstractNum>
  <w:abstractNum w:abstractNumId="33">
    <w:nsid w:val="47398C89"/>
    <w:multiLevelType w:val="hybridMultilevel"/>
    <w:lvl w:ilvl="0">
      <w:lvlJc w:val="left"/>
      <w:lvlText w:val="(%1)"/>
      <w:numFmt w:val="decimal"/>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1)"/>
      <w:numFmt w:val="lowerLetter"/>
      <w:start w:val="2"/>
    </w:lvl>
  </w:abstractNum>
  <w:abstractNum w:abstractNumId="37">
    <w:nsid w:val="D34B6A8"/>
    <w:multiLevelType w:val="hybridMultilevel"/>
    <w:lvl w:ilvl="0">
      <w:lvlJc w:val="left"/>
      <w:lvlText w:val="(%1)"/>
      <w:numFmt w:val="decimal"/>
      <w:start w:val="2"/>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5"/>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3"/>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8"/>
    </w:lvl>
  </w:abstractNum>
  <w:abstractNum w:abstractNumId="48">
    <w:nsid w:val="1DBABF00"/>
    <w:multiLevelType w:val="hybridMultilevel"/>
    <w:lvl w:ilvl="0">
      <w:lvlJc w:val="left"/>
      <w:lvlText w:val="(%1)"/>
      <w:numFmt w:val="decimal"/>
      <w:start w:val="1"/>
    </w:lvl>
  </w:abstractNum>
  <w:abstractNum w:abstractNumId="49">
    <w:nsid w:val="4AD084E9"/>
    <w:multiLevelType w:val="hybridMultilevel"/>
    <w:lvl w:ilvl="0">
      <w:lvlJc w:val="left"/>
      <w:lvlText w:val="(%1)"/>
      <w:numFmt w:val="decimal"/>
      <w:start w:val="7"/>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lowerLetter"/>
      <w:start w:val="2"/>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1"/>
    </w:lvl>
    <w:lvl w:ilvl="1">
      <w:lvlJc w:val="left"/>
      <w:lvlText w:val="(%2)"/>
      <w:numFmt w:val="lowerLetter"/>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5"/>
      <w:numFmt w:val="bullet"/>
      <w:start w:val="1"/>
    </w:lvl>
  </w:abstractNum>
  <w:abstractNum w:abstractNumId="76">
    <w:nsid w:val="68EB2F63"/>
    <w:multiLevelType w:val="hybridMultilevel"/>
    <w:lvl w:ilvl="0">
      <w:lvlJc w:val="left"/>
      <w:lvlText w:val="%1"/>
      <w:numFmt w:val="decimal"/>
      <w:start w:val="24"/>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lowerRoman"/>
      <w:start w:val="1"/>
    </w:lvl>
  </w:abstractNum>
  <w:abstractNum w:abstractNumId="80">
    <w:nsid w:val="14330624"/>
    <w:multiLevelType w:val="hybridMultilevel"/>
    <w:lvl w:ilvl="0">
      <w:lvlJc w:val="left"/>
      <w:lvlText w:val="(%1)"/>
      <w:numFmt w:val="decimal"/>
      <w:start w:val="2"/>
    </w:lvl>
  </w:abstractNum>
  <w:abstractNum w:abstractNumId="81">
    <w:nsid w:val="7FFFCA11"/>
    <w:multiLevelType w:val="hybridMultilevel"/>
    <w:lvl w:ilvl="0">
      <w:lvlJc w:val="left"/>
      <w:lvlText w:val="(%1)"/>
      <w:numFmt w:val="lowerRoman"/>
      <w:start w:val="1"/>
    </w:lvl>
  </w:abstractNum>
  <w:abstractNum w:abstractNumId="82">
    <w:nsid w:val="1A27709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jpe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9" Type="http://schemas.openxmlformats.org/officeDocument/2006/relationships/image" Target="media/image92.png"/><Relationship Id="rId136" Type="http://schemas.openxmlformats.org/officeDocument/2006/relationships/image" Target="media/image93.png"/><Relationship Id="rId152" Type="http://schemas.openxmlformats.org/officeDocument/2006/relationships/image" Target="media/image94.png"/><Relationship Id="rId167" Type="http://schemas.openxmlformats.org/officeDocument/2006/relationships/image" Target="media/image95.png"/><Relationship Id="rId179" Type="http://schemas.openxmlformats.org/officeDocument/2006/relationships/image" Target="media/image96.png"/><Relationship Id="rId187" Type="http://schemas.openxmlformats.org/officeDocument/2006/relationships/image" Target="media/image97.png"/><Relationship Id="rId198" Type="http://schemas.openxmlformats.org/officeDocument/2006/relationships/image" Target="media/image98.png"/><Relationship Id="rId201" Type="http://schemas.openxmlformats.org/officeDocument/2006/relationships/image" Target="media/image99.png"/><Relationship Id="rId202" Type="http://schemas.openxmlformats.org/officeDocument/2006/relationships/image" Target="media/image100.png"/><Relationship Id="rId203" Type="http://schemas.openxmlformats.org/officeDocument/2006/relationships/image" Target="media/image101.png"/><Relationship Id="rId204" Type="http://schemas.openxmlformats.org/officeDocument/2006/relationships/image" Target="media/image102.png"/><Relationship Id="rId205" Type="http://schemas.openxmlformats.org/officeDocument/2006/relationships/image" Target="media/image103.png"/><Relationship Id="rId206" Type="http://schemas.openxmlformats.org/officeDocument/2006/relationships/image" Target="media/image104.png"/><Relationship Id="rId207" Type="http://schemas.openxmlformats.org/officeDocument/2006/relationships/image" Target="media/image105.png"/><Relationship Id="rId208" Type="http://schemas.openxmlformats.org/officeDocument/2006/relationships/image" Target="media/image106.png"/><Relationship Id="rId209" Type="http://schemas.openxmlformats.org/officeDocument/2006/relationships/image" Target="media/image107.png"/><Relationship Id="rId210" Type="http://schemas.openxmlformats.org/officeDocument/2006/relationships/image" Target="media/image108.png"/><Relationship Id="rId211" Type="http://schemas.openxmlformats.org/officeDocument/2006/relationships/image" Target="media/image109.png"/><Relationship Id="rId212" Type="http://schemas.openxmlformats.org/officeDocument/2006/relationships/image" Target="media/image110.png"/><Relationship Id="rId213" Type="http://schemas.openxmlformats.org/officeDocument/2006/relationships/image" Target="media/image111.png"/><Relationship Id="rId214" Type="http://schemas.openxmlformats.org/officeDocument/2006/relationships/image" Target="media/image112.png"/><Relationship Id="rId215" Type="http://schemas.openxmlformats.org/officeDocument/2006/relationships/image" Target="media/image113.png"/><Relationship Id="rId216" Type="http://schemas.openxmlformats.org/officeDocument/2006/relationships/image" Target="media/image114.png"/><Relationship Id="rId217" Type="http://schemas.openxmlformats.org/officeDocument/2006/relationships/image" Target="media/image115.png"/><Relationship Id="rId218" Type="http://schemas.openxmlformats.org/officeDocument/2006/relationships/image" Target="media/image116.png"/><Relationship Id="rId219" Type="http://schemas.openxmlformats.org/officeDocument/2006/relationships/image" Target="media/image117.png"/><Relationship Id="rId220" Type="http://schemas.openxmlformats.org/officeDocument/2006/relationships/image" Target="media/image118.png"/><Relationship Id="rId221" Type="http://schemas.openxmlformats.org/officeDocument/2006/relationships/image" Target="media/image119.png"/><Relationship Id="rId222" Type="http://schemas.openxmlformats.org/officeDocument/2006/relationships/image" Target="media/image120.png"/><Relationship Id="rId223" Type="http://schemas.openxmlformats.org/officeDocument/2006/relationships/image" Target="media/image121.png"/><Relationship Id="rId224" Type="http://schemas.openxmlformats.org/officeDocument/2006/relationships/image" Target="media/image122.png"/><Relationship Id="rId225" Type="http://schemas.openxmlformats.org/officeDocument/2006/relationships/image" Target="media/image123.png"/><Relationship Id="rId226" Type="http://schemas.openxmlformats.org/officeDocument/2006/relationships/image" Target="media/image124.png"/><Relationship Id="rId227" Type="http://schemas.openxmlformats.org/officeDocument/2006/relationships/image" Target="media/image125.png"/><Relationship Id="rId228" Type="http://schemas.openxmlformats.org/officeDocument/2006/relationships/image" Target="media/image126.png"/><Relationship Id="rId229" Type="http://schemas.openxmlformats.org/officeDocument/2006/relationships/image" Target="media/image127.png"/><Relationship Id="rId230" Type="http://schemas.openxmlformats.org/officeDocument/2006/relationships/image" Target="media/image128.png"/><Relationship Id="rId231" Type="http://schemas.openxmlformats.org/officeDocument/2006/relationships/image" Target="media/image129.png"/><Relationship Id="rId232" Type="http://schemas.openxmlformats.org/officeDocument/2006/relationships/image" Target="media/image130.png"/><Relationship Id="rId233" Type="http://schemas.openxmlformats.org/officeDocument/2006/relationships/image" Target="media/image131.png"/><Relationship Id="rId234" Type="http://schemas.openxmlformats.org/officeDocument/2006/relationships/image" Target="media/image132.png"/><Relationship Id="rId235" Type="http://schemas.openxmlformats.org/officeDocument/2006/relationships/image" Target="media/image133.png"/><Relationship Id="rId236" Type="http://schemas.openxmlformats.org/officeDocument/2006/relationships/image" Target="media/image134.png"/><Relationship Id="rId237" Type="http://schemas.openxmlformats.org/officeDocument/2006/relationships/image" Target="media/image135.png"/><Relationship Id="rId238" Type="http://schemas.openxmlformats.org/officeDocument/2006/relationships/image" Target="media/image136.png"/><Relationship Id="rId239" Type="http://schemas.openxmlformats.org/officeDocument/2006/relationships/image" Target="media/image137.png"/><Relationship Id="rId240" Type="http://schemas.openxmlformats.org/officeDocument/2006/relationships/image" Target="media/image138.png"/><Relationship Id="rId241" Type="http://schemas.openxmlformats.org/officeDocument/2006/relationships/image" Target="media/image139.png"/><Relationship Id="rId242" Type="http://schemas.openxmlformats.org/officeDocument/2006/relationships/image" Target="media/image140.png"/><Relationship Id="rId243" Type="http://schemas.openxmlformats.org/officeDocument/2006/relationships/image" Target="media/image141.png"/><Relationship Id="rId244" Type="http://schemas.openxmlformats.org/officeDocument/2006/relationships/image" Target="media/image142.png"/><Relationship Id="rId245" Type="http://schemas.openxmlformats.org/officeDocument/2006/relationships/image" Target="media/image143.png"/><Relationship Id="rId246" Type="http://schemas.openxmlformats.org/officeDocument/2006/relationships/image" Target="media/image144.png"/><Relationship Id="rId247" Type="http://schemas.openxmlformats.org/officeDocument/2006/relationships/image" Target="media/image145.png"/><Relationship Id="rId248" Type="http://schemas.openxmlformats.org/officeDocument/2006/relationships/image" Target="media/image146.png"/><Relationship Id="rId249" Type="http://schemas.openxmlformats.org/officeDocument/2006/relationships/image" Target="media/image147.png"/><Relationship Id="rId250" Type="http://schemas.openxmlformats.org/officeDocument/2006/relationships/image" Target="media/image148.png"/><Relationship Id="rId251" Type="http://schemas.openxmlformats.org/officeDocument/2006/relationships/image" Target="media/image149.png"/><Relationship Id="rId252" Type="http://schemas.openxmlformats.org/officeDocument/2006/relationships/image" Target="media/image150.png"/><Relationship Id="rId88" Type="http://schemas.openxmlformats.org/officeDocument/2006/relationships/hyperlink" Target="http://www.sec.gov/ix?doc=/Archives/edgar/data/1219601/000121960125000009/cck-20241231.htm" TargetMode="External"/><Relationship Id="rId89" Type="http://schemas.openxmlformats.org/officeDocument/2006/relationships/hyperlink" Target="http://www.sec.gov/ix?doc=/Archives/edgar/data/1219601/000203985225000064/crowndef14a.htm" TargetMode="External"/><Relationship Id="rId90" Type="http://schemas.openxmlformats.org/officeDocument/2006/relationships/hyperlink" Target="http://www.sec.gov/ix?doc=/Archives/edgar/data/1219601/000121960125000015/cck-20250331.htm" TargetMode="External"/><Relationship Id="rId91" Type="http://schemas.openxmlformats.org/officeDocument/2006/relationships/hyperlink" Target="http://www.sec.gov/ix?doc=/Archives/edgar/data/1219601/000121960125000036/cck-20250630.htm" TargetMode="External"/><Relationship Id="rId92" Type="http://schemas.openxmlformats.org/officeDocument/2006/relationships/hyperlink" Target="http://www.sec.gov/ix?doc=/Archives/edgar/data/1219601/000162828025047477/cck-20250930.htm" TargetMode="External"/><Relationship Id="rId93" Type="http://schemas.openxmlformats.org/officeDocument/2006/relationships/hyperlink" Target="http://www.sec.gov/ix?doc=/Archives/edgar/data/1219601/000119312525118838/d924504d8k.htm" TargetMode="External"/><Relationship Id="rId94" Type="http://schemas.openxmlformats.org/officeDocument/2006/relationships/hyperlink" Target="http://www.sec.gov/ix?doc=/Archives/edgar/data/1219601/000119312525121763/d99052d8k.htm" TargetMode="External"/><Relationship Id="rId95" Type="http://schemas.openxmlformats.org/officeDocument/2006/relationships/hyperlink" Target="http://www.sec.gov/ix?doc=/Archives/edgar/data/1219601/000119312525129517/d934409d8k.htm" TargetMode="External"/><Relationship Id="rId96" Type="http://schemas.openxmlformats.org/officeDocument/2006/relationships/hyperlink" Target="http://www.sec.gov/ix?doc=/Archives/edgar/data/1219601/000121960125000019/cck-20250609.htm" TargetMode="External"/><Relationship Id="rId97" Type="http://schemas.openxmlformats.org/officeDocument/2006/relationships/hyperlink" Target="http://www.sec.gov/ix?doc=/Archives/edgar/data/1219601/000121960125000029/cck-20250612.htm" TargetMode="External"/><Relationship Id="rId98" Type="http://schemas.openxmlformats.org/officeDocument/2006/relationships/hyperlink" Target="http://www.sec.gov/ix?doc=/Archives/edgar/data/1219601/000119312525213556/d57346d8k.htm" TargetMode="External"/><Relationship Id="rId99" Type="http://schemas.openxmlformats.org/officeDocument/2006/relationships/hyperlink" Target="http://www.sec.gov/ix?doc=/Archives/edgar/data/1219601/000119312525234573/d52487d8k.htm" TargetMode="External"/><Relationship Id="rId100" Type="http://schemas.openxmlformats.org/officeDocument/2006/relationships/hyperlink" Target="http://www.sec.gov/ix?doc=/Archives/edgar/data/1219601/000162828025051361/cck-20251112.htm" TargetMode="External"/><Relationship Id="rId101" Type="http://schemas.openxmlformats.org/officeDocument/2006/relationships/hyperlink" Target="http://www.sec.gov/ix?doc=/Archives/edgar/data/1219601/000119312525287119/d104399d8k.htm" TargetMode="External"/><Relationship Id="rId102" Type="http://schemas.openxmlformats.org/officeDocument/2006/relationships/hyperlink" Target="http://www.sec.gov/ix?doc=/Archives/edgar/data/1219601/000119312525293747/d929764d8k.htm" TargetMode="External"/><Relationship Id="rId114" Type="http://schemas.openxmlformats.org/officeDocument/2006/relationships/hyperlink" Target="http://www.sec.gov/Archives/edgar/data/1219601/000121960105000069/ex3a2004.htm" TargetMode="External"/><Relationship Id="rId115" Type="http://schemas.openxmlformats.org/officeDocument/2006/relationships/hyperlink" Target="http://www.sec.gov/Archives/edgar/data/1219601/000119312522303785/d417285dex31.htm" TargetMode="External"/><Relationship Id="rId116" Type="http://schemas.openxmlformats.org/officeDocument/2006/relationships/hyperlink" Target="http://www.sec.gov/Archives/edgar/data/25890/000119312513373308/d582401dex3c.htm" TargetMode="External"/><Relationship Id="rId117" Type="http://schemas.openxmlformats.org/officeDocument/2006/relationships/hyperlink" Target="http://www.sec.gov/Archives/edgar/data/25890/000119312513373308/d582401dex3d.htm" TargetMode="External"/><Relationship Id="rId118" Type="http://schemas.openxmlformats.org/officeDocument/2006/relationships/hyperlink" Target="http://www.sec.gov/Archives/edgar/data/25890/000119312513373308/d582401dex3g.htm" TargetMode="External"/><Relationship Id="rId120" Type="http://schemas.openxmlformats.org/officeDocument/2006/relationships/hyperlink" Target="http://www.sec.gov/Archives/edgar/data/25890/000119312513373308/d582401dex3h.htm" TargetMode="External"/><Relationship Id="rId121" Type="http://schemas.openxmlformats.org/officeDocument/2006/relationships/hyperlink" Target="http://www.sec.gov/Archives/edgar/data/25890/000119312513373308/d582401dex3i.htm" TargetMode="External"/><Relationship Id="rId122" Type="http://schemas.openxmlformats.org/officeDocument/2006/relationships/hyperlink" Target="http://www.sec.gov/Archives/edgar/data/25890/000119312513373308/d582401dex3j.htm" TargetMode="External"/><Relationship Id="rId123" Type="http://schemas.openxmlformats.org/officeDocument/2006/relationships/hyperlink" Target="http://www.sec.gov/Archives/edgar/data/25890/000119312513373308/d582401dex3k.htm" TargetMode="External"/><Relationship Id="rId124" Type="http://schemas.openxmlformats.org/officeDocument/2006/relationships/hyperlink" Target="http://www.sec.gov/Archives/edgar/data/25890/000119312513373308/d582401dex3l.htm" TargetMode="External"/><Relationship Id="rId125" Type="http://schemas.openxmlformats.org/officeDocument/2006/relationships/hyperlink" Target="http://www.sec.gov/Archives/edgar/data/25890/000119312513373308/d582401dex3m.htm" TargetMode="External"/><Relationship Id="rId126" Type="http://schemas.openxmlformats.org/officeDocument/2006/relationships/hyperlink" Target="http://www.sec.gov/Archives/edgar/data/25890/000119312513373308/d582401dex3n.htm" TargetMode="External"/><Relationship Id="rId127" Type="http://schemas.openxmlformats.org/officeDocument/2006/relationships/hyperlink" Target="http://www.sec.gov/Archives/edgar/data/25890/000119312513373308/d582401dex3o.htm" TargetMode="External"/><Relationship Id="rId128" Type="http://schemas.openxmlformats.org/officeDocument/2006/relationships/hyperlink" Target="http://www.sec.gov/Archives/edgar/data/25890/000119312513373308/d582401dex3p.htm" TargetMode="External"/><Relationship Id="rId129" Type="http://schemas.openxmlformats.org/officeDocument/2006/relationships/hyperlink" Target="http://www.sec.gov/Archives/edgar/data/25890/000119312525294100/d849918dex3o.htm" TargetMode="External"/><Relationship Id="rId130" Type="http://schemas.openxmlformats.org/officeDocument/2006/relationships/hyperlink" Target="http://www.sec.gov/Archives/edgar/data/25890/000119312525294100/d849918dex3p.htm" TargetMode="External"/><Relationship Id="rId131" Type="http://schemas.openxmlformats.org/officeDocument/2006/relationships/hyperlink" Target="http://www.sec.gov/Archives/edgar/data/25890/000119312513373308/d582401dex3s.htm" TargetMode="External"/><Relationship Id="rId132" Type="http://schemas.openxmlformats.org/officeDocument/2006/relationships/hyperlink" Target="http://www.sec.gov/Archives/edgar/data/25890/000119312513373308/d582401dex3t.htm" TargetMode="External"/><Relationship Id="rId133" Type="http://schemas.openxmlformats.org/officeDocument/2006/relationships/hyperlink" Target="http://www.sec.gov/Archives/edgar/data/25890/000119312513373308/d582401dex3u.htm" TargetMode="External"/><Relationship Id="rId134" Type="http://schemas.openxmlformats.org/officeDocument/2006/relationships/hyperlink" Target="http://www.sec.gov/Archives/edgar/data/25890/000119312513373308/d582401dex3v.htm" TargetMode="External"/><Relationship Id="rId135" Type="http://schemas.openxmlformats.org/officeDocument/2006/relationships/hyperlink" Target="http://www.sec.gov/Archives/edgar/data/25890/000119312513373308/d582401dex3y.htm" TargetMode="External"/><Relationship Id="rId137" Type="http://schemas.openxmlformats.org/officeDocument/2006/relationships/hyperlink" Target="http://www.sec.gov/Archives/edgar/data/25890/000119312513373308/d582401dex3z.htm" TargetMode="External"/><Relationship Id="rId138" Type="http://schemas.openxmlformats.org/officeDocument/2006/relationships/hyperlink" Target="http://www.sec.gov/Archives/edgar/data/25890/000119312513373308/d582401dex3aa.htm" TargetMode="External"/><Relationship Id="rId139" Type="http://schemas.openxmlformats.org/officeDocument/2006/relationships/hyperlink" Target="http://www.sec.gov/Archives/edgar/data/25890/000119312513373308/d582401dex3bb.htm" TargetMode="External"/><Relationship Id="rId140" Type="http://schemas.openxmlformats.org/officeDocument/2006/relationships/hyperlink" Target="http://www.sec.gov/Archives/edgar/data/25890/000119312513373308/d582401dex3cc.htm" TargetMode="External"/><Relationship Id="rId141" Type="http://schemas.openxmlformats.org/officeDocument/2006/relationships/hyperlink" Target="http://www.sec.gov/Archives/edgar/data/25890/000119312513373308/d582401dex3dd.htm" TargetMode="External"/><Relationship Id="rId142" Type="http://schemas.openxmlformats.org/officeDocument/2006/relationships/hyperlink" Target="http://www.sec.gov/Archives/edgar/data/25890/000119312518343804/d651519dex3gg.htm" TargetMode="External"/><Relationship Id="rId143" Type="http://schemas.openxmlformats.org/officeDocument/2006/relationships/hyperlink" Target="http://www.sec.gov/Archives/edgar/data/25890/000119312518343804/d651519dex3hh.htm" TargetMode="External"/><Relationship Id="rId144" Type="http://schemas.openxmlformats.org/officeDocument/2006/relationships/hyperlink" Target="http://www.sec.gov/Archives/edgar/data/25890/000119312518343804/d651519dex3ii.htm" TargetMode="External"/><Relationship Id="rId145" Type="http://schemas.openxmlformats.org/officeDocument/2006/relationships/hyperlink" Target="http://www.sec.gov/Archives/edgar/data/25890/000119312518343804/d651519dex3jj.htm" TargetMode="External"/><Relationship Id="rId146" Type="http://schemas.openxmlformats.org/officeDocument/2006/relationships/hyperlink" Target="http://www.sec.gov/Archives/edgar/data/25890/000119312518343804/d651519dex3kk.htm" TargetMode="External"/><Relationship Id="rId147" Type="http://schemas.openxmlformats.org/officeDocument/2006/relationships/hyperlink" Target="http://www.sec.gov/Archives/edgar/data/25890/000119312518343804/d651519dex3ll.htm" TargetMode="External"/><Relationship Id="rId148" Type="http://schemas.openxmlformats.org/officeDocument/2006/relationships/hyperlink" Target="http://www.sec.gov/Archives/edgar/data/25890/000119312518343804/d651519dex3mm.htm" TargetMode="External"/><Relationship Id="rId149" Type="http://schemas.openxmlformats.org/officeDocument/2006/relationships/hyperlink" Target="http://www.sec.gov/Archives/edgar/data/25890/000119312518343804/d651519dex3nn.htm" TargetMode="External"/><Relationship Id="rId150" Type="http://schemas.openxmlformats.org/officeDocument/2006/relationships/hyperlink" Target="http://www.sec.gov/Archives/edgar/data/25890/000119312518343804/d651519dex3oo.htm" TargetMode="External"/><Relationship Id="rId151" Type="http://schemas.openxmlformats.org/officeDocument/2006/relationships/hyperlink" Target="http://www.sec.gov/Archives/edgar/data/25890/000119312518343804/d651519dex3pp.htm" TargetMode="External"/><Relationship Id="rId153" Type="http://schemas.openxmlformats.org/officeDocument/2006/relationships/hyperlink" Target="http://www.sec.gov/Archives/edgar/data/25890/000119312518343804/d651519dex3qq.htm" TargetMode="External"/><Relationship Id="rId154" Type="http://schemas.openxmlformats.org/officeDocument/2006/relationships/hyperlink" Target="http://www.sec.gov/Archives/edgar/data/25890/000119312518343804/d651519dex3rr.htm" TargetMode="External"/><Relationship Id="rId155" Type="http://schemas.openxmlformats.org/officeDocument/2006/relationships/hyperlink" Target="http://www.sec.gov/Archives/edgar/data/1219601/000119312522284738/d410557dex3mm.htm" TargetMode="External"/><Relationship Id="rId156" Type="http://schemas.openxmlformats.org/officeDocument/2006/relationships/hyperlink" Target="http://www.sec.gov/Archives/edgar/data/1219601/000119312522284738/d410557dex3nn.htm" TargetMode="External"/><Relationship Id="rId157" Type="http://schemas.openxmlformats.org/officeDocument/2006/relationships/hyperlink" Target="http://www.sec.gov/Archives/edgar/data/1219601/000119312522284738/d410557dex3oo.htm" TargetMode="External"/><Relationship Id="rId158" Type="http://schemas.openxmlformats.org/officeDocument/2006/relationships/hyperlink" Target="http://www.sec.gov/Archives/edgar/data/1219601/000119312522284738/d410557dex3pp.htm" TargetMode="External"/><Relationship Id="rId159" Type="http://schemas.openxmlformats.org/officeDocument/2006/relationships/hyperlink" Target="http://www.sec.gov/Archives/edgar/data/1219601/000119312522284738/d410557dex3qq.htm" TargetMode="External"/><Relationship Id="rId160" Type="http://schemas.openxmlformats.org/officeDocument/2006/relationships/hyperlink" Target="http://www.sec.gov/Archives/edgar/data/1219601/000119312522284738/d410557dex3rr.htm" TargetMode="External"/><Relationship Id="rId161" Type="http://schemas.openxmlformats.org/officeDocument/2006/relationships/hyperlink" Target="http://www.sec.gov/Archives/edgar/data/1219601/000119312522284738/d410557dex3ss.htm" TargetMode="External"/><Relationship Id="rId162" Type="http://schemas.openxmlformats.org/officeDocument/2006/relationships/hyperlink" Target="http://www.sec.gov/Archives/edgar/data/1219601/000119312522284738/d410557dex3tt.htm" TargetMode="External"/><Relationship Id="rId163" Type="http://schemas.openxmlformats.org/officeDocument/2006/relationships/hyperlink" Target="http://www.sec.gov/Archives/edgar/data/1219601/000119312522284738/d410557dex3uu.htm" TargetMode="External"/><Relationship Id="rId164" Type="http://schemas.openxmlformats.org/officeDocument/2006/relationships/hyperlink" Target="http://www.sec.gov/Archives/edgar/data/1219601/000119312522284738/d410557dex3vv.htm" TargetMode="External"/><Relationship Id="rId165" Type="http://schemas.openxmlformats.org/officeDocument/2006/relationships/hyperlink" Target="http://www.sec.gov/Archives/edgar/data/25890/0000950159-96-000046.txt" TargetMode="External"/><Relationship Id="rId166" Type="http://schemas.openxmlformats.org/officeDocument/2006/relationships/hyperlink" Target="http://www.sec.gov/Archives/edgar/data/25890/0000950109-96-008460.txt" TargetMode="External"/><Relationship Id="rId168" Type="http://schemas.openxmlformats.org/officeDocument/2006/relationships/hyperlink" Target="http://www.sec.gov/Archives/edgar/data/25890/0000950109-96-007915.txt" TargetMode="External"/><Relationship Id="rId169" Type="http://schemas.openxmlformats.org/officeDocument/2006/relationships/hyperlink" Target="http://www.sec.gov/Archives/edgar/data/25890/0000950109-96-008076.txt" TargetMode="External"/><Relationship Id="rId170" Type="http://schemas.openxmlformats.org/officeDocument/2006/relationships/hyperlink" Target="http://www.sec.gov/Archives/edgar/data/25890/0000950109-96-008181.txt" TargetMode="External"/><Relationship Id="rId171" Type="http://schemas.openxmlformats.org/officeDocument/2006/relationships/hyperlink" Target="http://www.sec.gov/Archives/edgar/data/1219601/000095016803000549/dex45.htm" TargetMode="External"/><Relationship Id="rId172" Type="http://schemas.openxmlformats.org/officeDocument/2006/relationships/hyperlink" Target="http://www.sec.gov/Archives/edgar/data/1219601/000119312519283489/d794572dex41.htm" TargetMode="External"/><Relationship Id="rId173" Type="http://schemas.openxmlformats.org/officeDocument/2006/relationships/hyperlink" Target="http://www.sec.gov/Archives/edgar/data/1219601/000119312522080655/d328295dex41.htm" TargetMode="External"/><Relationship Id="rId174" Type="http://schemas.openxmlformats.org/officeDocument/2006/relationships/hyperlink" Target="http://www.sec.gov/Archives/edgar/data/1219601/000121960117000016/ex4march2017.htm" TargetMode="External"/><Relationship Id="rId175" Type="http://schemas.openxmlformats.org/officeDocument/2006/relationships/hyperlink" Target="http://www.sec.gov/Archives/edgar/data/1219601/000119312516712850/d213162dex41.htm" TargetMode="External"/><Relationship Id="rId176" Type="http://schemas.openxmlformats.org/officeDocument/2006/relationships/hyperlink" Target="http://www.sec.gov/Archives/edgar/data/1219601/000119312518029266/d470596dex41.htm" TargetMode="External"/><Relationship Id="rId177" Type="http://schemas.openxmlformats.org/officeDocument/2006/relationships/hyperlink" Target="http://www.sec.gov/Archives/edgar/data/1219601/000119312516712850/d213162dex42.htm" TargetMode="External"/><Relationship Id="rId178" Type="http://schemas.openxmlformats.org/officeDocument/2006/relationships/hyperlink" Target="http://www.sec.gov/Archives/edgar/data/1219601/000119312523293417/d653247dex41.htm" TargetMode="External"/><Relationship Id="rId180" Type="http://schemas.openxmlformats.org/officeDocument/2006/relationships/hyperlink" Target="http://www.sec.gov/Archives/edgar/data/1219601/000119312523152559/d479346dex41.htm" TargetMode="External"/><Relationship Id="rId181" Type="http://schemas.openxmlformats.org/officeDocument/2006/relationships/hyperlink" Target="http://www.sec.gov/Archives/edgar/data/1219601/000119312524197844/d647128dex41.htm" TargetMode="External"/><Relationship Id="rId182" Type="http://schemas.openxmlformats.org/officeDocument/2006/relationships/hyperlink" Target="http://www.sec.gov/Archives/edgar/data/1219601/000119312525129517/d934409dex41.htm" TargetMode="External"/><Relationship Id="rId183" Type="http://schemas.openxmlformats.org/officeDocument/2006/relationships/hyperlink" Target="http://www.sec.gov/Archives/edgar/data/1219601/000119312525234573/d52487dex41.htm" TargetMode="External"/><Relationship Id="rId184" Type="http://schemas.openxmlformats.org/officeDocument/2006/relationships/hyperlink" Target="http://www.sec.gov/Archives/edgar/data/1219601/000121960119000005/ex4dec2018.htm" TargetMode="External"/><Relationship Id="rId185" Type="http://schemas.openxmlformats.org/officeDocument/2006/relationships/hyperlink" Target="http://www.sec.gov/Archives/edgar/data/1219601/000121960118000009/ex4dec2017.htm" TargetMode="External"/><Relationship Id="rId186" Type="http://schemas.openxmlformats.org/officeDocument/2006/relationships/hyperlink" Target="http://www.sec.gov/Archives/edgar/data/1219601/000121960118000009/ex41dec2017.htm" TargetMode="External"/><Relationship Id="rId188" Type="http://schemas.openxmlformats.org/officeDocument/2006/relationships/hyperlink" Target="http://www.sec.gov/Archives/edgar/data/1219601/000119312520053971/d896926dex41.htm" TargetMode="External"/><Relationship Id="rId189" Type="http://schemas.openxmlformats.org/officeDocument/2006/relationships/hyperlink" Target="http://www.sec.gov/Archives/edgar/data/1219601/000121960122000011/exhibit4.htm" TargetMode="External"/><Relationship Id="rId190" Type="http://schemas.openxmlformats.org/officeDocument/2006/relationships/hyperlink" Target="http://www.sec.gov/Archives/edgar/data/1219601/000119312522217895/d372551dex4z.htm" TargetMode="External"/><Relationship Id="rId191" Type="http://schemas.openxmlformats.org/officeDocument/2006/relationships/hyperlink" Target="http://www.sec.gov/Archives/edgar/data/1219601/000121960124000029/ex101-sixthamendmentcadben.htm" TargetMode="External"/><Relationship Id="rId192" Type="http://schemas.openxmlformats.org/officeDocument/2006/relationships/hyperlink" Target="http://www.sec.gov/Archives/edgar/data/1219601/000121960125000009/a4ff-crownseventhamendment.htm" TargetMode="External"/><Relationship Id="rId193" Type="http://schemas.openxmlformats.org/officeDocument/2006/relationships/hyperlink" Target="http://www.sec.gov/Archives/edgar/data/25890/000119312525294100/d849918dex5.htm" TargetMode="External"/><Relationship Id="rId194" Type="http://schemas.openxmlformats.org/officeDocument/2006/relationships/hyperlink" Target="http://www.sec.gov/Archives/edgar/data/25890/000119312525294100/d849918ds4.htm#sig" TargetMode="External"/><Relationship Id="rId195" Type="http://schemas.openxmlformats.org/officeDocument/2006/relationships/hyperlink" Target="http://www.sec.gov/Archives/edgar/data/25890/000119312525294100/d849918dex25.htm" TargetMode="External"/><Relationship Id="rId196" Type="http://schemas.openxmlformats.org/officeDocument/2006/relationships/hyperlink" Target="http://www.sec.gov/Archives/edgar/data/25890/000119312525294100/d849918dex99a.htm" TargetMode="External"/><Relationship Id="rId197" Type="http://schemas.openxmlformats.org/officeDocument/2006/relationships/hyperlink" Target="http://www.sec.gov/Archives/edgar/data/25890/000119312525294100/d849918dex99b.htm" TargetMode="External"/><Relationship Id="rId199" Type="http://schemas.openxmlformats.org/officeDocument/2006/relationships/hyperlink" Target="http://www.sec.gov/Archives/edgar/data/25890/000119312525294100/d849918dex99c.htm" TargetMode="External"/><Relationship Id="rId200" Type="http://schemas.openxmlformats.org/officeDocument/2006/relationships/hyperlink" Target="http://www.sec.gov/Archives/edgar/data/25890/000119312525294100/d849918dex99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2026-01-26T11:49:07Z</dcterms:created>
  <dcterms:modified xsi:type="dcterms:W3CDTF">2026-01-26T11:49:07Z</dcterms:modified>
</cp:coreProperties>
</file>