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February 5,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001-41550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14025 Riveredge Drive,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Tampa, Florida 33637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698-5100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3/8% Debentures Due 2026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2.02. Results of Operations and Financial Condition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February 5, 2025 Crown Holdings, Inc. issued a press release announcing its earnings for the fourth quarter ended December 31, 2024.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color w:val="000000"/>
          <w:sz w:val="24"/>
        </w:rPr>
      </w:pPr>
      <w:r>
        <w:rPr>
          <w:rFonts w:ascii="Times New Roman;sans-serif" w:hAnsi="Times New Roman;sans-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ans-serif" w:hAnsi="Times New Roman;sans-serif"/>
          <w:b w:val="false"/>
          <w:color w:val="000000"/>
          <w:sz w:val="24"/>
        </w:rPr>
        <w:t>99     </w:t>
      </w:r>
      <w:hyperlink w:anchor="ex99dec2024.htm">
        <w:r>
          <w:rPr>
            <w:rStyle w:val="InternetLink"/>
            <w:rFonts w:ascii="Times New Roman;sans-serif" w:hAnsi="Times New Roman;sans-serif"/>
            <w:b w:val="false"/>
            <w:color w:val="0000FF"/>
            <w:sz w:val="24"/>
            <w:u w:val="single"/>
          </w:rPr>
          <w:t>Press release, dated February 5, 2025, issued by Crown Holdings, Inc.</w:t>
        </w:r>
      </w:hyperlink>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CROWN HOLDINGS, INC.</w:t>
            </w:r>
          </w:p>
        </w:tc>
      </w:tr>
    </w:tbl>
    <w:tbl>
      <w:tblPr>
        <w:tblW w:w="4750"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156"/>
        <w:gridCol w:w="1156"/>
        <w:gridCol w:w="1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Christy L. Kalaus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Vice President and Corporate Controller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ans-serif" w:hAnsi="Times New Roman;sans-serif"/>
          <w:b w:val="false"/>
          <w:color w:val="000000"/>
          <w:sz w:val="24"/>
        </w:rPr>
      </w:pPr>
      <w:r>
        <w:rPr>
          <w:rFonts w:ascii="Times New Roman;sans-serif" w:hAnsi="Times New Roman;sans-serif"/>
          <w:b w:val="false"/>
          <w:color w:val="000000"/>
          <w:sz w:val="24"/>
        </w:rPr>
        <w:t>Dated: February 5, 2025</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552450"/>
                          </a:xfrm>
                          <a:prstGeom prst="rect">
                            <a:avLst/>
                          </a:prstGeom>
                        </pic:spPr>
                      </pic:pic>
                    </a:graphicData>
                  </a:graphic>
                </wp:inline>
              </w:drawing>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CROWN HOLDINGS, INC. REPORTS FOURTH QUARTER AND FULL YEAR 2024 RESULTS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Tampa, FL - February 5, 2025.</w:t>
      </w:r>
      <w:r>
        <w:rPr>
          <w:color w:val="000000"/>
        </w:rPr>
        <w:t xml:space="preserve"> </w:t>
      </w:r>
      <w:r>
        <w:rPr>
          <w:rFonts w:ascii="Times New Roman;sans-serif" w:hAnsi="Times New Roman;sans-serif"/>
          <w:b w:val="false"/>
          <w:color w:val="000000"/>
          <w:sz w:val="20"/>
        </w:rPr>
        <w:t>Crown Holdings, Inc. (NYSE: CCK), a worldwide leader in the design, manufacture and sale of packaging products for consumer goods and industrial products, today announced its financial results for the fourth quarter and full year ended December 31,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Fourth Quarter</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Diluted earnings per share of $3.02</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Adjusted diluted earnings per share increased 28% to $1.59</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Full Year </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Diluted earnings per share of $3.55</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Adjusted diluted earnings per share increased 9% to $6.41</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Operating cash flow of $1,192 million</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Adjusted free cash flow a record $814 million</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Net debt reduction of $878 million, adjusted net leverage ratio now 2.7x</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2025 Outlook</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Expect full year 2025 adjusted diluted earnings per share in the range of $6.60-$7.00</w:t>
      </w:r>
    </w:p>
    <w:p>
      <w:pPr>
        <w:pStyle w:val="TextBody"/>
        <w:bidi w:val="0"/>
        <w:spacing w:lineRule="auto" w:line="268" w:before="0" w:after="0"/>
        <w:ind w:left="0" w:right="0" w:hanging="360"/>
        <w:jc w:val="both"/>
        <w:rPr/>
      </w:pPr>
      <w:r>
        <w:rPr>
          <w:color w:val="000000"/>
        </w:rPr>
        <w:t>•</w:t>
      </w:r>
      <w:r>
        <w:rPr>
          <w:rFonts w:ascii="Times New Roman;sans-serif" w:hAnsi="Times New Roman;sans-serif"/>
          <w:b/>
          <w:color w:val="000000"/>
          <w:sz w:val="20"/>
        </w:rPr>
        <w:t xml:space="preserve">Expect full year 2025 adjusted free cash flow of approximately $800 million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Crown delivered strong results in the fourth quarter, with segment income advancing 12% compared to the prior year,” stated Timothy J. Donahue, Chairman, President and Chief Executive Officer. “Combined global beverage can segment income improved 17%, driven by global volume growth of 4%, led by shipment increases in Europe and North America, which grew 8% and 7%, respectively. The North American food can business also generated increased income during the quarter as a result of increased volumes while Transit Packaging saw lower volume and profitability as industrial activity remains sluggish.</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2024 was an excellent year overall, exceeding previous expectations. Segment income advanced nearly $100 million or 6% over the prior year, following a 7% improvement in 2023. Combined global beverage can segment income expanded 19% over the prior year, reflecting robust volume growth – 10% in Brazil and 7% in both North America and Europe – and excellent manufacturing performance. The Company generated record adjusted free cash flow of $814 million, supported by earnings growth combined with normalized capital expenditures. During the year, we reduced net debt by $878 million and when combined with our record EBITDA, we ended 2024 with net leverage of 2.7x. The Company remains well-positioned for continued strong performances in 2025 and beyond with a balanced portfolio, optimized manufacturing footprint and strengthened balance sheet,” concluded Donahue.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Fourth Quarter Results</w:t>
      </w:r>
    </w:p>
    <w:p>
      <w:pPr>
        <w:pStyle w:val="TextBody"/>
        <w:bidi w:val="0"/>
        <w:spacing w:lineRule="auto" w:line="268" w:before="0" w:after="0"/>
        <w:jc w:val="both"/>
        <w:rPr/>
      </w:pPr>
      <w:r>
        <w:rPr>
          <w:rFonts w:ascii="Times New Roman;sans-serif" w:hAnsi="Times New Roman;sans-serif"/>
          <w:b w:val="false"/>
          <w:color w:val="000000"/>
          <w:sz w:val="20"/>
        </w:rPr>
        <w:t>Net sales in the fourth quarter were</w:t>
      </w:r>
      <w:r>
        <w:rPr>
          <w:color w:val="000000"/>
        </w:rPr>
        <w:t xml:space="preserve"> </w:t>
      </w:r>
      <w:r>
        <w:rPr>
          <w:rFonts w:ascii="Times New Roman;sans-serif" w:hAnsi="Times New Roman;sans-serif"/>
          <w:b w:val="false"/>
          <w:color w:val="000000"/>
          <w:sz w:val="20"/>
        </w:rPr>
        <w:t>$2,903 million reflecting 4% higher global beverage can volumes and increased North American food can shipments.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was $351 million in the fourth quarter compared to $259 million in the fourth quarter of 2023. Segment income in the fourth quarter of 2024 increased to $428 million compared to $382 million in the prior year, a result of improved results in global beverage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the Company received gross proceeds of $338 million and recorded a gain of $275 million from the sale of its equity investment in Eviosys.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Crown Holdings improved in the fourth quarter to $358 million from $32 million in the fourth quarter of 2023, mainly due to the $275 million gain on the Eviosys equity investment sale and improved segment income. Reported diluted earnings per share were $3.02 in the fourth quarter of 2024 compared to $0.27 in 2023. Adjusted diluted earnings per share were $1.59 compared to $1.24 in 2023.</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Full Year Results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2024 were $11,801 million, as 5% higher global beverage can shipments were offset by the pass through of $196 million in lower material costs and lower volumes in Transit Packaging.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was $1,419 million in 2024, compared to $1,269 million in 2023. Segment income for 2024 was $1,645 million, $99 million higher than 2023, driven primarily by improved results in global beverage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Crown Holdings in 2024 was $424 million compared to $450 million in 2023. Reported diluted earnings per share were $3.55 compared to $3.76 in 2023 and adjusted diluted earnings per share were $6.41 compared to $5.86 in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Kevin C. Clothier, Senior Vice President and Chief Financial Officer, stated, “Our multi-year global beverage can expansion program that commenced in 2019 has substantially been completed, resulting in a manufacturing platform that will allow us to meet existing and additional demand with significantly reduced levels of capital expenditures.”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estimates full year 2025 adjusted diluted earnings per share to be in the range of $6.60 to $7.00 compared to $6.41 in 2024. The adjusted effective tax rate is expected to approximate 25% with adjusted free cash flow of approximately $800 million after estimated capital spending of $450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quarter adjusted diluted earnings per share is expected to be in the range of $1.20 to $1.30.</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adjusted effective tax rate and adjusted net leverage ratio for the first quarter and full year of 2025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 and adjusted net leverage ratio and could have a significant impact on earnings per share, and the effective tax rate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hold a conference call tomorrow, February 6, 2025 at 9:00 a.m. (EST)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w:t>
      </w: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public on the internet at the Company’s website, </w:t>
      </w:r>
      <w:r>
        <w:rPr>
          <w:rFonts w:ascii="Times New Roman;sans-serif" w:hAnsi="Times New Roman;sans-serif"/>
          <w:b w:val="false"/>
          <w:color w:val="0000FF"/>
          <w:sz w:val="20"/>
          <w:u w:val="single"/>
        </w:rPr>
        <w:t>www.crowncork.com</w:t>
      </w:r>
      <w:r>
        <w:rPr>
          <w:rFonts w:ascii="Times New Roman;sans-serif" w:hAnsi="Times New Roman;sans-serif"/>
          <w:b w:val="false"/>
          <w:color w:val="000000"/>
          <w:sz w:val="20"/>
        </w:rPr>
        <w:t>. A replay of the conference call will be available for a one-week period ending at midnight on February 13, 2025. The telephone numbers for the replay are 203-369-3997 or toll free 800-876-4955.</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2025, including consumer preference for beverage cans and global beverage can demand; the future impact of inflation, including the potential for higher interest rates and energy prices and the Company’s ability to recover raw material and other inflationary costs; future demand for food cans; the Company’s ability to deliver continuous operational improvement; future demand in the Transit Packaging segment and the Company’s ability to decrease capital expenditures and increase cash flow and to further reduce net leverage,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2023 and in subsequent filings made prior to or after the date hereof. The Company does not intend to review or revise any particular forward-looking statement in light of future events.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Crown Holdings, Inc., through its subsidiaries, is a worldwide leader in the design, manufacture and sale of packaging products for consumer goods and industrial products. World headquarters are located in Tampa, Florida.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contact: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Kevin C. Clothier, Senior Vice President and Chief Financial Officer, (215) 698-5281</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Thomas T. Fischer, Vice President, Investor Relations and Corporate Affairs, (215) 552-3720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Consolidated Statements of Operations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13"/>
        <w:gridCol w:w="1294"/>
        <w:gridCol w:w="1298"/>
        <w:gridCol w:w="346"/>
        <w:gridCol w:w="840"/>
        <w:gridCol w:w="109"/>
        <w:gridCol w:w="109"/>
        <w:gridCol w:w="109"/>
        <w:gridCol w:w="109"/>
        <w:gridCol w:w="346"/>
        <w:gridCol w:w="840"/>
        <w:gridCol w:w="109"/>
        <w:gridCol w:w="109"/>
        <w:gridCol w:w="109"/>
        <w:gridCol w:w="109"/>
        <w:gridCol w:w="271"/>
        <w:gridCol w:w="716"/>
        <w:gridCol w:w="154"/>
        <w:gridCol w:w="109"/>
        <w:gridCol w:w="109"/>
        <w:gridCol w:w="109"/>
        <w:gridCol w:w="268"/>
        <w:gridCol w:w="704"/>
        <w:gridCol w:w="216"/>
      </w:tblGrid>
      <w:tr>
        <w:trPr/>
        <w:tc>
          <w:tcPr>
            <w:tcW w:w="17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Year Ended </w:t>
              <w:br/>
              <w:t>December 31,</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2983" w:type="dxa"/>
            <w:gridSpan w:val="1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12,010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Income from operations</w:t>
            </w:r>
            <w:r>
              <w:rPr>
                <w:color w:val="000000"/>
              </w:rPr>
              <w:t xml:space="preserve"> </w:t>
            </w:r>
            <w:r>
              <w:rPr>
                <w:rFonts w:ascii="Times New Roman;sans-serif" w:hAnsi="Times New Roman;sans-serif"/>
                <w:b/>
                <w:color w:val="000000"/>
                <w:sz w:val="13"/>
              </w:rPr>
              <w:t>(1)</w:t>
            </w:r>
            <w:r>
              <w:rPr>
                <w:color w:val="000000"/>
              </w:rPr>
              <w:t xml:space="preserve">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1,269</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pension and postretirement</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equity method investment</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interest and taxes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1,178</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 before income taxes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795</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earnings </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color w:val="000000"/>
                <w:sz w:val="20"/>
              </w:rPr>
            </w:pPr>
            <w:r>
              <w:rPr>
                <w:rFonts w:ascii="Times New Roman;sans-serif" w:hAnsi="Times New Roman;sans-serif"/>
                <w:b/>
                <w:color w:val="000000"/>
                <w:sz w:val="20"/>
              </w:rPr>
              <w:t>587</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Crown Holdings</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Crown Holdings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21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118,295,008 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119,507,491 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119,195,009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119,408,789</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118,599,513 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119,743,953 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119,426,593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119,666,669</w:t>
            </w:r>
          </w:p>
        </w:tc>
      </w:tr>
      <w:tr>
        <w:trPr/>
        <w:tc>
          <w:tcPr>
            <w:tcW w:w="4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common shares outstanding</w:t>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118,503,631 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120,644,313 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118,503,631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120,644,313</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16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Financial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from Income from Operations to Segment Income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pStyle w:val="TextBody"/>
        <w:bidi w:val="0"/>
        <w:spacing w:before="0" w:after="0"/>
        <w:jc w:val="both"/>
        <w:rPr/>
      </w:pPr>
      <w:r>
        <w:rPr/>
      </w:r>
    </w:p>
    <w:tbl>
      <w:tblPr>
        <w:tblW w:w="6645" w:type="dxa"/>
        <w:jc w:val="center"/>
        <w:tblInd w:w="0" w:type="dxa"/>
        <w:tblLayout w:type="fixed"/>
        <w:tblCellMar>
          <w:top w:w="28" w:type="dxa"/>
          <w:left w:w="28" w:type="dxa"/>
          <w:bottom w:w="28" w:type="dxa"/>
          <w:right w:w="28" w:type="dxa"/>
        </w:tblCellMar>
      </w:tblPr>
      <w:tblGrid>
        <w:gridCol w:w="765"/>
        <w:gridCol w:w="674"/>
        <w:gridCol w:w="676"/>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1,546</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Segment Information</w:t>
      </w:r>
    </w:p>
    <w:tbl>
      <w:tblPr>
        <w:tblW w:w="6749" w:type="dxa"/>
        <w:jc w:val="center"/>
        <w:tblInd w:w="0" w:type="dxa"/>
        <w:tblLayout w:type="fixed"/>
        <w:tblCellMar>
          <w:top w:w="28" w:type="dxa"/>
          <w:left w:w="28" w:type="dxa"/>
          <w:bottom w:w="28" w:type="dxa"/>
          <w:right w:w="28" w:type="dxa"/>
        </w:tblCellMar>
      </w:tblPr>
      <w:tblGrid>
        <w:gridCol w:w="618"/>
        <w:gridCol w:w="544"/>
        <w:gridCol w:w="547"/>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Net Sales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11,801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12,010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799" w:type="dxa"/>
        <w:jc w:val="center"/>
        <w:tblInd w:w="0" w:type="dxa"/>
        <w:tblLayout w:type="fixed"/>
        <w:tblCellMar>
          <w:top w:w="28" w:type="dxa"/>
          <w:left w:w="28" w:type="dxa"/>
          <w:bottom w:w="28" w:type="dxa"/>
          <w:right w:w="28" w:type="dxa"/>
        </w:tblCellMar>
      </w:tblPr>
      <w:tblGrid>
        <w:gridCol w:w="1181"/>
        <w:gridCol w:w="1043"/>
        <w:gridCol w:w="1045"/>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Beverage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unallocated items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1,546</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the Company’s food can, aerosol can and closures businesses in North America, and beverage tooling and equipment operations in the U.S. and United Kingdom.</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both"/>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56"/>
        <w:gridCol w:w="939"/>
        <w:gridCol w:w="944"/>
        <w:gridCol w:w="185"/>
        <w:gridCol w:w="185"/>
        <w:gridCol w:w="186"/>
        <w:gridCol w:w="109"/>
        <w:gridCol w:w="109"/>
        <w:gridCol w:w="109"/>
        <w:gridCol w:w="191"/>
        <w:gridCol w:w="191"/>
        <w:gridCol w:w="192"/>
        <w:gridCol w:w="109"/>
        <w:gridCol w:w="109"/>
        <w:gridCol w:w="109"/>
        <w:gridCol w:w="184"/>
        <w:gridCol w:w="184"/>
        <w:gridCol w:w="188"/>
        <w:gridCol w:w="109"/>
        <w:gridCol w:w="109"/>
        <w:gridCol w:w="109"/>
        <w:gridCol w:w="191"/>
        <w:gridCol w:w="191"/>
        <w:gridCol w:w="192"/>
        <w:gridCol w:w="109"/>
        <w:gridCol w:w="109"/>
        <w:gridCol w:w="109"/>
        <w:gridCol w:w="185"/>
        <w:gridCol w:w="185"/>
        <w:gridCol w:w="186"/>
        <w:gridCol w:w="109"/>
        <w:gridCol w:w="109"/>
        <w:gridCol w:w="109"/>
        <w:gridCol w:w="191"/>
        <w:gridCol w:w="191"/>
        <w:gridCol w:w="192"/>
        <w:gridCol w:w="109"/>
        <w:gridCol w:w="109"/>
        <w:gridCol w:w="109"/>
        <w:gridCol w:w="185"/>
        <w:gridCol w:w="185"/>
        <w:gridCol w:w="186"/>
        <w:gridCol w:w="109"/>
        <w:gridCol w:w="109"/>
        <w:gridCol w:w="109"/>
        <w:gridCol w:w="181"/>
        <w:gridCol w:w="181"/>
        <w:gridCol w:w="269"/>
      </w:tblGrid>
      <w:tr>
        <w:trPr/>
        <w:tc>
          <w:tcPr>
            <w:tcW w:w="145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w:t>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5409" w:type="dxa"/>
            <w:gridSpan w:val="36"/>
            <w:tcBorders/>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income/diluted earnings per share attributable to Crown Holdings, as reported </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$424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$450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$3.76</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Intangibles amortization </w:t>
            </w:r>
            <w:r>
              <w:rPr>
                <w:rFonts w:ascii="Times New Roman;sans-serif" w:hAnsi="Times New Roman;sans-serif"/>
                <w:b w:val="false"/>
                <w:color w:val="000000"/>
                <w:sz w:val="13"/>
              </w:rPr>
              <w:t>(1)</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1.37</w:t>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Restructuring and other </w:t>
            </w:r>
            <w:r>
              <w:rPr>
                <w:rFonts w:ascii="Times New Roman;sans-serif" w:hAnsi="Times New Roman;sans-serif"/>
                <w:b w:val="false"/>
                <w:color w:val="000000"/>
                <w:sz w:val="13"/>
              </w:rPr>
              <w:t>(2)</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0.95</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Loss on debt extinguishment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Other pension and postretirement </w:t>
            </w:r>
            <w:r>
              <w:rPr>
                <w:rFonts w:ascii="Times New Roman;sans-serif" w:hAnsi="Times New Roman;sans-serif"/>
                <w:b w:val="false"/>
                <w:color w:val="000000"/>
                <w:sz w:val="13"/>
              </w:rPr>
              <w:t>(3)</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0.05</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(Gain) on sale of equity method investment</w:t>
            </w:r>
            <w:r>
              <w:rPr>
                <w:color w:val="000000"/>
              </w:rPr>
              <w:t xml:space="preserve"> </w:t>
            </w:r>
            <w:r>
              <w:rPr>
                <w:rFonts w:ascii="Times New Roman;sans-serif" w:hAnsi="Times New Roman;sans-serif"/>
                <w:b w:val="false"/>
                <w:color w:val="000000"/>
                <w:sz w:val="13"/>
              </w:rPr>
              <w:t>(4)</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Income taxes </w:t>
            </w:r>
            <w:r>
              <w:rPr>
                <w:rFonts w:ascii="Times New Roman;sans-serif" w:hAnsi="Times New Roman;sans-serif"/>
                <w:b w:val="false"/>
                <w:color w:val="000000"/>
                <w:sz w:val="13"/>
              </w:rPr>
              <w:t>(5)</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(0.33)</w:t>
            </w:r>
          </w:p>
        </w:tc>
      </w:tr>
      <w:tr>
        <w:trPr/>
        <w:tc>
          <w:tcPr>
            <w:tcW w:w="333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Equity earnings </w:t>
            </w:r>
            <w:r>
              <w:rPr>
                <w:rFonts w:ascii="Times New Roman;sans-serif" w:hAnsi="Times New Roman;sans-serif"/>
                <w:b w:val="false"/>
                <w:color w:val="000000"/>
                <w:sz w:val="13"/>
              </w:rPr>
              <w:t>(6)</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0.09</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Noncontrolling interests </w:t>
            </w:r>
            <w:r>
              <w:rPr>
                <w:rFonts w:ascii="Times New Roman;sans-serif" w:hAnsi="Times New Roman;sans-serif"/>
                <w:b w:val="false"/>
                <w:color w:val="000000"/>
                <w:sz w:val="13"/>
              </w:rPr>
              <w:t>(7)</w:t>
            </w:r>
            <w:r>
              <w:rPr>
                <w:color w:val="000000"/>
              </w:rPr>
              <w:t xml:space="preserv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(0.03)</w:t>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income/diluted earnings per share</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$5.86</w:t>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Effective tax rate as reported</w:t>
            </w:r>
            <w:r>
              <w:rPr>
                <w:color w:val="000000"/>
              </w:rPr>
              <w:t xml:space="preserv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effective tax rate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 the fourth quarter and full year of 2024, the Company recorded charges of $29 million ($21 million net of tax) and $151 million ($115 million net of tax) for intangibles amortization arising from prior acquisitions. In the fourth quarter and full year of 2023, the Company recorded charges of $41 million ($31 million net of tax) and $163 million ($123 million net of tax) for intangibles amortization arising from prior acquisitions.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 the fourth quarter and full year of 2024, the Company recorded net restructuring and other charges of $48 million ($47 million net of tax) and $75 million ($71 million net of tax) primarily related to asset impairment charges in the Asia Pacific segment and severance and other exit costs related to current and prior year restructuring actions. In the fourth quarter and full year of 2023, the Company recorded net restructuring and other charges of $82 million ($67 million net of tax) and $114 million ($96 million net of tax).</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For the full year of 2024, the Company recorded charges of $513 million ($386 million net of tax) related to the partial settlements of the Company's defined benefit pension plan obligations in the U.S. and Canada. For the full year of 2023, the Company recorded a one-time termination charge of $6 million ($5 million net of tax) related to business reorganization activities in Europe.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In the fourth quarter of 2024, the Company recorded a gain of $275 million ($227 million net of tax) in conjunction with the sale of equity method investment, Eviosys.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The Company recorded an income tax charge of $40 million and a benefit of $131 million in the fourth quarter and full year of 2024 and income tax benefits of $7 million and $40 million in the fourth quarter and full year of 2023 related to tax matters, including tax law changes, valuation allowance releases, tax settlements and audits and the items described above.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In the fourth quarters and full year of 2024 and 2023, the Company recorded its proportional share of intangible amortization and restructuring charges, net of tax, recorded by its European tinplate equity method investment, in the line Equity earnings.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 xml:space="preserve">(7) </w:t>
      </w:r>
      <w:r>
        <w:rPr>
          <w:rFonts w:ascii="Times New Roman;sans-serif" w:hAnsi="Times New Roman;sans-serif"/>
          <w:b w:val="false"/>
          <w:color w:val="000000"/>
          <w:sz w:val="20"/>
        </w:rPr>
        <w:t>In the fourth quarter and full year of 2024 and 2023, the Company recorded noncontrolling interest benefits related to the items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tbl>
      <w:tblPr>
        <w:tblW w:w="7966" w:type="dxa"/>
        <w:jc w:val="center"/>
        <w:tblInd w:w="0" w:type="dxa"/>
        <w:tblLayout w:type="fixed"/>
        <w:tblCellMar>
          <w:top w:w="28" w:type="dxa"/>
          <w:left w:w="28" w:type="dxa"/>
          <w:bottom w:w="28" w:type="dxa"/>
          <w:right w:w="28" w:type="dxa"/>
        </w:tblCellMar>
      </w:tblPr>
      <w:tblGrid>
        <w:gridCol w:w="1363"/>
        <w:gridCol w:w="1198"/>
        <w:gridCol w:w="1203"/>
        <w:gridCol w:w="357"/>
        <w:gridCol w:w="1246"/>
        <w:gridCol w:w="184"/>
        <w:gridCol w:w="184"/>
        <w:gridCol w:w="184"/>
        <w:gridCol w:w="184"/>
        <w:gridCol w:w="357"/>
        <w:gridCol w:w="1246"/>
        <w:gridCol w:w="260"/>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 (Condensed &amp; Unaudited)</w:t>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4,211</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4,833</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13,848</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15,034</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3,465</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13,848</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15,034</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Cash Flows (Condensed &amp;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bl>
      <w:tblPr>
        <w:tblW w:w="7494" w:type="dxa"/>
        <w:jc w:val="center"/>
        <w:tblInd w:w="0" w:type="dxa"/>
        <w:tblLayout w:type="fixed"/>
        <w:tblCellMar>
          <w:top w:w="28" w:type="dxa"/>
          <w:left w:w="28" w:type="dxa"/>
          <w:bottom w:w="28" w:type="dxa"/>
          <w:right w:w="28" w:type="dxa"/>
        </w:tblCellMar>
      </w:tblPr>
      <w:tblGrid>
        <w:gridCol w:w="1888"/>
        <w:gridCol w:w="1662"/>
        <w:gridCol w:w="1670"/>
        <w:gridCol w:w="211"/>
        <w:gridCol w:w="631"/>
        <w:gridCol w:w="109"/>
        <w:gridCol w:w="109"/>
        <w:gridCol w:w="109"/>
        <w:gridCol w:w="109"/>
        <w:gridCol w:w="211"/>
        <w:gridCol w:w="631"/>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and 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and postretirement expense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Pension contributions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equity method investment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Deferred income taxes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Working capital changes and 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 xml:space="preserve">Net cash provided by operating activities </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Capital expenditures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Acquisition and divestitures,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Equity method investment distribution </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Asset sales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used for investing activities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change in debt </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shareholders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Common stock repurchased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Dividends paid to noncontrolling interests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20"/>
              </w:rPr>
              <w:t>Net cash provided by/(used for) financing activities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January 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Cash, cash equivalents and restricted cash at December 31 </w:t>
            </w:r>
            <w:r>
              <w:rPr>
                <w:rFonts w:ascii="Times New Roman;sans-serif" w:hAnsi="Times New Roman;sans-serif"/>
                <w:b/>
                <w:color w:val="000000"/>
                <w:sz w:val="13"/>
              </w:rPr>
              <w:t>(1)</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1,016</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1,400</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and cash equivalents include $98 million and $90 million of restricted cash at December 31, 2024 and 2023.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free cash flow is defined by the Company as net cash from operating activities less capital expenditures and certain other items. A reconciliation of net cash from operating activities to adjusted free cash flow for the three months and year ended December 31, 2024 and 2023 follows. </w:t>
      </w:r>
    </w:p>
    <w:p>
      <w:pPr>
        <w:pStyle w:val="TextBody"/>
        <w:bidi w:val="0"/>
        <w:spacing w:before="0" w:after="0"/>
        <w:jc w:val="left"/>
        <w:rPr/>
      </w:pPr>
      <w:r>
        <w:rPr/>
      </w:r>
    </w:p>
    <w:p>
      <w:pPr>
        <w:pStyle w:val="TextBody"/>
        <w:bidi w:val="0"/>
        <w:spacing w:before="0" w:after="0"/>
        <w:jc w:val="left"/>
        <w:rPr/>
      </w:pPr>
      <w:r>
        <w:rPr/>
      </w:r>
    </w:p>
    <w:tbl>
      <w:tblPr>
        <w:tblW w:w="9316" w:type="dxa"/>
        <w:jc w:val="left"/>
        <w:tblInd w:w="0" w:type="dxa"/>
        <w:tblLayout w:type="fixed"/>
        <w:tblCellMar>
          <w:top w:w="28" w:type="dxa"/>
          <w:left w:w="28" w:type="dxa"/>
          <w:bottom w:w="28" w:type="dxa"/>
          <w:right w:w="28" w:type="dxa"/>
        </w:tblCellMar>
      </w:tblPr>
      <w:tblGrid>
        <w:gridCol w:w="1290"/>
        <w:gridCol w:w="1136"/>
        <w:gridCol w:w="1143"/>
        <w:gridCol w:w="336"/>
        <w:gridCol w:w="767"/>
        <w:gridCol w:w="173"/>
        <w:gridCol w:w="173"/>
        <w:gridCol w:w="173"/>
        <w:gridCol w:w="173"/>
        <w:gridCol w:w="336"/>
        <w:gridCol w:w="767"/>
        <w:gridCol w:w="173"/>
        <w:gridCol w:w="109"/>
        <w:gridCol w:w="109"/>
        <w:gridCol w:w="109"/>
        <w:gridCol w:w="218"/>
        <w:gridCol w:w="653"/>
        <w:gridCol w:w="112"/>
        <w:gridCol w:w="112"/>
        <w:gridCol w:w="112"/>
        <w:gridCol w:w="112"/>
        <w:gridCol w:w="218"/>
        <w:gridCol w:w="653"/>
        <w:gridCol w:w="159"/>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2676" w:type="dxa"/>
            <w:gridSpan w:val="1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621</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1,192</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1,453</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included in investing activities </w:t>
            </w:r>
            <w:r>
              <w:rPr>
                <w:rFonts w:ascii="Times New Roman;sans-serif" w:hAnsi="Times New Roman;sans-serif"/>
                <w:b w:val="false"/>
                <w:color w:val="000000"/>
                <w:sz w:val="13"/>
              </w:rPr>
              <w:t>(2)</w:t>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(3)</w:t>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free cash flow</w:t>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w:t>
            </w:r>
            <w:r>
              <w:rPr>
                <w:color w:val="000000"/>
              </w:rPr>
              <w:t>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w:t>
            </w:r>
            <w:r>
              <w:rPr>
                <w:color w:val="000000"/>
              </w:rPr>
              <w:t>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814</w:t>
            </w:r>
            <w:r>
              <w:rPr>
                <w:color w:val="000000"/>
              </w:rPr>
              <w:t>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661</w:t>
            </w:r>
            <w:r>
              <w:rPr>
                <w:color w:val="000000"/>
              </w:rPr>
              <w:t>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Interest benefit of cross currency swaps included in investing activities.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$23 million of insurance proceeds received in the first quarter of 2023 related to a tornado at the Bowling Green plant and $1 million repayment of the contribution the Company made in 2021 to settle the U.K. defined pension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 of 11</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5524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724025" cy="55245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Supplemental Data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u w:val="single"/>
        </w:rPr>
        <w:t>Impact of Foreign Currency Translation – Favorable/(Unfavorable)</w:t>
      </w:r>
      <w:r>
        <w:rPr>
          <w:color w:val="000000"/>
        </w:rPr>
        <w:t xml:space="preserve"> </w:t>
      </w:r>
      <w:r>
        <w:rPr>
          <w:rFonts w:ascii="Times New Roman;sans-serif" w:hAnsi="Times New Roman;sans-serif"/>
          <w:b/>
          <w:color w:val="000000"/>
          <w:sz w:val="13"/>
        </w:rPr>
        <w:t>(1)</w:t>
      </w:r>
    </w:p>
    <w:p>
      <w:pPr>
        <w:pStyle w:val="TextBody"/>
        <w:bidi w:val="0"/>
        <w:spacing w:before="0" w:after="0"/>
        <w:jc w:val="left"/>
        <w:rPr/>
      </w:pPr>
      <w:r>
        <w:rPr/>
      </w:r>
    </w:p>
    <w:tbl>
      <w:tblPr>
        <w:tblW w:w="8812" w:type="dxa"/>
        <w:jc w:val="left"/>
        <w:tblInd w:w="0" w:type="dxa"/>
        <w:tblLayout w:type="fixed"/>
        <w:tblCellMar>
          <w:top w:w="28" w:type="dxa"/>
          <w:left w:w="28" w:type="dxa"/>
          <w:bottom w:w="28" w:type="dxa"/>
          <w:right w:w="28" w:type="dxa"/>
        </w:tblCellMar>
      </w:tblPr>
      <w:tblGrid>
        <w:gridCol w:w="620"/>
        <w:gridCol w:w="544"/>
        <w:gridCol w:w="545"/>
        <w:gridCol w:w="430"/>
        <w:gridCol w:w="890"/>
        <w:gridCol w:w="222"/>
        <w:gridCol w:w="222"/>
        <w:gridCol w:w="222"/>
        <w:gridCol w:w="222"/>
        <w:gridCol w:w="486"/>
        <w:gridCol w:w="763"/>
        <w:gridCol w:w="251"/>
        <w:gridCol w:w="109"/>
        <w:gridCol w:w="109"/>
        <w:gridCol w:w="109"/>
        <w:gridCol w:w="243"/>
        <w:gridCol w:w="502"/>
        <w:gridCol w:w="125"/>
        <w:gridCol w:w="109"/>
        <w:gridCol w:w="109"/>
        <w:gridCol w:w="109"/>
        <w:gridCol w:w="534"/>
        <w:gridCol w:w="686"/>
        <w:gridCol w:w="279"/>
        <w:gridCol w:w="109"/>
        <w:gridCol w:w="10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w:t>
              <w:br/>
              <w:t>December 31, 2024</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Segment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Segment Income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Beverage</w:t>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European Beverage</w:t>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3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Transit Packaging</w:t>
            </w:r>
          </w:p>
        </w:tc>
        <w:tc>
          <w:tcPr>
            <w:tcW w:w="13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Reconciliation of Adjusted EBITDA and Adjusted Net Leverage Ratio</w:t>
      </w:r>
    </w:p>
    <w:tbl>
      <w:tblPr>
        <w:tblW w:w="5328"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211"/>
        <w:gridCol w:w="631"/>
        <w:gridCol w:w="109"/>
        <w:gridCol w:w="109"/>
        <w:gridCol w:w="109"/>
        <w:gridCol w:w="109"/>
        <w:gridCol w:w="211"/>
        <w:gridCol w:w="631"/>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debt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6,164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leverage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11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11 of 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4327</Words>
  <Characters>23257</Characters>
  <CharactersWithSpaces>27214</CharactersWithSpaces>
  <Paragraphs>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