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Dickstein Adam 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200"/>
        <w:spacing w:after="0" w:line="365" w:lineRule="auto"/>
        <w:rPr>
          <w:sz w:val="20"/>
          <w:szCs w:val="20"/>
          <w:color w:val="auto"/>
        </w:rPr>
      </w:pPr>
      <w:r>
        <w:rPr>
          <w:rFonts w:ascii="Times New Roman" w:cs="Times New Roman" w:eastAsia="Times New Roman" w:hAnsi="Times New Roman"/>
          <w:sz w:val="17"/>
          <w:szCs w:val="17"/>
          <w:color w:val="0000FF"/>
        </w:rPr>
        <w:t>HIDDEN RIVER CORPORATE CENTER TWO 14025 RIVEREDGE DRIVE,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TAMPA</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33637</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CROWN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CCK</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40" w:type="dxa"/>
            <w:vAlign w:val="bottom"/>
            <w:tcBorders>
              <w:bottom w:val="single" w:sz="8" w:color="0000EE"/>
            </w:tcBorders>
          </w:tcPr>
          <w:p>
            <w:pPr>
              <w:spacing w:after="0"/>
              <w:rPr>
                <w:sz w:val="3"/>
                <w:szCs w:val="3"/>
                <w:color w:val="auto"/>
              </w:rPr>
            </w:pPr>
          </w:p>
        </w:tc>
        <w:tc>
          <w:tcPr>
            <w:tcW w:w="12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340" w:type="dxa"/>
            <w:vAlign w:val="bottom"/>
            <w:tcBorders>
              <w:bottom w:val="single" w:sz="8" w:color="2C2C2C"/>
            </w:tcBorders>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2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200" w:type="dxa"/>
            <w:vAlign w:val="bottom"/>
            <w:gridSpan w:val="2"/>
            <w:vMerge w:val="continue"/>
          </w:tcPr>
          <w:p>
            <w:pPr>
              <w:spacing w:after="0"/>
              <w:rPr>
                <w:sz w:val="5"/>
                <w:szCs w:val="5"/>
                <w:color w:val="auto"/>
              </w:rPr>
            </w:pPr>
          </w:p>
        </w:tc>
        <w:tc>
          <w:tcPr>
            <w:tcW w:w="36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1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Gen Counsel &amp; Secretary</w:t>
            </w:r>
          </w:p>
        </w:tc>
        <w:tc>
          <w:tcPr>
            <w:tcW w:w="0" w:type="dxa"/>
            <w:vAlign w:val="bottom"/>
          </w:tcPr>
          <w:p>
            <w:pPr>
              <w:spacing w:after="0"/>
              <w:rPr>
                <w:sz w:val="1"/>
                <w:szCs w:val="1"/>
                <w:color w:val="auto"/>
              </w:rPr>
            </w:pPr>
          </w:p>
        </w:tc>
      </w:tr>
      <w:tr>
        <w:trPr>
          <w:trHeight w:val="226"/>
        </w:trPr>
        <w:tc>
          <w:tcPr>
            <w:tcW w:w="2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02/26/2026</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ind w:right="77"/>
              <w:spacing w:after="0" w:line="320" w:lineRule="exact"/>
              <w:rPr>
                <w:sz w:val="20"/>
                <w:szCs w:val="20"/>
                <w:color w:val="auto"/>
              </w:rPr>
            </w:pPr>
            <w:r>
              <w:rPr>
                <w:rFonts w:ascii="Times New Roman" w:cs="Times New Roman" w:eastAsia="Times New Roman" w:hAnsi="Times New Roman"/>
                <w:sz w:val="34"/>
                <w:szCs w:val="34"/>
                <w:color w:val="0000FF"/>
                <w:vertAlign w:val="subscript"/>
              </w:rPr>
              <w:t>952</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69,205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w:t>
            </w: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02/26/2026</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Borders>
              <w:bottom w:val="single" w:sz="8" w:color="2C2C2C"/>
            </w:tcBorders>
          </w:tcPr>
          <w:p>
            <w:pPr>
              <w:jc w:val="center"/>
              <w:ind w:right="17"/>
              <w:spacing w:after="0"/>
              <w:rPr>
                <w:sz w:val="20"/>
                <w:szCs w:val="20"/>
                <w:color w:val="auto"/>
              </w:rPr>
            </w:pPr>
            <w:r>
              <w:rPr>
                <w:rFonts w:ascii="Times New Roman" w:cs="Times New Roman" w:eastAsia="Times New Roman" w:hAnsi="Times New Roman"/>
                <w:sz w:val="17"/>
                <w:szCs w:val="17"/>
                <w:color w:val="0000FF"/>
              </w:rPr>
              <w:t>2,485</w:t>
            </w:r>
            <w:r>
              <w:rPr>
                <w:rFonts w:ascii="Times New Roman" w:cs="Times New Roman" w:eastAsia="Times New Roman" w:hAnsi="Times New Roman"/>
                <w:sz w:val="22"/>
                <w:szCs w:val="22"/>
                <w:color w:val="008000"/>
                <w:vertAlign w:val="superscript"/>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115.36</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66,720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additional performance-based shares of Restricted Common Stock that vested on February 26, 2026 whose grant was originally reported on a Form 4 filed with the Securities and Exchange Commission on January 6, 2023 (the "Original Form 4"). As reported on the Original Form 4, such performance-based shares were originally granted to the Reporting Person based on the Company's Return on Invested Capital achieved by the Company compared to the ROIC target with the final number of performance-based shares varying from 0 to 200% of 4,760. The Return on Invested Capital achieved by the Company compared to the ROIC target yielded a 120% payout. As a result, 952 additional performance-based restricted shares were issued.</w:t>
      </w:r>
    </w:p>
    <w:p>
      <w:pPr>
        <w:spacing w:after="0" w:line="24"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transferred to the Company for tax withholding in connection with vesting of restricted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Rosemary Haselroth, by</w:t>
            </w:r>
          </w:p>
        </w:tc>
        <w:tc>
          <w:tcPr>
            <w:tcW w:w="18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03/02/2026</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22931" TargetMode="External"/><Relationship Id="rId14" Type="http://schemas.openxmlformats.org/officeDocument/2006/relationships/hyperlink" Target="http://www.sec.gov/cgi-bin/browse-edgar?action=getcompany&amp;CIK=00012196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2026-03-02T08:13:29Z</dcterms:created>
  <dcterms:modified xsi:type="dcterms:W3CDTF">2026-03-02T08:13:29Z</dcterms:modified>
</cp:coreProperties>
</file>