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0"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9"/>
          <w:szCs w:val="29"/>
          <w:b w:val="1"/>
          <w:bCs w:val="1"/>
          <w:color w:val="auto"/>
        </w:rPr>
        <w:t>FORM 11-K</w:t>
      </w:r>
    </w:p>
    <w:p>
      <w:pPr>
        <w:sectPr>
          <w:pgSz w:w="11900" w:h="16838" w:orient="portrait"/>
          <w:cols w:equalWidth="0" w:num="1">
            <w:col w:w="9399"/>
          </w:cols>
          <w:pgMar w:left="1060" w:top="1440" w:right="1440" w:bottom="1440" w:gutter="0" w:footer="0" w:header="0"/>
        </w:sect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 ]</w:t>
      </w:r>
    </w:p>
    <w:p>
      <w:pPr>
        <w:spacing w:after="0" w:line="20" w:lineRule="exact"/>
        <w:rPr>
          <w:sz w:val="24"/>
          <w:szCs w:val="24"/>
          <w:color w:val="auto"/>
        </w:rPr>
      </w:pPr>
      <w:r>
        <w:rPr>
          <w:sz w:val="24"/>
          <w:szCs w:val="24"/>
          <w:color w:val="auto"/>
        </w:rPr>
        <w:br w:type="column"/>
      </w: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ANNUAL REPORT PURSUANT TO SECTION 15(d)</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0" w:lineRule="exact"/>
        <w:rPr>
          <w:sz w:val="24"/>
          <w:szCs w:val="24"/>
          <w:color w:val="auto"/>
        </w:rPr>
      </w:pPr>
    </w:p>
    <w:p>
      <w:pPr>
        <w:sectPr>
          <w:pgSz w:w="11900" w:h="16838" w:orient="portrait"/>
          <w:cols w:equalWidth="0" w:num="2">
            <w:col w:w="880" w:space="720"/>
            <w:col w:w="7799"/>
          </w:cols>
          <w:pgMar w:left="1060" w:top="1440" w:right="1440" w:bottom="1440" w:gutter="0" w:footer="0" w:header="0"/>
          <w:type w:val="continuous"/>
        </w:sectPr>
      </w:pPr>
    </w:p>
    <w:p>
      <w:pPr>
        <w:spacing w:after="0" w:line="341"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21"/>
          <w:szCs w:val="21"/>
          <w:b w:val="1"/>
          <w:bCs w:val="1"/>
          <w:color w:val="auto"/>
        </w:rPr>
        <w:t>For the fiscal year ended December 31, 2024</w:t>
      </w:r>
    </w:p>
    <w:p>
      <w:pPr>
        <w:spacing w:after="0" w:line="299"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22"/>
          <w:szCs w:val="22"/>
          <w:b w:val="1"/>
          <w:bCs w:val="1"/>
          <w:color w:val="auto"/>
        </w:rPr>
        <w:t>Commission File Number 001-41550</w:t>
      </w:r>
    </w:p>
    <w:p>
      <w:pPr>
        <w:sectPr>
          <w:pgSz w:w="11900" w:h="16838" w:orient="portrait"/>
          <w:cols w:equalWidth="0" w:num="1">
            <w:col w:w="9399"/>
          </w:cols>
          <w:pgMar w:left="1060" w:top="1440" w:right="1440"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ind w:left="2140" w:hanging="454"/>
        <w:spacing w:after="0"/>
        <w:tabs>
          <w:tab w:leader="none" w:pos="214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Full title of the plan:</w:t>
      </w:r>
    </w:p>
    <w:p>
      <w:pPr>
        <w:spacing w:after="0" w:line="287" w:lineRule="exact"/>
        <w:rPr>
          <w:rFonts w:ascii="Times New Roman" w:cs="Times New Roman" w:eastAsia="Times New Roman" w:hAnsi="Times New Roman"/>
          <w:sz w:val="22"/>
          <w:szCs w:val="22"/>
          <w:b w:val="1"/>
          <w:bCs w:val="1"/>
          <w:color w:val="auto"/>
        </w:rPr>
      </w:pPr>
    </w:p>
    <w:p>
      <w:pPr>
        <w:ind w:left="2140" w:right="3999"/>
        <w:spacing w:after="0" w:line="31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Crown Cork &amp; Seal Company, Inc. 401(k) Retirement Savings Plan</w:t>
      </w:r>
    </w:p>
    <w:p>
      <w:pPr>
        <w:spacing w:after="0" w:line="180" w:lineRule="exact"/>
        <w:rPr>
          <w:rFonts w:ascii="Times New Roman" w:cs="Times New Roman" w:eastAsia="Times New Roman" w:hAnsi="Times New Roman"/>
          <w:sz w:val="22"/>
          <w:szCs w:val="22"/>
          <w:b w:val="1"/>
          <w:bCs w:val="1"/>
          <w:color w:val="auto"/>
        </w:rPr>
      </w:pPr>
    </w:p>
    <w:p>
      <w:pPr>
        <w:ind w:left="2140" w:right="1979" w:hanging="442"/>
        <w:spacing w:after="0" w:line="287" w:lineRule="auto"/>
        <w:tabs>
          <w:tab w:leader="none" w:pos="214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 of the Securities held pursuant to the plan and the address of its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CROWN HOLDINGS, INC.</w:t>
      </w:r>
    </w:p>
    <w:p>
      <w:pPr>
        <w:spacing w:after="0" w:line="33"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14025 Riveredge Drive, Suite 300</w:t>
      </w:r>
    </w:p>
    <w:p>
      <w:pPr>
        <w:spacing w:after="0" w:line="1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Tampa, FL 33637-2015</w:t>
      </w:r>
    </w:p>
    <w:p>
      <w:pPr>
        <w:sectPr>
          <w:pgSz w:w="11900" w:h="16838" w:orient="portrait"/>
          <w:cols w:equalWidth="0" w:num="1">
            <w:col w:w="9399"/>
          </w:cols>
          <w:pgMar w:left="1060" w:top="1440"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401(k) Retirement Savings Plan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68834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340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20" w:type="dxa"/>
        <w:tblCellMar>
          <w:top w:w="0" w:type="dxa"/>
          <w:left w:w="0" w:type="dxa"/>
          <w:bottom w:w="0" w:type="dxa"/>
          <w:right w:w="0" w:type="dxa"/>
        </w:tblCellMar>
      </w:tblPr>
      <w:tr>
        <w:trPr>
          <w:trHeight w:val="258"/>
        </w:trPr>
        <w:tc>
          <w:tcPr>
            <w:tcW w:w="8280" w:type="dxa"/>
            <w:vAlign w:val="bottom"/>
          </w:tcPr>
          <w:p>
            <w:pPr>
              <w:spacing w:after="0"/>
              <w:rPr>
                <w:sz w:val="22"/>
                <w:szCs w:val="22"/>
                <w:color w:val="auto"/>
              </w:rPr>
            </w:pPr>
          </w:p>
        </w:tc>
        <w:tc>
          <w:tcPr>
            <w:tcW w:w="2140" w:type="dxa"/>
            <w:vAlign w:val="bottom"/>
          </w:tcPr>
          <w:p>
            <w:pPr>
              <w:ind w:left="1540"/>
              <w:spacing w:after="0"/>
              <w:rPr>
                <w:sz w:val="20"/>
                <w:szCs w:val="20"/>
                <w:color w:val="auto"/>
              </w:rPr>
            </w:pPr>
            <w:r>
              <w:rPr>
                <w:rFonts w:ascii="Times New Roman" w:cs="Times New Roman" w:eastAsia="Times New Roman" w:hAnsi="Times New Roman"/>
                <w:sz w:val="20"/>
                <w:szCs w:val="20"/>
                <w:color w:val="auto"/>
                <w:w w:val="96"/>
              </w:rPr>
              <w:t>Page(s)</w:t>
            </w:r>
          </w:p>
        </w:tc>
        <w:tc>
          <w:tcPr>
            <w:tcW w:w="0" w:type="dxa"/>
            <w:vAlign w:val="bottom"/>
          </w:tcPr>
          <w:p>
            <w:pPr>
              <w:spacing w:after="0"/>
              <w:rPr>
                <w:sz w:val="1"/>
                <w:szCs w:val="1"/>
                <w:color w:val="auto"/>
              </w:rPr>
            </w:pPr>
          </w:p>
        </w:tc>
      </w:tr>
      <w:tr>
        <w:trPr>
          <w:trHeight w:val="526"/>
        </w:trPr>
        <w:tc>
          <w:tcPr>
            <w:tcW w:w="828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tc>
        <w:tc>
          <w:tcPr>
            <w:tcW w:w="2140" w:type="dxa"/>
            <w:vAlign w:val="bottom"/>
          </w:tcPr>
          <w:p>
            <w:pPr>
              <w:jc w:val="center"/>
              <w:ind w:left="1421"/>
              <w:spacing w:after="0"/>
              <w:rPr>
                <w:sz w:val="20"/>
                <w:szCs w:val="20"/>
                <w:color w:val="auto"/>
              </w:rPr>
            </w:pPr>
            <w:r>
              <w:rPr>
                <w:rFonts w:ascii="Times New Roman" w:cs="Times New Roman" w:eastAsia="Times New Roman" w:hAnsi="Times New Roman"/>
                <w:sz w:val="20"/>
                <w:szCs w:val="20"/>
                <w:color w:val="auto"/>
                <w:w w:val="99"/>
              </w:rPr>
              <w:t>1</w:t>
            </w:r>
          </w:p>
        </w:tc>
        <w:tc>
          <w:tcPr>
            <w:tcW w:w="0" w:type="dxa"/>
            <w:vAlign w:val="bottom"/>
          </w:tcPr>
          <w:p>
            <w:pPr>
              <w:spacing w:after="0"/>
              <w:rPr>
                <w:sz w:val="1"/>
                <w:szCs w:val="1"/>
                <w:color w:val="auto"/>
              </w:rPr>
            </w:pPr>
          </w:p>
        </w:tc>
      </w:tr>
      <w:tr>
        <w:trPr>
          <w:trHeight w:val="527"/>
        </w:trPr>
        <w:tc>
          <w:tcPr>
            <w:tcW w:w="8280" w:type="dxa"/>
            <w:vAlign w:val="bottom"/>
          </w:tcPr>
          <w:p>
            <w:pPr>
              <w:spacing w:after="0"/>
              <w:rPr>
                <w:sz w:val="20"/>
                <w:szCs w:val="20"/>
                <w:color w:val="auto"/>
              </w:rPr>
            </w:pPr>
            <w:r>
              <w:rPr>
                <w:rFonts w:ascii="Times New Roman" w:cs="Times New Roman" w:eastAsia="Times New Roman" w:hAnsi="Times New Roman"/>
                <w:sz w:val="20"/>
                <w:szCs w:val="20"/>
                <w:color w:val="auto"/>
              </w:rPr>
              <w:t>Financial Statements</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82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Statements of Net Assets Available for Benefits as of December 31, 2024 and 2023</w:t>
            </w:r>
          </w:p>
        </w:tc>
        <w:tc>
          <w:tcPr>
            <w:tcW w:w="2140" w:type="dxa"/>
            <w:vAlign w:val="bottom"/>
          </w:tcPr>
          <w:p>
            <w:pPr>
              <w:jc w:val="center"/>
              <w:ind w:left="1421"/>
              <w:spacing w:after="0"/>
              <w:rPr>
                <w:sz w:val="20"/>
                <w:szCs w:val="20"/>
                <w:color w:val="auto"/>
              </w:rPr>
            </w:pPr>
            <w:r>
              <w:rPr>
                <w:rFonts w:ascii="Times New Roman" w:cs="Times New Roman" w:eastAsia="Times New Roman" w:hAnsi="Times New Roman"/>
                <w:sz w:val="20"/>
                <w:szCs w:val="20"/>
                <w:color w:val="auto"/>
                <w:w w:val="99"/>
              </w:rPr>
              <w:t>2</w:t>
            </w:r>
          </w:p>
        </w:tc>
        <w:tc>
          <w:tcPr>
            <w:tcW w:w="0" w:type="dxa"/>
            <w:vAlign w:val="bottom"/>
          </w:tcPr>
          <w:p>
            <w:pPr>
              <w:spacing w:after="0"/>
              <w:rPr>
                <w:sz w:val="1"/>
                <w:szCs w:val="1"/>
                <w:color w:val="auto"/>
              </w:rPr>
            </w:pPr>
          </w:p>
        </w:tc>
      </w:tr>
      <w:tr>
        <w:trPr>
          <w:trHeight w:val="471"/>
        </w:trPr>
        <w:tc>
          <w:tcPr>
            <w:tcW w:w="82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Statements of Changes in Net Assets Available for Benefits for the years ended</w:t>
            </w:r>
          </w:p>
        </w:tc>
        <w:tc>
          <w:tcPr>
            <w:tcW w:w="2140" w:type="dxa"/>
            <w:vAlign w:val="bottom"/>
            <w:vMerge w:val="restart"/>
          </w:tcPr>
          <w:p>
            <w:pPr>
              <w:jc w:val="center"/>
              <w:ind w:left="1421"/>
              <w:spacing w:after="0"/>
              <w:rPr>
                <w:sz w:val="20"/>
                <w:szCs w:val="20"/>
                <w:color w:val="auto"/>
              </w:rPr>
            </w:pPr>
            <w:r>
              <w:rPr>
                <w:rFonts w:ascii="Times New Roman" w:cs="Times New Roman" w:eastAsia="Times New Roman" w:hAnsi="Times New Roman"/>
                <w:sz w:val="20"/>
                <w:szCs w:val="20"/>
                <w:color w:val="auto"/>
                <w:w w:val="99"/>
              </w:rPr>
              <w:t>3</w:t>
            </w:r>
          </w:p>
        </w:tc>
        <w:tc>
          <w:tcPr>
            <w:tcW w:w="0" w:type="dxa"/>
            <w:vAlign w:val="bottom"/>
          </w:tcPr>
          <w:p>
            <w:pPr>
              <w:spacing w:after="0"/>
              <w:rPr>
                <w:sz w:val="1"/>
                <w:szCs w:val="1"/>
                <w:color w:val="auto"/>
              </w:rPr>
            </w:pPr>
          </w:p>
        </w:tc>
      </w:tr>
      <w:tr>
        <w:trPr>
          <w:trHeight w:val="258"/>
        </w:trPr>
        <w:tc>
          <w:tcPr>
            <w:tcW w:w="82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December 31, 2024 and 2023</w:t>
            </w:r>
          </w:p>
        </w:tc>
        <w:tc>
          <w:tcPr>
            <w:tcW w:w="2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82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Notes to Financial Statements</w:t>
            </w:r>
          </w:p>
        </w:tc>
        <w:tc>
          <w:tcPr>
            <w:tcW w:w="2140" w:type="dxa"/>
            <w:vAlign w:val="bottom"/>
          </w:tcPr>
          <w:p>
            <w:pPr>
              <w:jc w:val="center"/>
              <w:ind w:left="1421"/>
              <w:spacing w:after="0"/>
              <w:rPr>
                <w:sz w:val="20"/>
                <w:szCs w:val="20"/>
                <w:color w:val="auto"/>
              </w:rPr>
            </w:pPr>
            <w:r>
              <w:rPr>
                <w:rFonts w:ascii="Times New Roman" w:cs="Times New Roman" w:eastAsia="Times New Roman" w:hAnsi="Times New Roman"/>
                <w:sz w:val="20"/>
                <w:szCs w:val="20"/>
                <w:color w:val="auto"/>
                <w:w w:val="97"/>
              </w:rPr>
              <w:t>4-9</w:t>
            </w:r>
          </w:p>
        </w:tc>
        <w:tc>
          <w:tcPr>
            <w:tcW w:w="0" w:type="dxa"/>
            <w:vAlign w:val="bottom"/>
          </w:tcPr>
          <w:p>
            <w:pPr>
              <w:spacing w:after="0"/>
              <w:rPr>
                <w:sz w:val="1"/>
                <w:szCs w:val="1"/>
                <w:color w:val="auto"/>
              </w:rPr>
            </w:pPr>
          </w:p>
        </w:tc>
      </w:tr>
      <w:tr>
        <w:trPr>
          <w:trHeight w:val="527"/>
        </w:trPr>
        <w:tc>
          <w:tcPr>
            <w:tcW w:w="8280" w:type="dxa"/>
            <w:vAlign w:val="bottom"/>
          </w:tcPr>
          <w:p>
            <w:pPr>
              <w:spacing w:after="0"/>
              <w:rPr>
                <w:sz w:val="20"/>
                <w:szCs w:val="20"/>
                <w:color w:val="auto"/>
              </w:rPr>
            </w:pPr>
            <w:r>
              <w:rPr>
                <w:rFonts w:ascii="Times New Roman" w:cs="Times New Roman" w:eastAsia="Times New Roman" w:hAnsi="Times New Roman"/>
                <w:sz w:val="20"/>
                <w:szCs w:val="20"/>
                <w:color w:val="auto"/>
              </w:rPr>
              <w:t>Supplemental Information *</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82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Schedule H, Line 4i - Schedule of Assets (Held at End of Year)</w:t>
            </w:r>
          </w:p>
        </w:tc>
        <w:tc>
          <w:tcPr>
            <w:tcW w:w="2140" w:type="dxa"/>
            <w:vAlign w:val="bottom"/>
          </w:tcPr>
          <w:p>
            <w:pPr>
              <w:jc w:val="center"/>
              <w:ind w:left="1441"/>
              <w:spacing w:after="0"/>
              <w:rPr>
                <w:sz w:val="20"/>
                <w:szCs w:val="20"/>
                <w:color w:val="auto"/>
              </w:rPr>
            </w:pPr>
            <w:r>
              <w:rPr>
                <w:rFonts w:ascii="Times New Roman" w:cs="Times New Roman" w:eastAsia="Times New Roman" w:hAnsi="Times New Roman"/>
                <w:sz w:val="20"/>
                <w:szCs w:val="20"/>
                <w:color w:val="auto"/>
                <w:w w:val="99"/>
              </w:rPr>
              <w:t>10</w:t>
            </w:r>
          </w:p>
        </w:tc>
        <w:tc>
          <w:tcPr>
            <w:tcW w:w="0" w:type="dxa"/>
            <w:vAlign w:val="bottom"/>
          </w:tcPr>
          <w:p>
            <w:pPr>
              <w:spacing w:after="0"/>
              <w:rPr>
                <w:sz w:val="1"/>
                <w:szCs w:val="1"/>
                <w:color w:val="auto"/>
              </w:rPr>
            </w:pPr>
          </w:p>
        </w:tc>
      </w:tr>
      <w:tr>
        <w:trPr>
          <w:trHeight w:val="526"/>
        </w:trPr>
        <w:tc>
          <w:tcPr>
            <w:tcW w:w="82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Exhibit Index</w:t>
            </w:r>
          </w:p>
        </w:tc>
        <w:tc>
          <w:tcPr>
            <w:tcW w:w="2140" w:type="dxa"/>
            <w:vAlign w:val="bottom"/>
          </w:tcPr>
          <w:p>
            <w:pPr>
              <w:jc w:val="center"/>
              <w:ind w:left="1441"/>
              <w:spacing w:after="0"/>
              <w:rPr>
                <w:sz w:val="20"/>
                <w:szCs w:val="20"/>
                <w:color w:val="auto"/>
              </w:rPr>
            </w:pPr>
            <w:r>
              <w:rPr>
                <w:rFonts w:ascii="Times New Roman" w:cs="Times New Roman" w:eastAsia="Times New Roman" w:hAnsi="Times New Roman"/>
                <w:sz w:val="20"/>
                <w:szCs w:val="20"/>
                <w:color w:val="auto"/>
                <w:w w:val="99"/>
              </w:rPr>
              <w:t>11</w:t>
            </w:r>
          </w:p>
        </w:tc>
        <w:tc>
          <w:tcPr>
            <w:tcW w:w="0" w:type="dxa"/>
            <w:vAlign w:val="bottom"/>
          </w:tcPr>
          <w:p>
            <w:pPr>
              <w:spacing w:after="0"/>
              <w:rPr>
                <w:sz w:val="1"/>
                <w:szCs w:val="1"/>
                <w:color w:val="auto"/>
              </w:rPr>
            </w:pPr>
          </w:p>
        </w:tc>
      </w:tr>
      <w:tr>
        <w:trPr>
          <w:trHeight w:val="527"/>
        </w:trPr>
        <w:tc>
          <w:tcPr>
            <w:tcW w:w="82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Signature</w:t>
            </w:r>
          </w:p>
        </w:tc>
        <w:tc>
          <w:tcPr>
            <w:tcW w:w="2140" w:type="dxa"/>
            <w:vAlign w:val="bottom"/>
          </w:tcPr>
          <w:p>
            <w:pPr>
              <w:jc w:val="center"/>
              <w:ind w:left="1441"/>
              <w:spacing w:after="0"/>
              <w:rPr>
                <w:sz w:val="20"/>
                <w:szCs w:val="20"/>
                <w:color w:val="auto"/>
              </w:rPr>
            </w:pPr>
            <w:r>
              <w:rPr>
                <w:rFonts w:ascii="Times New Roman" w:cs="Times New Roman" w:eastAsia="Times New Roman" w:hAnsi="Times New Roman"/>
                <w:sz w:val="20"/>
                <w:szCs w:val="20"/>
                <w:color w:val="auto"/>
                <w:w w:val="99"/>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80" w:hanging="172"/>
        <w:spacing w:after="0" w:line="282" w:lineRule="auto"/>
        <w:tabs>
          <w:tab w:leader="none" w:pos="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supplemental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1">
            <w:col w:w="11240"/>
          </w:cols>
          <w:pgMar w:left="320" w:top="8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To the Participants of Crown Cork &amp; Seal Company, Inc. 401(k) Retirement Savings Plan and Members of the Benefit Plans Committee: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audited the accompanying statements of net assets available for benefits of Crown Cork &amp; Seal Company, Inc. 401(k) Retirement Savings Plan (the “Plan”) as of December 31, 2024 and 2023, and the related statements of changes in net assets available for benefits for the each of the two years in the period ended December 31, 2024, and the related notes and schedule (collectively referred to as the “financial statements”). In our opinion, the financial statements present fairly, in all material respects, the net assets available for benefits of the Plan as of December 31, 2024 and 2023, and the changes in net assets available for benefits for each of the two years in the period ended December 31, 2024, in conformity with accounting principles generally accepted in the United States of America.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77" w:lineRule="exact"/>
        <w:rPr>
          <w:sz w:val="20"/>
          <w:szCs w:val="20"/>
          <w:color w:val="auto"/>
        </w:rPr>
      </w:pPr>
    </w:p>
    <w:p>
      <w:pPr>
        <w:jc w:val="both"/>
        <w:ind w:right="20"/>
        <w:spacing w:after="0" w:line="282" w:lineRule="auto"/>
        <w:rPr>
          <w:sz w:val="20"/>
          <w:szCs w:val="20"/>
          <w:color w:val="auto"/>
        </w:rPr>
      </w:pPr>
      <w:r>
        <w:rPr>
          <w:rFonts w:ascii="Arial" w:cs="Arial" w:eastAsia="Arial" w:hAnsi="Arial"/>
          <w:sz w:val="17"/>
          <w:szCs w:val="17"/>
          <w:color w:val="auto"/>
        </w:rPr>
        <w:t>These financial statements are the responsibility of the Plan’s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purposes of expressing an opinion on the effectiveness of the Plan’s internal control over financial reporting. Accordingly, we express no such opinion.</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Supplemental Information</w:t>
      </w: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supplemental information in the accompanying Schedule of Assets (Held at End of Year) as of December 31, 2024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/s/ WithumSmith+Brown, PC</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auditor of the Crown Cork &amp; Seal Company, Inc. 401(k) Retirement Savings Plan since 2024.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Whippany, New Jersey</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June 16, 2025</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PCAOB ID Number 100</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1" w:right="339" w:bottom="1440"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22"/>
          <w:szCs w:val="22"/>
          <w:b w:val="1"/>
          <w:bCs w:val="1"/>
          <w:color w:val="auto"/>
        </w:rPr>
        <w:t>CROWN CORK &amp; SEAL COMPANY, INC.</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401(k) RETIREMENT SAVINGS PLAN</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Statements of Net Assets Available for Benefits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00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2880" w:type="dxa"/>
            <w:vAlign w:val="bottom"/>
            <w:tcBorders>
              <w:top w:val="single" w:sz="8" w:color="auto"/>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1240" w:type="dxa"/>
            <w:vAlign w:val="bottom"/>
            <w:tcBorders>
              <w:top w:val="single" w:sz="8" w:color="auto"/>
              <w:bottom w:val="single" w:sz="8" w:color="auto"/>
            </w:tcBorders>
          </w:tcPr>
          <w:p>
            <w:pPr>
              <w:spacing w:after="0"/>
              <w:rPr>
                <w:sz w:val="23"/>
                <w:szCs w:val="23"/>
                <w:color w:val="auto"/>
              </w:rPr>
            </w:pPr>
          </w:p>
        </w:tc>
      </w:tr>
      <w:tr>
        <w:trPr>
          <w:trHeight w:val="263"/>
        </w:trPr>
        <w:tc>
          <w:tcPr>
            <w:tcW w:w="60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2024</w:t>
            </w:r>
          </w:p>
        </w:tc>
        <w:tc>
          <w:tcPr>
            <w:tcW w:w="13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4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57"/>
        </w:trPr>
        <w:tc>
          <w:tcPr>
            <w:tcW w:w="60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Investments, at fair value</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Registered investment companies: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Baird Core Plus Bond Fund</w:t>
            </w:r>
          </w:p>
        </w:tc>
        <w:tc>
          <w:tcPr>
            <w:tcW w:w="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8,417,387</w:t>
            </w:r>
          </w:p>
        </w:tc>
        <w:tc>
          <w:tcPr>
            <w:tcW w:w="130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13,758,880</w:t>
            </w:r>
          </w:p>
        </w:tc>
      </w:tr>
      <w:tr>
        <w:trPr>
          <w:trHeight w:val="256"/>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DFA Emerging Markets Core Equity Portfolio</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564,729</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1,660,445</w:t>
            </w: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DFA US Targeted Value Portfolio</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1,452,357</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1,314,296</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Fidelity Small Cap Growth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12,122,471</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11,427,537</w:t>
            </w: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 Rowe Price International Discovery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438,548</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486,217</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Developed Markets Index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12,845,160</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6,275,067</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International Growth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8,572,069</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10,364,965</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Russell 1000 Growth Index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10,232,850</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7,882,710</w:t>
            </w: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Cash Reserve Federal Money Market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204,434</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163,102</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2020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2,621,244</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3,055,526</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2025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11,583,175</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13,439,400</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2030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13,850,790</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13,151,210</w:t>
            </w: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2035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15,946,734</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14,589,403</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2040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9,804,196</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8,143,896</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2045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12,086,674</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10,885,420</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2050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8,873,882</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8,412,670</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2055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9,994,399</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7,657,970</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2060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2,994,026</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2,476,733</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2065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1,734,832</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1,085,311</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2070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132,855</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33,687</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Income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5,488,062</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6,004,228</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Total Bond Market Index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12,058,138</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Total Stock Market Index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79,270,771</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66,031,123</w:t>
            </w:r>
          </w:p>
        </w:tc>
      </w:tr>
      <w:tr>
        <w:trPr>
          <w:trHeight w:val="256"/>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Wellington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14,614,513</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19,892,218</w:t>
            </w:r>
          </w:p>
        </w:tc>
      </w:tr>
      <w:tr>
        <w:trPr>
          <w:trHeight w:val="257"/>
        </w:trPr>
        <w:tc>
          <w:tcPr>
            <w:tcW w:w="6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20"/>
                <w:szCs w:val="20"/>
                <w:color w:val="auto"/>
              </w:rPr>
              <w:t>Vanguard Windsor II Fund</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7,902,111</w:t>
            </w:r>
          </w:p>
        </w:tc>
        <w:tc>
          <w:tcPr>
            <w:tcW w:w="13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7,044,161</w:t>
            </w:r>
          </w:p>
        </w:tc>
      </w:tr>
      <w:tr>
        <w:trPr>
          <w:trHeight w:val="250"/>
        </w:trPr>
        <w:tc>
          <w:tcPr>
            <w:tcW w:w="60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263,806,407</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235,236,175</w:t>
            </w:r>
          </w:p>
        </w:tc>
      </w:tr>
      <w:tr>
        <w:trPr>
          <w:trHeight w:val="216"/>
        </w:trPr>
        <w:tc>
          <w:tcPr>
            <w:tcW w:w="6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Vanguard Retirement Savings Trust III</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32,690,815</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35,877,254</w:t>
            </w:r>
          </w:p>
        </w:tc>
      </w:tr>
      <w:tr>
        <w:trPr>
          <w:trHeight w:val="256"/>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Crown Holdings, Inc. Stock Fund</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14,781,046</w:t>
            </w:r>
          </w:p>
        </w:tc>
        <w:tc>
          <w:tcPr>
            <w:tcW w:w="13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16,136,083</w:t>
            </w:r>
          </w:p>
        </w:tc>
      </w:tr>
      <w:tr>
        <w:trPr>
          <w:trHeight w:val="250"/>
        </w:trPr>
        <w:tc>
          <w:tcPr>
            <w:tcW w:w="60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20"/>
                <w:szCs w:val="20"/>
                <w:b w:val="1"/>
                <w:bCs w:val="1"/>
                <w:color w:val="auto"/>
              </w:rPr>
              <w:t>Total investments, at fair value</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311,278,268</w:t>
            </w:r>
          </w:p>
        </w:tc>
        <w:tc>
          <w:tcPr>
            <w:tcW w:w="13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287,249,512</w:t>
            </w:r>
          </w:p>
        </w:tc>
      </w:tr>
      <w:tr>
        <w:trPr>
          <w:trHeight w:val="196"/>
        </w:trPr>
        <w:tc>
          <w:tcPr>
            <w:tcW w:w="6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5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Receivables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6"/>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Notes receivable from participants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5,506,332</w:t>
            </w:r>
          </w:p>
        </w:tc>
        <w:tc>
          <w:tcPr>
            <w:tcW w:w="13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4,495,598</w:t>
            </w:r>
          </w:p>
        </w:tc>
      </w:tr>
      <w:tr>
        <w:trPr>
          <w:trHeight w:val="250"/>
        </w:trPr>
        <w:tc>
          <w:tcPr>
            <w:tcW w:w="60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20"/>
                <w:szCs w:val="20"/>
                <w:b w:val="1"/>
                <w:bCs w:val="1"/>
                <w:color w:val="auto"/>
              </w:rPr>
              <w:t>Total receivables</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5,506,332</w:t>
            </w:r>
          </w:p>
        </w:tc>
        <w:tc>
          <w:tcPr>
            <w:tcW w:w="13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4,495,598</w:t>
            </w:r>
          </w:p>
        </w:tc>
      </w:tr>
      <w:tr>
        <w:trPr>
          <w:trHeight w:val="196"/>
        </w:trPr>
        <w:tc>
          <w:tcPr>
            <w:tcW w:w="6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56"/>
        </w:trPr>
        <w:tc>
          <w:tcPr>
            <w:tcW w:w="60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316,784,600</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291,745,110</w:t>
            </w:r>
          </w:p>
        </w:tc>
      </w:tr>
      <w:tr>
        <w:trPr>
          <w:trHeight w:val="216"/>
        </w:trPr>
        <w:tc>
          <w:tcPr>
            <w:tcW w:w="6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300" w:type="dxa"/>
            <w:vAlign w:val="bottom"/>
            <w:shd w:val="clear" w:color="auto" w:fill="CCEEFF"/>
          </w:tcPr>
          <w:p>
            <w:pPr>
              <w:spacing w:after="0"/>
              <w:rPr>
                <w:sz w:val="22"/>
                <w:szCs w:val="22"/>
                <w:color w:val="auto"/>
              </w:rPr>
            </w:pPr>
          </w:p>
        </w:tc>
        <w:tc>
          <w:tcPr>
            <w:tcW w:w="2560" w:type="dxa"/>
            <w:vAlign w:val="bottom"/>
            <w:gridSpan w:val="2"/>
            <w:shd w:val="clear" w:color="auto" w:fill="CCEEFF"/>
          </w:tcPr>
          <w:p>
            <w:pPr>
              <w:jc w:val="right"/>
              <w:ind w:right="13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16"/>
        </w:trPr>
        <w:tc>
          <w:tcPr>
            <w:tcW w:w="6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75"/>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Net assets available for benefits</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316,784,600</w:t>
            </w:r>
          </w:p>
        </w:tc>
        <w:tc>
          <w:tcPr>
            <w:tcW w:w="13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291,745,110</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0420"/>
          </w:cols>
          <w:pgMar w:left="320" w:top="918" w:right="1159" w:bottom="76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420"/>
          </w:cols>
          <w:pgMar w:left="320" w:top="918" w:right="1159" w:bottom="767"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2"/>
          <w:szCs w:val="22"/>
          <w:b w:val="1"/>
          <w:bCs w:val="1"/>
          <w:color w:val="auto"/>
        </w:rPr>
        <w:t>CROWN CORK &amp; SEAL COMPANY, INC.</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401(k) RETIREMENT SAVINGS PLAN</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Statements of Changes in Net Assets Available for Benefits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020" w:type="dxa"/>
            <w:vAlign w:val="bottom"/>
            <w:tcBorders>
              <w:top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4260" w:type="dxa"/>
            <w:vAlign w:val="bottom"/>
            <w:tcBorders>
              <w:top w:val="single" w:sz="8" w:color="auto"/>
              <w:bottom w:val="single" w:sz="8" w:color="auto"/>
            </w:tcBorders>
            <w:gridSpan w:val="4"/>
          </w:tcPr>
          <w:p>
            <w:pPr>
              <w:jc w:val="right"/>
              <w:ind w:right="781"/>
              <w:spacing w:after="0"/>
              <w:rPr>
                <w:sz w:val="20"/>
                <w:szCs w:val="20"/>
                <w:color w:val="auto"/>
              </w:rPr>
            </w:pPr>
            <w:r>
              <w:rPr>
                <w:rFonts w:ascii="Times New Roman" w:cs="Times New Roman" w:eastAsia="Times New Roman" w:hAnsi="Times New Roman"/>
                <w:sz w:val="20"/>
                <w:szCs w:val="20"/>
                <w:b w:val="1"/>
                <w:bCs w:val="1"/>
                <w:color w:val="auto"/>
              </w:rPr>
              <w:t>For the Year Ended December 31,</w:t>
            </w:r>
          </w:p>
        </w:tc>
        <w:tc>
          <w:tcPr>
            <w:tcW w:w="0" w:type="dxa"/>
            <w:vAlign w:val="bottom"/>
          </w:tcPr>
          <w:p>
            <w:pPr>
              <w:spacing w:after="0"/>
              <w:rPr>
                <w:sz w:val="1"/>
                <w:szCs w:val="1"/>
                <w:color w:val="auto"/>
              </w:rPr>
            </w:pPr>
          </w:p>
        </w:tc>
      </w:tr>
      <w:tr>
        <w:trPr>
          <w:trHeight w:val="263"/>
        </w:trPr>
        <w:tc>
          <w:tcPr>
            <w:tcW w:w="60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13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Additions:</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Investment income:</w:t>
            </w: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Interest and dividend income</w:t>
            </w:r>
          </w:p>
        </w:tc>
        <w:tc>
          <w:tcPr>
            <w:tcW w:w="3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9,894,322</w:t>
            </w:r>
          </w:p>
        </w:tc>
        <w:tc>
          <w:tcPr>
            <w:tcW w:w="13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7,034,090</w:t>
            </w:r>
          </w:p>
        </w:tc>
        <w:tc>
          <w:tcPr>
            <w:tcW w:w="0" w:type="dxa"/>
            <w:vAlign w:val="bottom"/>
          </w:tcPr>
          <w:p>
            <w:pPr>
              <w:spacing w:after="0"/>
              <w:rPr>
                <w:sz w:val="1"/>
                <w:szCs w:val="1"/>
                <w:color w:val="auto"/>
              </w:rPr>
            </w:pPr>
          </w:p>
        </w:tc>
      </w:tr>
      <w:tr>
        <w:trPr>
          <w:trHeight w:val="257"/>
        </w:trPr>
        <w:tc>
          <w:tcPr>
            <w:tcW w:w="6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20"/>
                <w:szCs w:val="20"/>
                <w:color w:val="auto"/>
              </w:rPr>
              <w:t>Net appreciation in fair value of investments</w:t>
            </w: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25,918,986</w:t>
            </w:r>
          </w:p>
        </w:tc>
        <w:tc>
          <w:tcPr>
            <w:tcW w:w="13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33,709,888</w:t>
            </w:r>
          </w:p>
        </w:tc>
        <w:tc>
          <w:tcPr>
            <w:tcW w:w="0" w:type="dxa"/>
            <w:vAlign w:val="bottom"/>
          </w:tcPr>
          <w:p>
            <w:pPr>
              <w:spacing w:after="0"/>
              <w:rPr>
                <w:sz w:val="1"/>
                <w:szCs w:val="1"/>
                <w:color w:val="auto"/>
              </w:rPr>
            </w:pPr>
          </w:p>
        </w:tc>
      </w:tr>
      <w:tr>
        <w:trPr>
          <w:trHeight w:val="250"/>
        </w:trPr>
        <w:tc>
          <w:tcPr>
            <w:tcW w:w="6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20"/>
                <w:szCs w:val="20"/>
                <w:b w:val="1"/>
                <w:bCs w:val="1"/>
                <w:color w:val="auto"/>
              </w:rPr>
              <w:t>Total investment income</w:t>
            </w: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35,813,308</w:t>
            </w:r>
          </w:p>
        </w:tc>
        <w:tc>
          <w:tcPr>
            <w:tcW w:w="13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40,743,978</w:t>
            </w:r>
          </w:p>
        </w:tc>
        <w:tc>
          <w:tcPr>
            <w:tcW w:w="0" w:type="dxa"/>
            <w:vAlign w:val="bottom"/>
          </w:tcPr>
          <w:p>
            <w:pPr>
              <w:spacing w:after="0"/>
              <w:rPr>
                <w:sz w:val="1"/>
                <w:szCs w:val="1"/>
                <w:color w:val="auto"/>
              </w:rPr>
            </w:pPr>
          </w:p>
        </w:tc>
      </w:tr>
      <w:tr>
        <w:trPr>
          <w:trHeight w:val="250"/>
        </w:trPr>
        <w:tc>
          <w:tcPr>
            <w:tcW w:w="6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Interest income, notes receivable from participants</w:t>
            </w: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402,236</w:t>
            </w:r>
          </w:p>
        </w:tc>
        <w:tc>
          <w:tcPr>
            <w:tcW w:w="1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271,329</w:t>
            </w:r>
          </w:p>
        </w:tc>
        <w:tc>
          <w:tcPr>
            <w:tcW w:w="0" w:type="dxa"/>
            <w:vAlign w:val="bottom"/>
          </w:tcPr>
          <w:p>
            <w:pPr>
              <w:spacing w:after="0"/>
              <w:rPr>
                <w:sz w:val="1"/>
                <w:szCs w:val="1"/>
                <w:color w:val="auto"/>
              </w:rPr>
            </w:pPr>
          </w:p>
        </w:tc>
      </w:tr>
      <w:tr>
        <w:trPr>
          <w:trHeight w:val="270"/>
        </w:trPr>
        <w:tc>
          <w:tcPr>
            <w:tcW w:w="6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Contributions:</w:t>
            </w: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Employer</w:t>
            </w:r>
          </w:p>
        </w:tc>
        <w:tc>
          <w:tcPr>
            <w:tcW w:w="3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4,669,886</w:t>
            </w:r>
          </w:p>
        </w:tc>
        <w:tc>
          <w:tcPr>
            <w:tcW w:w="1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4,342,472</w:t>
            </w:r>
          </w:p>
        </w:tc>
        <w:tc>
          <w:tcPr>
            <w:tcW w:w="0" w:type="dxa"/>
            <w:vAlign w:val="bottom"/>
          </w:tcPr>
          <w:p>
            <w:pPr>
              <w:spacing w:after="0"/>
              <w:rPr>
                <w:sz w:val="1"/>
                <w:szCs w:val="1"/>
                <w:color w:val="auto"/>
              </w:rPr>
            </w:pPr>
          </w:p>
        </w:tc>
      </w:tr>
      <w:tr>
        <w:trPr>
          <w:trHeight w:val="257"/>
        </w:trPr>
        <w:tc>
          <w:tcPr>
            <w:tcW w:w="6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20"/>
                <w:szCs w:val="20"/>
                <w:color w:val="auto"/>
              </w:rPr>
              <w:t>Participant</w:t>
            </w: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16,800,119</w:t>
            </w:r>
          </w:p>
        </w:tc>
        <w:tc>
          <w:tcPr>
            <w:tcW w:w="13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15,949,173</w:t>
            </w: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tcPr>
          <w:p>
            <w:pPr>
              <w:ind w:left="1020"/>
              <w:spacing w:after="0"/>
              <w:rPr>
                <w:sz w:val="20"/>
                <w:szCs w:val="20"/>
                <w:color w:val="auto"/>
              </w:rPr>
            </w:pPr>
            <w:r>
              <w:rPr>
                <w:rFonts w:ascii="Times New Roman" w:cs="Times New Roman" w:eastAsia="Times New Roman" w:hAnsi="Times New Roman"/>
                <w:sz w:val="20"/>
                <w:szCs w:val="20"/>
                <w:b w:val="1"/>
                <w:bCs w:val="1"/>
                <w:color w:val="auto"/>
              </w:rPr>
              <w:t>Total contributions</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21,470,005</w:t>
            </w:r>
          </w:p>
        </w:tc>
        <w:tc>
          <w:tcPr>
            <w:tcW w:w="13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20,291,645</w:t>
            </w:r>
          </w:p>
        </w:tc>
        <w:tc>
          <w:tcPr>
            <w:tcW w:w="0" w:type="dxa"/>
            <w:vAlign w:val="bottom"/>
          </w:tcPr>
          <w:p>
            <w:pPr>
              <w:spacing w:after="0"/>
              <w:rPr>
                <w:sz w:val="1"/>
                <w:szCs w:val="1"/>
                <w:color w:val="auto"/>
              </w:rPr>
            </w:pPr>
          </w:p>
        </w:tc>
      </w:tr>
      <w:tr>
        <w:trPr>
          <w:trHeight w:val="250"/>
        </w:trPr>
        <w:tc>
          <w:tcPr>
            <w:tcW w:w="6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Other additions</w:t>
            </w: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61,027</w:t>
            </w:r>
          </w:p>
        </w:tc>
        <w:tc>
          <w:tcPr>
            <w:tcW w:w="13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31,493</w:t>
            </w:r>
          </w:p>
        </w:tc>
        <w:tc>
          <w:tcPr>
            <w:tcW w:w="0" w:type="dxa"/>
            <w:vAlign w:val="bottom"/>
          </w:tcPr>
          <w:p>
            <w:pPr>
              <w:spacing w:after="0"/>
              <w:rPr>
                <w:sz w:val="1"/>
                <w:szCs w:val="1"/>
                <w:color w:val="auto"/>
              </w:rPr>
            </w:pPr>
          </w:p>
        </w:tc>
      </w:tr>
      <w:tr>
        <w:trPr>
          <w:trHeight w:val="250"/>
        </w:trPr>
        <w:tc>
          <w:tcPr>
            <w:tcW w:w="6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20"/>
                <w:szCs w:val="20"/>
                <w:b w:val="1"/>
                <w:bCs w:val="1"/>
                <w:color w:val="auto"/>
              </w:rPr>
              <w:t>Total additions</w:t>
            </w: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57,746,576</w:t>
            </w:r>
          </w:p>
        </w:tc>
        <w:tc>
          <w:tcPr>
            <w:tcW w:w="13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61,338,445</w:t>
            </w:r>
          </w:p>
        </w:tc>
        <w:tc>
          <w:tcPr>
            <w:tcW w:w="0" w:type="dxa"/>
            <w:vAlign w:val="bottom"/>
          </w:tcPr>
          <w:p>
            <w:pPr>
              <w:spacing w:after="0"/>
              <w:rPr>
                <w:sz w:val="1"/>
                <w:szCs w:val="1"/>
                <w:color w:val="auto"/>
              </w:rPr>
            </w:pPr>
          </w:p>
        </w:tc>
      </w:tr>
      <w:tr>
        <w:trPr>
          <w:trHeight w:val="250"/>
        </w:trPr>
        <w:tc>
          <w:tcPr>
            <w:tcW w:w="6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Deductions:</w:t>
            </w: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Benefits paid to participants</w:t>
            </w:r>
          </w:p>
        </w:tc>
        <w:tc>
          <w:tcPr>
            <w:tcW w:w="3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33,071,551</w:t>
            </w:r>
          </w:p>
        </w:tc>
        <w:tc>
          <w:tcPr>
            <w:tcW w:w="1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21,206,880</w:t>
            </w:r>
          </w:p>
        </w:tc>
        <w:tc>
          <w:tcPr>
            <w:tcW w:w="0" w:type="dxa"/>
            <w:vAlign w:val="bottom"/>
          </w:tcPr>
          <w:p>
            <w:pPr>
              <w:spacing w:after="0"/>
              <w:rPr>
                <w:sz w:val="1"/>
                <w:szCs w:val="1"/>
                <w:color w:val="auto"/>
              </w:rPr>
            </w:pPr>
          </w:p>
        </w:tc>
      </w:tr>
      <w:tr>
        <w:trPr>
          <w:trHeight w:val="25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Administrative expenses</w:t>
            </w: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247,419</w:t>
            </w:r>
          </w:p>
        </w:tc>
        <w:tc>
          <w:tcPr>
            <w:tcW w:w="1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241,269</w:t>
            </w:r>
          </w:p>
        </w:tc>
        <w:tc>
          <w:tcPr>
            <w:tcW w:w="0" w:type="dxa"/>
            <w:vAlign w:val="bottom"/>
          </w:tcPr>
          <w:p>
            <w:pPr>
              <w:spacing w:after="0"/>
              <w:rPr>
                <w:sz w:val="1"/>
                <w:szCs w:val="1"/>
                <w:color w:val="auto"/>
              </w:rPr>
            </w:pPr>
          </w:p>
        </w:tc>
      </w:tr>
      <w:tr>
        <w:trPr>
          <w:trHeight w:val="256"/>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Other deductions</w:t>
            </w: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13,485</w:t>
            </w:r>
          </w:p>
        </w:tc>
        <w:tc>
          <w:tcPr>
            <w:tcW w:w="13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91,909</w:t>
            </w:r>
          </w:p>
        </w:tc>
        <w:tc>
          <w:tcPr>
            <w:tcW w:w="0" w:type="dxa"/>
            <w:vAlign w:val="bottom"/>
          </w:tcPr>
          <w:p>
            <w:pPr>
              <w:spacing w:after="0"/>
              <w:rPr>
                <w:sz w:val="1"/>
                <w:szCs w:val="1"/>
                <w:color w:val="auto"/>
              </w:rPr>
            </w:pPr>
          </w:p>
        </w:tc>
      </w:tr>
      <w:tr>
        <w:trPr>
          <w:trHeight w:val="250"/>
        </w:trPr>
        <w:tc>
          <w:tcPr>
            <w:tcW w:w="6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20"/>
                <w:szCs w:val="20"/>
                <w:b w:val="1"/>
                <w:bCs w:val="1"/>
                <w:color w:val="auto"/>
              </w:rPr>
              <w:t>Total deductions</w:t>
            </w: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33,332,455</w:t>
            </w:r>
          </w:p>
        </w:tc>
        <w:tc>
          <w:tcPr>
            <w:tcW w:w="13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21,540,058</w:t>
            </w:r>
          </w:p>
        </w:tc>
        <w:tc>
          <w:tcPr>
            <w:tcW w:w="0" w:type="dxa"/>
            <w:vAlign w:val="bottom"/>
          </w:tcPr>
          <w:p>
            <w:pPr>
              <w:spacing w:after="0"/>
              <w:rPr>
                <w:sz w:val="1"/>
                <w:szCs w:val="1"/>
                <w:color w:val="auto"/>
              </w:rPr>
            </w:pPr>
          </w:p>
        </w:tc>
      </w:tr>
      <w:tr>
        <w:trPr>
          <w:trHeight w:val="250"/>
        </w:trPr>
        <w:tc>
          <w:tcPr>
            <w:tcW w:w="6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Net increase</w:t>
            </w: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24,414,121</w:t>
            </w:r>
          </w:p>
        </w:tc>
        <w:tc>
          <w:tcPr>
            <w:tcW w:w="1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39,798,387</w:t>
            </w:r>
          </w:p>
        </w:tc>
        <w:tc>
          <w:tcPr>
            <w:tcW w:w="0" w:type="dxa"/>
            <w:vAlign w:val="bottom"/>
          </w:tcPr>
          <w:p>
            <w:pPr>
              <w:spacing w:after="0"/>
              <w:rPr>
                <w:sz w:val="1"/>
                <w:szCs w:val="1"/>
                <w:color w:val="auto"/>
              </w:rPr>
            </w:pPr>
          </w:p>
        </w:tc>
      </w:tr>
      <w:tr>
        <w:trPr>
          <w:trHeight w:val="270"/>
        </w:trPr>
        <w:tc>
          <w:tcPr>
            <w:tcW w:w="6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602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20"/>
                <w:szCs w:val="20"/>
                <w:color w:val="auto"/>
              </w:rPr>
              <w:t>Transfers from Crown Cork &amp; Seal Company Inc.</w:t>
            </w:r>
          </w:p>
        </w:tc>
        <w:tc>
          <w:tcPr>
            <w:tcW w:w="36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628,315</w:t>
            </w:r>
          </w:p>
        </w:tc>
        <w:tc>
          <w:tcPr>
            <w:tcW w:w="1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522,521</w:t>
            </w:r>
          </w:p>
        </w:tc>
        <w:tc>
          <w:tcPr>
            <w:tcW w:w="0" w:type="dxa"/>
            <w:vAlign w:val="bottom"/>
          </w:tcPr>
          <w:p>
            <w:pPr>
              <w:spacing w:after="0"/>
              <w:rPr>
                <w:sz w:val="1"/>
                <w:szCs w:val="1"/>
                <w:color w:val="auto"/>
              </w:rPr>
            </w:pPr>
          </w:p>
        </w:tc>
      </w:tr>
      <w:tr>
        <w:trPr>
          <w:trHeight w:val="252"/>
        </w:trPr>
        <w:tc>
          <w:tcPr>
            <w:tcW w:w="6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20"/>
                <w:szCs w:val="20"/>
                <w:color w:val="auto"/>
              </w:rPr>
              <w:t>Retirement Thrift Plan</w:t>
            </w:r>
          </w:p>
        </w:tc>
        <w:tc>
          <w:tcPr>
            <w:tcW w:w="36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602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20"/>
                <w:szCs w:val="20"/>
                <w:color w:val="auto"/>
              </w:rPr>
              <w:t>Transfers to Crown Cork &amp; Seal Company Inc.</w:t>
            </w:r>
          </w:p>
        </w:tc>
        <w:tc>
          <w:tcPr>
            <w:tcW w:w="36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(2,946)</w:t>
            </w:r>
          </w:p>
        </w:tc>
        <w:tc>
          <w:tcPr>
            <w:tcW w:w="1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(110,950)</w:t>
            </w:r>
          </w:p>
        </w:tc>
        <w:tc>
          <w:tcPr>
            <w:tcW w:w="0" w:type="dxa"/>
            <w:vAlign w:val="bottom"/>
          </w:tcPr>
          <w:p>
            <w:pPr>
              <w:spacing w:after="0"/>
              <w:rPr>
                <w:sz w:val="1"/>
                <w:szCs w:val="1"/>
                <w:color w:val="auto"/>
              </w:rPr>
            </w:pPr>
          </w:p>
        </w:tc>
      </w:tr>
      <w:tr>
        <w:trPr>
          <w:trHeight w:val="252"/>
        </w:trPr>
        <w:tc>
          <w:tcPr>
            <w:tcW w:w="6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20"/>
                <w:szCs w:val="20"/>
                <w:color w:val="auto"/>
              </w:rPr>
              <w:t>Retirement Thrift Plan</w:t>
            </w:r>
          </w:p>
        </w:tc>
        <w:tc>
          <w:tcPr>
            <w:tcW w:w="36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Net Assets Available for Benefits:</w:t>
            </w: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20"/>
                <w:szCs w:val="20"/>
                <w:color w:val="auto"/>
              </w:rPr>
              <w:t>Beginning of year</w:t>
            </w: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291,745,110</w:t>
            </w:r>
          </w:p>
        </w:tc>
        <w:tc>
          <w:tcPr>
            <w:tcW w:w="13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251,535,152</w:t>
            </w:r>
          </w:p>
        </w:tc>
        <w:tc>
          <w:tcPr>
            <w:tcW w:w="0" w:type="dxa"/>
            <w:vAlign w:val="bottom"/>
          </w:tcPr>
          <w:p>
            <w:pPr>
              <w:spacing w:after="0"/>
              <w:rPr>
                <w:sz w:val="1"/>
                <w:szCs w:val="1"/>
                <w:color w:val="auto"/>
              </w:rPr>
            </w:pPr>
          </w:p>
        </w:tc>
      </w:tr>
      <w:tr>
        <w:trPr>
          <w:trHeight w:val="275"/>
        </w:trPr>
        <w:tc>
          <w:tcPr>
            <w:tcW w:w="6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End of year</w:t>
            </w: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316,784,600</w:t>
            </w:r>
          </w:p>
        </w:tc>
        <w:tc>
          <w:tcPr>
            <w:tcW w:w="13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291,745,110</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40"/>
          </w:cols>
          <w:pgMar w:left="320" w:top="918" w:right="9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7722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DESCRIPTION OF PLAN</w:t>
      </w:r>
    </w:p>
    <w:p>
      <w:pPr>
        <w:spacing w:after="0" w:line="24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following description of the Crown Cork &amp; Seal Company, Inc. 401(k) Retirement Savings Plan (the “Plan") provides only general information. Participants should refer to the Plan document for a more complete description of the Plan's provisions.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General</w:t>
      </w:r>
    </w:p>
    <w:p>
      <w:pPr>
        <w:spacing w:after="0" w:line="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Plan is a voluntary defined contribution plan. The purpose of the Plan is to provide a convenient method by which eligible employees of Crown Holdings, Inc. and subsidiaries (the “Company”) may save regularly through salary deferrals and through Company matching contributions. Generally, employees are eligible to participate in the Plan upon date of hire. Employees are automatically enrolled on the first of the month following 30 days of service with a before-tax contribution rate of 6% unless they affirmatively elect not to participate in the Plan or elect to contribute at a different rate. The Plan is subject to the provisions of the Employee Retirement Income Security Act of 1974 (“ERISA”).</w:t>
      </w:r>
    </w:p>
    <w:p>
      <w:pPr>
        <w:spacing w:after="0" w:line="22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Plan is administered by the Crown Cork &amp; Seal Company, Inc. Benefit Plans Committee (the “Committee”). The Committee has appointed Vanguard Fiduciary Trust Company (“VFTC”) as the trustee and recordkeeper of the Plan.</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SECURE 2.0 Act of 2022 was signed into law on December 29, 2022. This legislation includes a vast array of provisional changes to retirement plans. Plan management is adopting any mandatory provisions as they become applicable and evaluating those provisions deemed discretionary. During 2024, the automatic cash out limit was increased to $7,000 in accordance with SECURE 2.0.</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Contributions</w:t>
      </w:r>
    </w:p>
    <w:p>
      <w:pPr>
        <w:spacing w:after="0" w:line="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Plan has two contribution components: a participant salary deferral 401(k) component and a Company matching contribution component. The Plan allows before-tax and Roth participant contributions of 2% to 75% of eligible compensation. The Plan also allows after-tax participant contributions of 1% to 15% of eligible compensation. Catch-up contributions are permitted by the Plan. Contributions may be matched by the Company at various rates as determined by the employer company, as defined in the Plan document. Participants direct the investment of their contributions into various investment options offered by the Plan. Company contributions are invested in accordance with participant investment directions. Contribution amounts are subject to certain Internal Revenue Service ("IRS") limitations.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Participant Accounts</w:t>
      </w:r>
    </w:p>
    <w:p>
      <w:pPr>
        <w:spacing w:after="0" w:line="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Each participant's account is credited with (a) the participant's contributions, (b) the Company's contribution and (c) Plan earnings, and charged with administrative fees. The benefit to which a participant is entitled is the benefit that can be provided from the participant's vested account.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Vesting</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Participants are immediately vested in their contributions plus actual earnings thereon. Vesting in the Company's contribution plus earnings thereon is based on years of continuous service. A participant is considered 25% vested in the Company's contributions after one year of credited service. The participant's vested interest increases at a rate of 25% for each year of service thereafter, with the participant being 100% vested after four years.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Notes Receivable from Participants</w:t>
      </w:r>
    </w:p>
    <w:p>
      <w:pPr>
        <w:spacing w:after="0" w:line="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Participants may borrow from their account a minimum of $1,000 up to a maximum equal to the lesser of $50,000 or 50% of the participant's vested account balance. Notes receivable terms range from 1 to 5 years or up to 10 years for the purchase of a primary residence. The notes receivable are secured by the balance in the participant's account and bear interest at a rate commensurate with a prevailing commercial rate for a secured personal loan. Interest rates on notes receivable outstanding as of December 31, 2024 and 2023 range from 4.25% to 9.50%.</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8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7722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Principal and interest are paid ratably through monthly payroll deductions. A participant may not have more than two outstanding notes receivable at any one time.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Payment of Benefits</w:t>
      </w:r>
    </w:p>
    <w:p>
      <w:pPr>
        <w:spacing w:after="0" w:line="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termination of service due to retirement, attainment of age 65, permanent plant shutdown, permanent disability, or death, the participant, or his or her beneficiary, automatically becomes fully vested in the Company contributions. For termination of service due to these or any other reasons, a participant may receive the value of the vested interest in his or her account as a lump-sum distribution. If the vested interest is $7,000 or less at the time of termination, a participant will be cashed out. An active employee may take an in-service withdrawal if he or she has attained age 59.5 or if other criteria are met as defined in the Plan document. All distributions are paid in either cash or Company stock at the participant's election.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Forfeited Accounts</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When certain terminations of participation in the Plan occur, the non-vested portion of the participant's account, as defined, represents a forfeiture. Total unallocated forfeitures, which will be used to reduce future Company contributions, were $7 and $0 at December 31, 2024 and 2023, respectively. Forfeitures used to offset Company contributions in 2024 and 2023 totaled $357,307 and $230,691,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Plan Transfers</w:t>
      </w:r>
    </w:p>
    <w:p>
      <w:pPr>
        <w:spacing w:after="0" w:line="3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0"/>
          <w:szCs w:val="20"/>
          <w:color w:val="auto"/>
        </w:rPr>
        <w:t>A participant's balance may be transferred to or from the Crown Cork &amp; Seal Company, Inc. Retirement Thrift Plan due to an employee's eligibility changing as a result of a promotion or relocation.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Plan Termination</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reserves the right to retroactively amend or modify any of the provisions of the Plan in any respect in order to qualify or maintain the Plan as a plan meeting the requirements of ERISA or any other applicable legislation. Although it has not expressed any intent to do so, the Company has the right under the Plan to discontinue its contributions at any time and to terminate the Plan subject to the provisions of ERISA. In the event of Plan termination, participants will become 100% vested in their Company contributions.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SUMMARY OF SIGNIFICANT ACCOUNTING POLICIES</w:t>
      </w:r>
    </w:p>
    <w:p>
      <w:pPr>
        <w:spacing w:after="0" w:line="2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significant accounting policies, which conform with accounting principles generally accepted in the United States of America, have been used consistently in the preparation of the Plan's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Basis of Accounting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financial statements of the Plan are prepared under the accrual basis of accounting.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Use of Estimates</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as well as reported amounts of additions and deductions during the reporting period. Actual results could differ from those estimates.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Investment Valuation and Income Recognition</w:t>
      </w:r>
    </w:p>
    <w:p>
      <w:pPr>
        <w:spacing w:after="0" w:line="3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The Plan’s investments are reported at fair value. Fair value is the price that would be received to sell an asset or paid to transfer a liability in an orderly transaction between market participants at the measurement date. See Note 3 for a discussion of fair value measurements.</w:t>
      </w:r>
    </w:p>
    <w:p>
      <w:pPr>
        <w:sectPr>
          <w:pgSz w:w="11900" w:h="16838" w:orient="portrait"/>
          <w:cols w:equalWidth="0" w:num="1">
            <w:col w:w="11240"/>
          </w:cols>
          <w:pgMar w:left="320" w:top="8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880"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7722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Purchases and sales of securities are recorded on the trade-date basis. Interest income is recorded on the accrual basis. Dividends are recorded on the ex-dividend date. Net appreciation includes the Plan’s gains and losses on investments bought and sold as well as held during the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Notes Receivable From Participants</w:t>
      </w:r>
    </w:p>
    <w:p>
      <w:pPr>
        <w:spacing w:after="0" w:line="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Notes receivable from participants are measured at their unpaid principal balance plus any accrued but unpaid interest. Related fees are recorded as administrative expenses and are expensed when they are incurred. Interest income is recorded on the accrual basis.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Payment of Benefits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Benefits are recorded when paid.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Expenses</w:t>
      </w:r>
    </w:p>
    <w:p>
      <w:pPr>
        <w:spacing w:after="0" w:line="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Recordkeeping expenses, investment advisory fees, and miscellaneous administrative fees are charged directly to the participant’s account and are included in administrative expenses. Investment related expenses are included in net appreciation in fair value of investments. Expenses paid by the Company are excluded from these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 FAIR VALUE MEASUREMENTS</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and the lowest priority to unobservable inputs (Level 3). The three levels of the fair value hierarchy under authoritative guidance are described as follows:</w:t>
      </w:r>
    </w:p>
    <w:p>
      <w:pPr>
        <w:spacing w:after="0" w:line="199" w:lineRule="exact"/>
        <w:rPr>
          <w:sz w:val="20"/>
          <w:szCs w:val="20"/>
          <w:color w:val="auto"/>
        </w:rPr>
      </w:pPr>
    </w:p>
    <w:p>
      <w:pPr>
        <w:ind w:left="660"/>
        <w:spacing w:after="0" w:line="283" w:lineRule="auto"/>
        <w:rPr>
          <w:sz w:val="20"/>
          <w:szCs w:val="20"/>
          <w:color w:val="auto"/>
        </w:rPr>
      </w:pPr>
      <w:r>
        <w:rPr>
          <w:rFonts w:ascii="Times New Roman" w:cs="Times New Roman" w:eastAsia="Times New Roman" w:hAnsi="Times New Roman"/>
          <w:sz w:val="20"/>
          <w:szCs w:val="20"/>
          <w:color w:val="auto"/>
        </w:rPr>
        <w:t>Level 1 - Inputs to the valuation methodology are unadjusted quoted prices for identical assets or liabilities in active markets that the Plan has the ability to access.</w:t>
      </w:r>
    </w:p>
    <w:p>
      <w:pPr>
        <w:spacing w:after="0" w:line="173" w:lineRule="exact"/>
        <w:rPr>
          <w:sz w:val="20"/>
          <w:szCs w:val="20"/>
          <w:color w:val="auto"/>
        </w:rPr>
      </w:pPr>
    </w:p>
    <w:p>
      <w:pPr>
        <w:ind w:left="660" w:hanging="419"/>
        <w:spacing w:after="0" w:line="283" w:lineRule="auto"/>
        <w:rPr>
          <w:sz w:val="20"/>
          <w:szCs w:val="20"/>
          <w:color w:val="auto"/>
        </w:rPr>
      </w:pPr>
      <w:r>
        <w:rPr>
          <w:rFonts w:ascii="Times New Roman" w:cs="Times New Roman" w:eastAsia="Times New Roman" w:hAnsi="Times New Roman"/>
          <w:sz w:val="20"/>
          <w:szCs w:val="20"/>
          <w:color w:val="auto"/>
        </w:rPr>
        <w:t>Level 2 - Inputs other than quoted prices included within Level 1 that are observable for the asset or liability, either directly or indirectly, such as:</w:t>
      </w:r>
    </w:p>
    <w:p>
      <w:pPr>
        <w:spacing w:after="0" w:line="187" w:lineRule="exact"/>
        <w:rPr>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quoted prices for similar assets or liabilities in active markets;</w:t>
      </w:r>
    </w:p>
    <w:p>
      <w:pPr>
        <w:spacing w:after="0" w:line="2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quoted prices for identical or similar assets or liabilities in inactive markets;</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inputs other than quoted prices that are observable for the asset or liability;</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inputs that are derived principally from or corroborated by observable market data by correlation or other means.</w:t>
      </w:r>
    </w:p>
    <w:p>
      <w:pPr>
        <w:spacing w:after="0" w:line="221" w:lineRule="exact"/>
        <w:rPr>
          <w:sz w:val="20"/>
          <w:szCs w:val="20"/>
          <w:color w:val="auto"/>
        </w:rPr>
      </w:pPr>
    </w:p>
    <w:p>
      <w:pPr>
        <w:ind w:left="660"/>
        <w:spacing w:after="0" w:line="283" w:lineRule="auto"/>
        <w:rPr>
          <w:sz w:val="20"/>
          <w:szCs w:val="20"/>
          <w:color w:val="auto"/>
        </w:rPr>
      </w:pPr>
      <w:r>
        <w:rPr>
          <w:rFonts w:ascii="Times New Roman" w:cs="Times New Roman" w:eastAsia="Times New Roman" w:hAnsi="Times New Roman"/>
          <w:sz w:val="20"/>
          <w:szCs w:val="20"/>
          <w:color w:val="auto"/>
        </w:rPr>
        <w:t>If the asset or liability has a specified (contractual) term, the Level 2 input must be observable for substantially the full term of the asset or liability.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Level 3 - Inputs to the valuation methodology are unobservable and significant to the fair value measurement.</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ectPr>
          <w:pgSz w:w="11900" w:h="16838" w:orient="portrait"/>
          <w:cols w:equalWidth="0" w:num="1">
            <w:col w:w="11240"/>
          </w:cols>
          <w:pgMar w:left="320" w:top="8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880"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7722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summarize instruments measured at fair value on a recurring basis for the Plan:</w:t>
      </w:r>
    </w:p>
    <w:p>
      <w:pPr>
        <w:spacing w:after="0" w:line="144" w:lineRule="exact"/>
        <w:rPr>
          <w:sz w:val="20"/>
          <w:szCs w:val="20"/>
          <w:color w:val="auto"/>
        </w:rPr>
      </w:pPr>
    </w:p>
    <w:tbl>
      <w:tblPr>
        <w:tblLayout w:type="fixed"/>
        <w:tblInd w:w="220" w:type="dxa"/>
        <w:tblCellMar>
          <w:top w:w="0" w:type="dxa"/>
          <w:left w:w="0" w:type="dxa"/>
          <w:bottom w:w="0" w:type="dxa"/>
          <w:right w:w="0" w:type="dxa"/>
        </w:tblCellMar>
      </w:tblPr>
      <w:tr>
        <w:trPr>
          <w:trHeight w:val="266"/>
        </w:trPr>
        <w:tc>
          <w:tcPr>
            <w:tcW w:w="43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4900" w:type="dxa"/>
            <w:vAlign w:val="bottom"/>
            <w:tcBorders>
              <w:bottom w:val="single" w:sz="8" w:color="auto"/>
            </w:tcBorders>
            <w:gridSpan w:val="9"/>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Assets at Fair Value as of December 31, 2024</w:t>
            </w:r>
          </w:p>
        </w:tc>
        <w:tc>
          <w:tcPr>
            <w:tcW w:w="1220" w:type="dxa"/>
            <w:vAlign w:val="bottom"/>
            <w:tcBorders>
              <w:bottom w:val="single" w:sz="8" w:color="auto"/>
            </w:tcBorders>
          </w:tcPr>
          <w:p>
            <w:pPr>
              <w:spacing w:after="0"/>
              <w:rPr>
                <w:sz w:val="23"/>
                <w:szCs w:val="23"/>
                <w:color w:val="auto"/>
              </w:rPr>
            </w:pPr>
          </w:p>
        </w:tc>
      </w:tr>
      <w:tr>
        <w:trPr>
          <w:trHeight w:val="254"/>
        </w:trPr>
        <w:tc>
          <w:tcPr>
            <w:tcW w:w="4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120" w:type="dxa"/>
            <w:vAlign w:val="bottom"/>
          </w:tcPr>
          <w:p>
            <w:pPr>
              <w:spacing w:after="0"/>
              <w:rPr>
                <w:sz w:val="22"/>
                <w:szCs w:val="22"/>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120" w:type="dxa"/>
            <w:vAlign w:val="bottom"/>
          </w:tcPr>
          <w:p>
            <w:pPr>
              <w:spacing w:after="0"/>
              <w:rPr>
                <w:sz w:val="22"/>
                <w:szCs w:val="22"/>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480" w:type="dxa"/>
            <w:vAlign w:val="bottom"/>
          </w:tcPr>
          <w:p>
            <w:pPr>
              <w:spacing w:after="0"/>
              <w:rPr>
                <w:sz w:val="22"/>
                <w:szCs w:val="22"/>
                <w:color w:val="auto"/>
              </w:rPr>
            </w:pPr>
          </w:p>
        </w:tc>
        <w:tc>
          <w:tcPr>
            <w:tcW w:w="1220" w:type="dxa"/>
            <w:vAlign w:val="bottom"/>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37"/>
        </w:trPr>
        <w:tc>
          <w:tcPr>
            <w:tcW w:w="43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r>
      <w:tr>
        <w:trPr>
          <w:trHeight w:val="256"/>
        </w:trPr>
        <w:tc>
          <w:tcPr>
            <w:tcW w:w="4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Registered investment companies</w:t>
            </w:r>
          </w:p>
        </w:tc>
        <w:tc>
          <w:tcPr>
            <w:tcW w:w="3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263,806,407</w:t>
            </w:r>
          </w:p>
        </w:tc>
        <w:tc>
          <w:tcPr>
            <w:tcW w:w="4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263,806,407</w:t>
            </w:r>
          </w:p>
        </w:tc>
      </w:tr>
      <w:tr>
        <w:trPr>
          <w:trHeight w:val="257"/>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Company common stock fund</w:t>
            </w:r>
          </w:p>
        </w:tc>
        <w:tc>
          <w:tcPr>
            <w:tcW w:w="3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14,781,046</w:t>
            </w: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14,781,046</w:t>
            </w:r>
          </w:p>
        </w:tc>
      </w:tr>
      <w:tr>
        <w:trPr>
          <w:trHeight w:val="196"/>
        </w:trPr>
        <w:tc>
          <w:tcPr>
            <w:tcW w:w="43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317"/>
        </w:trPr>
        <w:tc>
          <w:tcPr>
            <w:tcW w:w="4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20"/>
                <w:szCs w:val="20"/>
                <w:color w:val="auto"/>
              </w:rPr>
              <w:t>Total assets in fair value hierarchy</w:t>
            </w:r>
          </w:p>
        </w:tc>
        <w:tc>
          <w:tcPr>
            <w:tcW w:w="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278,587,453</w:t>
            </w: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278,587,453</w:t>
            </w:r>
          </w:p>
        </w:tc>
      </w:tr>
      <w:tr>
        <w:trPr>
          <w:trHeight w:val="163"/>
        </w:trPr>
        <w:tc>
          <w:tcPr>
            <w:tcW w:w="438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r>
      <w:tr>
        <w:trPr>
          <w:trHeight w:val="257"/>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Investments measured at net asset value (a)</w:t>
            </w:r>
          </w:p>
        </w:tc>
        <w:tc>
          <w:tcPr>
            <w:tcW w:w="3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32,690,815</w:t>
            </w:r>
          </w:p>
        </w:tc>
      </w:tr>
      <w:tr>
        <w:trPr>
          <w:trHeight w:val="216"/>
        </w:trPr>
        <w:tc>
          <w:tcPr>
            <w:tcW w:w="4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81"/>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Investments at fair value</w:t>
            </w:r>
          </w:p>
        </w:tc>
        <w:tc>
          <w:tcPr>
            <w:tcW w:w="3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311,278,268</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3"/>
          </w:tcPr>
          <w:p>
            <w:pPr>
              <w:spacing w:after="0" w:line="20" w:lineRule="exact"/>
              <w:rPr>
                <w:sz w:val="1"/>
                <w:szCs w:val="1"/>
                <w:color w:val="auto"/>
              </w:rPr>
            </w:pPr>
          </w:p>
        </w:tc>
        <w:tc>
          <w:tcPr>
            <w:tcW w:w="1320" w:type="dxa"/>
            <w:vAlign w:val="bottom"/>
            <w:tcBorders>
              <w:top w:val="single" w:sz="8" w:color="CCEEFF"/>
            </w:tcBorders>
            <w:gridSpan w:val="3"/>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29"/>
        </w:trPr>
        <w:tc>
          <w:tcPr>
            <w:tcW w:w="43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9"/>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Assets at Fair Value as of December 31, 2023</w:t>
            </w:r>
          </w:p>
        </w:tc>
        <w:tc>
          <w:tcPr>
            <w:tcW w:w="1220" w:type="dxa"/>
            <w:vAlign w:val="bottom"/>
            <w:tcBorders>
              <w:bottom w:val="single" w:sz="8" w:color="auto"/>
            </w:tcBorders>
          </w:tcPr>
          <w:p>
            <w:pPr>
              <w:spacing w:after="0"/>
              <w:rPr>
                <w:sz w:val="24"/>
                <w:szCs w:val="24"/>
                <w:color w:val="auto"/>
              </w:rPr>
            </w:pPr>
          </w:p>
        </w:tc>
      </w:tr>
      <w:tr>
        <w:trPr>
          <w:trHeight w:val="254"/>
        </w:trPr>
        <w:tc>
          <w:tcPr>
            <w:tcW w:w="4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120" w:type="dxa"/>
            <w:vAlign w:val="bottom"/>
          </w:tcPr>
          <w:p>
            <w:pPr>
              <w:spacing w:after="0"/>
              <w:rPr>
                <w:sz w:val="22"/>
                <w:szCs w:val="22"/>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120" w:type="dxa"/>
            <w:vAlign w:val="bottom"/>
          </w:tcPr>
          <w:p>
            <w:pPr>
              <w:spacing w:after="0"/>
              <w:rPr>
                <w:sz w:val="22"/>
                <w:szCs w:val="22"/>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480" w:type="dxa"/>
            <w:vAlign w:val="bottom"/>
          </w:tcPr>
          <w:p>
            <w:pPr>
              <w:spacing w:after="0"/>
              <w:rPr>
                <w:sz w:val="22"/>
                <w:szCs w:val="22"/>
                <w:color w:val="auto"/>
              </w:rPr>
            </w:pPr>
          </w:p>
        </w:tc>
        <w:tc>
          <w:tcPr>
            <w:tcW w:w="1220" w:type="dxa"/>
            <w:vAlign w:val="bottom"/>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37"/>
        </w:trPr>
        <w:tc>
          <w:tcPr>
            <w:tcW w:w="43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r>
      <w:tr>
        <w:trPr>
          <w:trHeight w:val="256"/>
        </w:trPr>
        <w:tc>
          <w:tcPr>
            <w:tcW w:w="4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Registered investment companies</w:t>
            </w:r>
          </w:p>
        </w:tc>
        <w:tc>
          <w:tcPr>
            <w:tcW w:w="3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235,236,175</w:t>
            </w:r>
          </w:p>
        </w:tc>
        <w:tc>
          <w:tcPr>
            <w:tcW w:w="4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235,236,175</w:t>
            </w:r>
          </w:p>
        </w:tc>
      </w:tr>
      <w:tr>
        <w:trPr>
          <w:trHeight w:val="257"/>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Company common stock fund</w:t>
            </w:r>
          </w:p>
        </w:tc>
        <w:tc>
          <w:tcPr>
            <w:tcW w:w="3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16,136,083</w:t>
            </w: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16,136,083</w:t>
            </w:r>
          </w:p>
        </w:tc>
      </w:tr>
      <w:tr>
        <w:trPr>
          <w:trHeight w:val="196"/>
        </w:trPr>
        <w:tc>
          <w:tcPr>
            <w:tcW w:w="43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317"/>
        </w:trPr>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Total assets in fair value hierarchy</w:t>
            </w:r>
          </w:p>
        </w:tc>
        <w:tc>
          <w:tcPr>
            <w:tcW w:w="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251,372,258</w:t>
            </w: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251,372,258</w:t>
            </w:r>
          </w:p>
        </w:tc>
      </w:tr>
      <w:tr>
        <w:trPr>
          <w:trHeight w:val="163"/>
        </w:trPr>
        <w:tc>
          <w:tcPr>
            <w:tcW w:w="438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r>
      <w:tr>
        <w:trPr>
          <w:trHeight w:val="25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Investments measured at net asset value (a)</w:t>
            </w:r>
          </w:p>
        </w:tc>
        <w:tc>
          <w:tcPr>
            <w:tcW w:w="3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35,877,254</w:t>
            </w:r>
          </w:p>
        </w:tc>
      </w:tr>
      <w:tr>
        <w:trPr>
          <w:trHeight w:val="216"/>
        </w:trPr>
        <w:tc>
          <w:tcPr>
            <w:tcW w:w="4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81"/>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Investments at fair value</w:t>
            </w:r>
          </w:p>
        </w:tc>
        <w:tc>
          <w:tcPr>
            <w:tcW w:w="3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287,249,512</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left="980" w:hanging="324"/>
        <w:spacing w:after="0" w:line="261" w:lineRule="auto"/>
        <w:tabs>
          <w:tab w:leader="none" w:pos="97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Certain investments that were measured at net asset value ("NAV") per share (or its equivalent) have not been classified in the fair value hierarchy. The amounts presented in this table are intended to permit reconciliation of the fair value hierarchy to the line items presented in the Statements of Net Assets Available for Benefits.</w:t>
      </w:r>
    </w:p>
    <w:p>
      <w:pPr>
        <w:spacing w:after="0" w:line="19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following is a description of the valuation methodologies used for assets measured at fair value. There have been no changes in the methodologies used at December 31, 2024 and 2023.</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Registered investment companies are valued at the daily closing price as reported by the fund, which represents the NAV of shares held by the Plan at year end. Mutual funds held by the Plan are open-end mutual funds that are registered with the U.S. Securities and Exchange Commission. These funds are required to publish their daily NAV and to transact at that price. The mutual funds held by the Plan are deemed to be actively traded.</w:t>
      </w:r>
    </w:p>
    <w:p>
      <w:pPr>
        <w:spacing w:after="0" w:line="21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fair value of the Company's common stock fund is measured at the closing price reported on the active market on which the security held by the fund is traded.</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Vanguard Retirement Savings Trust III is a collective trust fund that is valued at the NAV of the units of the collective trust fund held by the Plan at year end times the respective unit value. The NAV, as provided by the trustee, is used as a practical expedient to estimate fair value. The NAV of the collective trust fund is based upon significant observable inputs, although it is not based upon quoted market prices in an active market. The collective trust fund’s investment objective is to seek the preservation of capital and to provide a competitive level of income over time that is consistent with the preservation of capital. To achieve its investment objective, the collective trust fund invests in assets</w:t>
      </w:r>
    </w:p>
    <w:p>
      <w:pPr>
        <w:sectPr>
          <w:pgSz w:w="11900" w:h="16838" w:orient="portrait"/>
          <w:cols w:equalWidth="0" w:num="1">
            <w:col w:w="11240"/>
          </w:cols>
          <w:pgMar w:left="320" w:top="975" w:right="3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975"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7722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(typically contracts issued by insurance companies and banks, synthetic investment contracts, and short term investments) and enters into “wrapper” contracts issued by third-parties and invests in cash equivalents represented by shares in a money market fund. The collective trust fund invests solely in the Vanguard Retirement Savings Master Trust (the “VRST Master Trust”) and is allocated net investment income based on its ownership percentage in the master trust. The underlying investments of the VRST Master Trust are primarily in a pool of investment contracts that are issued by insurance companies and commercial banks and in contracts that are backed by bond funds.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Investments Measured Using NAV per Share Practical Expedient</w:t>
      </w:r>
    </w:p>
    <w:p>
      <w:pPr>
        <w:spacing w:after="0" w:line="2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following table summarizes investments for which fair value is measured using NAV per share practical expedient as of December 31, 2024 and 2023. There are no participant redemption restrictions for these investments; the redemption notice period is applicable only to the Plan.</w:t>
      </w:r>
    </w:p>
    <w:p>
      <w:pPr>
        <w:spacing w:after="0" w:line="319" w:lineRule="exact"/>
        <w:rPr>
          <w:sz w:val="20"/>
          <w:szCs w:val="20"/>
          <w:color w:val="auto"/>
        </w:rPr>
      </w:pPr>
    </w:p>
    <w:tbl>
      <w:tblPr>
        <w:tblLayout w:type="fixed"/>
        <w:tblInd w:w="500" w:type="dxa"/>
        <w:tblCellMar>
          <w:top w:w="0" w:type="dxa"/>
          <w:left w:w="0" w:type="dxa"/>
          <w:bottom w:w="0" w:type="dxa"/>
          <w:right w:w="0" w:type="dxa"/>
        </w:tblCellMar>
      </w:tblPr>
      <w:tr>
        <w:trPr>
          <w:trHeight w:val="266"/>
        </w:trPr>
        <w:tc>
          <w:tcPr>
            <w:tcW w:w="39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314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16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3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1620" w:type="dxa"/>
            <w:vAlign w:val="bottom"/>
          </w:tcPr>
          <w:p>
            <w:pPr>
              <w:jc w:val="center"/>
              <w:spacing w:after="0" w:line="186" w:lineRule="exact"/>
              <w:rPr>
                <w:sz w:val="20"/>
                <w:szCs w:val="20"/>
                <w:color w:val="auto"/>
              </w:rPr>
            </w:pPr>
            <w:r>
              <w:rPr>
                <w:rFonts w:ascii="Times New Roman" w:cs="Times New Roman" w:eastAsia="Times New Roman" w:hAnsi="Times New Roman"/>
                <w:sz w:val="20"/>
                <w:szCs w:val="20"/>
                <w:b w:val="1"/>
                <w:bCs w:val="1"/>
                <w:color w:val="auto"/>
                <w:w w:val="98"/>
              </w:rPr>
              <w:t>Unfunded</w:t>
            </w:r>
          </w:p>
        </w:tc>
        <w:tc>
          <w:tcPr>
            <w:tcW w:w="1520" w:type="dxa"/>
            <w:vAlign w:val="bottom"/>
          </w:tcPr>
          <w:p>
            <w:pPr>
              <w:jc w:val="center"/>
              <w:spacing w:after="0" w:line="186" w:lineRule="exact"/>
              <w:rPr>
                <w:sz w:val="20"/>
                <w:szCs w:val="20"/>
                <w:color w:val="auto"/>
              </w:rPr>
            </w:pPr>
            <w:r>
              <w:rPr>
                <w:rFonts w:ascii="Times New Roman" w:cs="Times New Roman" w:eastAsia="Times New Roman" w:hAnsi="Times New Roman"/>
                <w:sz w:val="20"/>
                <w:szCs w:val="20"/>
                <w:b w:val="1"/>
                <w:bCs w:val="1"/>
                <w:color w:val="auto"/>
                <w:w w:val="97"/>
              </w:rPr>
              <w:t>Redemption</w:t>
            </w:r>
          </w:p>
        </w:tc>
        <w:tc>
          <w:tcPr>
            <w:tcW w:w="1600" w:type="dxa"/>
            <w:vAlign w:val="bottom"/>
          </w:tcPr>
          <w:p>
            <w:pPr>
              <w:jc w:val="center"/>
              <w:spacing w:after="0" w:line="186" w:lineRule="exact"/>
              <w:rPr>
                <w:sz w:val="20"/>
                <w:szCs w:val="20"/>
                <w:color w:val="auto"/>
              </w:rPr>
            </w:pPr>
            <w:r>
              <w:rPr>
                <w:rFonts w:ascii="Times New Roman" w:cs="Times New Roman" w:eastAsia="Times New Roman" w:hAnsi="Times New Roman"/>
                <w:sz w:val="20"/>
                <w:szCs w:val="20"/>
                <w:b w:val="1"/>
                <w:bCs w:val="1"/>
                <w:color w:val="auto"/>
                <w:w w:val="97"/>
              </w:rPr>
              <w:t>Redemption</w:t>
            </w:r>
          </w:p>
        </w:tc>
        <w:tc>
          <w:tcPr>
            <w:tcW w:w="0" w:type="dxa"/>
            <w:vAlign w:val="bottom"/>
          </w:tcPr>
          <w:p>
            <w:pPr>
              <w:spacing w:after="0"/>
              <w:rPr>
                <w:sz w:val="1"/>
                <w:szCs w:val="1"/>
                <w:color w:val="auto"/>
              </w:rPr>
            </w:pPr>
          </w:p>
        </w:tc>
      </w:tr>
      <w:tr>
        <w:trPr>
          <w:trHeight w:val="257"/>
        </w:trPr>
        <w:tc>
          <w:tcPr>
            <w:tcW w:w="3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vMerge w:val="continue"/>
          </w:tcPr>
          <w:p>
            <w:pPr>
              <w:spacing w:after="0"/>
              <w:rPr>
                <w:sz w:val="22"/>
                <w:szCs w:val="2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Commitments</w:t>
            </w: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Frequency</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Notice Period</w:t>
            </w:r>
          </w:p>
        </w:tc>
        <w:tc>
          <w:tcPr>
            <w:tcW w:w="0" w:type="dxa"/>
            <w:vAlign w:val="bottom"/>
          </w:tcPr>
          <w:p>
            <w:pPr>
              <w:spacing w:after="0"/>
              <w:rPr>
                <w:sz w:val="1"/>
                <w:szCs w:val="1"/>
                <w:color w:val="auto"/>
              </w:rPr>
            </w:pPr>
          </w:p>
        </w:tc>
      </w:tr>
      <w:tr>
        <w:trPr>
          <w:trHeight w:val="257"/>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Vanguard Retirement Savings Trust III</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32,690,815</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Daily</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0" w:type="dxa"/>
            <w:vAlign w:val="bottom"/>
          </w:tcPr>
          <w:p>
            <w:pPr>
              <w:spacing w:after="0"/>
              <w:rPr>
                <w:sz w:val="1"/>
                <w:szCs w:val="1"/>
                <w:color w:val="auto"/>
              </w:rPr>
            </w:pPr>
          </w:p>
        </w:tc>
      </w:tr>
      <w:tr>
        <w:trPr>
          <w:trHeight w:val="523"/>
        </w:trPr>
        <w:tc>
          <w:tcPr>
            <w:tcW w:w="3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1620" w:type="dxa"/>
            <w:vAlign w:val="bottom"/>
          </w:tcPr>
          <w:p>
            <w:pPr>
              <w:jc w:val="center"/>
              <w:spacing w:after="0" w:line="186" w:lineRule="exact"/>
              <w:rPr>
                <w:sz w:val="20"/>
                <w:szCs w:val="20"/>
                <w:color w:val="auto"/>
              </w:rPr>
            </w:pPr>
            <w:r>
              <w:rPr>
                <w:rFonts w:ascii="Times New Roman" w:cs="Times New Roman" w:eastAsia="Times New Roman" w:hAnsi="Times New Roman"/>
                <w:sz w:val="20"/>
                <w:szCs w:val="20"/>
                <w:b w:val="1"/>
                <w:bCs w:val="1"/>
                <w:color w:val="auto"/>
                <w:w w:val="98"/>
              </w:rPr>
              <w:t>Unfunded</w:t>
            </w:r>
          </w:p>
        </w:tc>
        <w:tc>
          <w:tcPr>
            <w:tcW w:w="1520" w:type="dxa"/>
            <w:vAlign w:val="bottom"/>
          </w:tcPr>
          <w:p>
            <w:pPr>
              <w:jc w:val="center"/>
              <w:spacing w:after="0" w:line="186" w:lineRule="exact"/>
              <w:rPr>
                <w:sz w:val="20"/>
                <w:szCs w:val="20"/>
                <w:color w:val="auto"/>
              </w:rPr>
            </w:pPr>
            <w:r>
              <w:rPr>
                <w:rFonts w:ascii="Times New Roman" w:cs="Times New Roman" w:eastAsia="Times New Roman" w:hAnsi="Times New Roman"/>
                <w:sz w:val="20"/>
                <w:szCs w:val="20"/>
                <w:b w:val="1"/>
                <w:bCs w:val="1"/>
                <w:color w:val="auto"/>
                <w:w w:val="97"/>
              </w:rPr>
              <w:t>Redemption</w:t>
            </w:r>
          </w:p>
        </w:tc>
        <w:tc>
          <w:tcPr>
            <w:tcW w:w="1600" w:type="dxa"/>
            <w:vAlign w:val="bottom"/>
          </w:tcPr>
          <w:p>
            <w:pPr>
              <w:jc w:val="center"/>
              <w:spacing w:after="0" w:line="186" w:lineRule="exact"/>
              <w:rPr>
                <w:sz w:val="20"/>
                <w:szCs w:val="20"/>
                <w:color w:val="auto"/>
              </w:rPr>
            </w:pPr>
            <w:r>
              <w:rPr>
                <w:rFonts w:ascii="Times New Roman" w:cs="Times New Roman" w:eastAsia="Times New Roman" w:hAnsi="Times New Roman"/>
                <w:sz w:val="20"/>
                <w:szCs w:val="20"/>
                <w:b w:val="1"/>
                <w:bCs w:val="1"/>
                <w:color w:val="auto"/>
                <w:w w:val="97"/>
              </w:rPr>
              <w:t>Redemption</w:t>
            </w:r>
          </w:p>
        </w:tc>
        <w:tc>
          <w:tcPr>
            <w:tcW w:w="0" w:type="dxa"/>
            <w:vAlign w:val="bottom"/>
          </w:tcPr>
          <w:p>
            <w:pPr>
              <w:spacing w:after="0"/>
              <w:rPr>
                <w:sz w:val="1"/>
                <w:szCs w:val="1"/>
                <w:color w:val="auto"/>
              </w:rPr>
            </w:pPr>
          </w:p>
        </w:tc>
      </w:tr>
      <w:tr>
        <w:trPr>
          <w:trHeight w:val="256"/>
        </w:trPr>
        <w:tc>
          <w:tcPr>
            <w:tcW w:w="3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vMerge w:val="continue"/>
          </w:tcPr>
          <w:p>
            <w:pPr>
              <w:spacing w:after="0"/>
              <w:rPr>
                <w:sz w:val="22"/>
                <w:szCs w:val="2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Commitments</w:t>
            </w: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Frequency</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Notice Period</w:t>
            </w:r>
          </w:p>
        </w:tc>
        <w:tc>
          <w:tcPr>
            <w:tcW w:w="0" w:type="dxa"/>
            <w:vAlign w:val="bottom"/>
          </w:tcPr>
          <w:p>
            <w:pPr>
              <w:spacing w:after="0"/>
              <w:rPr>
                <w:sz w:val="1"/>
                <w:szCs w:val="1"/>
                <w:color w:val="auto"/>
              </w:rPr>
            </w:pPr>
          </w:p>
        </w:tc>
      </w:tr>
      <w:tr>
        <w:trPr>
          <w:trHeight w:val="257"/>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Vanguard Retirement Savings Trust III</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35,877,254</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Daily</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 RELATED PARTY TRANSACTIONS</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Plan participants invest in shares of registered investment companies and a collective trust fund managed by affiliates of VFTC. VFTC acts as trustee for investments of the Plan. Plan assets managed by affiliates of VFTC were $273,501,730 and $242,466,054 as of December 31, 2024 and 2023, respectively. Transactions in these investments qualify as party-in-interest transactions and are exempt from the prohibited transaction rules.</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Plan participants also invest in shares of the Company’s common stock through the Crown Holdings, Inc. Stock Fund. The Company’s common stock fund held 178,753 and 175,220 shares of Crown Holdings, Inc. common stock representing 4.7% and 5.5% of Plan assets as of December 31, 2024 and 2023, respectively. For the years ended December 31, 2024 and 2023, the Company common stock fund had purchases of $2,980,703 and $3,007,149, respectively, and sales of $3,027,603 and $4,278,463, respectively. Dividend income from the Company’s common stock fund totaled $180,587 and $173,919 for the years ended December 31, 2024 and 2023, respectively. The Plan also issues loans to participants, which are secured by the balances in the respective participant accounts. Transactions in such investments and notes receivable from participants qualify as party-in-interest transactions and are exempt from the prohibited transaction rules.</w:t>
      </w:r>
    </w:p>
    <w:p>
      <w:pPr>
        <w:spacing w:after="0" w:line="301"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20"/>
          <w:szCs w:val="20"/>
          <w:color w:val="auto"/>
        </w:rPr>
        <w:t>Certain administrative functions of the Plan are performed by officers or employees of the Company. No such officer or employee receives compensation from the Plan.</w:t>
      </w:r>
    </w:p>
    <w:p>
      <w:pPr>
        <w:sectPr>
          <w:pgSz w:w="11900" w:h="16838" w:orient="portrait"/>
          <w:cols w:equalWidth="0" w:num="1">
            <w:col w:w="11240"/>
          </w:cols>
          <w:pgMar w:left="320" w:top="8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880"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7722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 TAX STATUS</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IRS determined and informed the Company by letter dated August 19, 2015 that the Plan was qualified under Internal Revenue Code (“IRC”) Section 401(k). The Company believes the Plan is designed and is currently being operated in compliance with the applicable requirements of the IRC and therefore, believes that the Plan is qualified, and the related trust is tax exempt.</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Accounting principles generally accepted in the United States of America require Plan management to evaluate tax positions taken by the Plan and recognize a tax liability if the organization has taken an uncertain position that more likely than not would not be sustained upon examination by the IRS. The Plan is subject to routine audits by taxing jurisdictions; however, there are currently no audits for any tax periods in progress.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RISKS AND UNCERTAINTIES</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Investment securities,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such changes could materially affect participants’ account balances and the amounts reported in the Statements of Net Assets Available for Benefits.</w:t>
      </w:r>
    </w:p>
    <w:p>
      <w:pPr>
        <w:spacing w:after="0" w:line="19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As of December 31, 2024 and 2023, the Plan had investments of $111,961,586 and $101,908,377, respectively, that were concentrated in two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880" w:right="33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Supplemental Information</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Required for Form 5500</w:t>
      </w:r>
    </w:p>
    <w:p>
      <w:pPr>
        <w:sectPr>
          <w:pgSz w:w="11900" w:h="16838" w:orient="portrait"/>
          <w:cols w:equalWidth="0" w:num="1">
            <w:col w:w="9019"/>
          </w:cols>
          <w:pgMar w:left="1440" w:top="1440"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color w:val="auto"/>
        </w:rPr>
        <w:t>CROWN CORK &amp; SEAL COMPANY, INC. 401(k) RETIREMENT SAVINGS PLAN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H, Line 4i - Schedule of Assets (Held at End of Year)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68751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75145" cy="1714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Crown Cork &amp; Seal Company, Inc. 401(k) Retirement Savings Plan</w:t>
      </w:r>
    </w:p>
    <w:p>
      <w:pPr>
        <w:spacing w:after="0"/>
        <w:rPr>
          <w:sz w:val="20"/>
          <w:szCs w:val="20"/>
          <w:color w:val="auto"/>
        </w:rPr>
      </w:pPr>
      <w:r>
        <w:rPr>
          <w:rFonts w:ascii="Times New Roman" w:cs="Times New Roman" w:eastAsia="Times New Roman" w:hAnsi="Times New Roman"/>
          <w:sz w:val="18"/>
          <w:szCs w:val="18"/>
          <w:color w:val="auto"/>
        </w:rPr>
        <w:t>EIN 23-1526444 Plan No. 100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5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b w:val="1"/>
                <w:bCs w:val="1"/>
                <w:color w:val="auto"/>
              </w:rPr>
              <w:t>Identity of Participant-Directed Issues</w:t>
            </w:r>
          </w:p>
        </w:tc>
        <w:tc>
          <w:tcPr>
            <w:tcW w:w="45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20"/>
                <w:szCs w:val="20"/>
                <w:b w:val="1"/>
                <w:bCs w:val="1"/>
                <w:color w:val="auto"/>
              </w:rPr>
              <w:t>Investment Type</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Current Value</w:t>
            </w:r>
          </w:p>
        </w:tc>
        <w:tc>
          <w:tcPr>
            <w:tcW w:w="0" w:type="dxa"/>
            <w:vAlign w:val="bottom"/>
          </w:tcPr>
          <w:p>
            <w:pPr>
              <w:spacing w:after="0"/>
              <w:rPr>
                <w:sz w:val="1"/>
                <w:szCs w:val="1"/>
                <w:color w:val="auto"/>
              </w:rPr>
            </w:pPr>
          </w:p>
        </w:tc>
      </w:tr>
      <w:tr>
        <w:trPr>
          <w:trHeight w:val="257"/>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Baird Core Plus Bond Fund</w:t>
            </w: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8,417,387</w:t>
            </w:r>
          </w:p>
        </w:tc>
        <w:tc>
          <w:tcPr>
            <w:tcW w:w="0" w:type="dxa"/>
            <w:vAlign w:val="bottom"/>
          </w:tcPr>
          <w:p>
            <w:pPr>
              <w:spacing w:after="0"/>
              <w:rPr>
                <w:sz w:val="1"/>
                <w:szCs w:val="1"/>
                <w:color w:val="auto"/>
              </w:rPr>
            </w:pPr>
          </w:p>
        </w:tc>
      </w:tr>
      <w:tr>
        <w:trPr>
          <w:trHeight w:val="257"/>
        </w:trPr>
        <w:tc>
          <w:tcPr>
            <w:tcW w:w="5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DFA Emerging Markets Core Equity Portfolio</w:t>
            </w:r>
          </w:p>
        </w:tc>
        <w:tc>
          <w:tcPr>
            <w:tcW w:w="45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564,729</w:t>
            </w:r>
          </w:p>
        </w:tc>
        <w:tc>
          <w:tcPr>
            <w:tcW w:w="0" w:type="dxa"/>
            <w:vAlign w:val="bottom"/>
          </w:tcPr>
          <w:p>
            <w:pPr>
              <w:spacing w:after="0"/>
              <w:rPr>
                <w:sz w:val="1"/>
                <w:szCs w:val="1"/>
                <w:color w:val="auto"/>
              </w:rPr>
            </w:pPr>
          </w:p>
        </w:tc>
      </w:tr>
      <w:tr>
        <w:trPr>
          <w:trHeight w:val="257"/>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DFA US Targeted Value Portfolio</w:t>
            </w: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1,452,357</w:t>
            </w:r>
          </w:p>
        </w:tc>
        <w:tc>
          <w:tcPr>
            <w:tcW w:w="0" w:type="dxa"/>
            <w:vAlign w:val="bottom"/>
          </w:tcPr>
          <w:p>
            <w:pPr>
              <w:spacing w:after="0"/>
              <w:rPr>
                <w:sz w:val="1"/>
                <w:szCs w:val="1"/>
                <w:color w:val="auto"/>
              </w:rPr>
            </w:pPr>
          </w:p>
        </w:tc>
      </w:tr>
      <w:tr>
        <w:trPr>
          <w:trHeight w:val="256"/>
        </w:trPr>
        <w:tc>
          <w:tcPr>
            <w:tcW w:w="5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Fidelity Small Cap Growth Fund</w:t>
            </w:r>
          </w:p>
        </w:tc>
        <w:tc>
          <w:tcPr>
            <w:tcW w:w="45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12,122,471</w:t>
            </w:r>
          </w:p>
        </w:tc>
        <w:tc>
          <w:tcPr>
            <w:tcW w:w="0" w:type="dxa"/>
            <w:vAlign w:val="bottom"/>
          </w:tcPr>
          <w:p>
            <w:pPr>
              <w:spacing w:after="0"/>
              <w:rPr>
                <w:sz w:val="1"/>
                <w:szCs w:val="1"/>
                <w:color w:val="auto"/>
              </w:rPr>
            </w:pPr>
          </w:p>
        </w:tc>
      </w:tr>
      <w:tr>
        <w:trPr>
          <w:trHeight w:val="257"/>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T. Rowe Price International Discovery Fund</w:t>
            </w: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438,548</w:t>
            </w: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Developed Markets Index Fund</w:t>
            </w:r>
          </w:p>
        </w:tc>
        <w:tc>
          <w:tcPr>
            <w:tcW w:w="45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12,845,160</w:t>
            </w:r>
          </w:p>
        </w:tc>
        <w:tc>
          <w:tcPr>
            <w:tcW w:w="0" w:type="dxa"/>
            <w:vAlign w:val="bottom"/>
          </w:tcPr>
          <w:p>
            <w:pPr>
              <w:spacing w:after="0"/>
              <w:rPr>
                <w:sz w:val="1"/>
                <w:szCs w:val="1"/>
                <w:color w:val="auto"/>
              </w:rPr>
            </w:pPr>
          </w:p>
        </w:tc>
      </w:tr>
      <w:tr>
        <w:trPr>
          <w:trHeight w:val="257"/>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International Growth Fund</w:t>
            </w: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8,572,069</w:t>
            </w: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Russell 1000 Growth Index Fund</w:t>
            </w:r>
          </w:p>
        </w:tc>
        <w:tc>
          <w:tcPr>
            <w:tcW w:w="45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10,232,850</w:t>
            </w:r>
          </w:p>
        </w:tc>
        <w:tc>
          <w:tcPr>
            <w:tcW w:w="0" w:type="dxa"/>
            <w:vAlign w:val="bottom"/>
          </w:tcPr>
          <w:p>
            <w:pPr>
              <w:spacing w:after="0"/>
              <w:rPr>
                <w:sz w:val="1"/>
                <w:szCs w:val="1"/>
                <w:color w:val="auto"/>
              </w:rPr>
            </w:pPr>
          </w:p>
        </w:tc>
      </w:tr>
      <w:tr>
        <w:trPr>
          <w:trHeight w:val="257"/>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Cash Reserve Federal Money Market Fund</w:t>
            </w: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204,434</w:t>
            </w: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2020 Fund</w:t>
            </w:r>
          </w:p>
        </w:tc>
        <w:tc>
          <w:tcPr>
            <w:tcW w:w="45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2,621,244</w:t>
            </w:r>
          </w:p>
        </w:tc>
        <w:tc>
          <w:tcPr>
            <w:tcW w:w="0" w:type="dxa"/>
            <w:vAlign w:val="bottom"/>
          </w:tcPr>
          <w:p>
            <w:pPr>
              <w:spacing w:after="0"/>
              <w:rPr>
                <w:sz w:val="1"/>
                <w:szCs w:val="1"/>
                <w:color w:val="auto"/>
              </w:rPr>
            </w:pPr>
          </w:p>
        </w:tc>
      </w:tr>
      <w:tr>
        <w:trPr>
          <w:trHeight w:val="257"/>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2025 Fund</w:t>
            </w: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11,583,175</w:t>
            </w: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2030 Fund</w:t>
            </w:r>
          </w:p>
        </w:tc>
        <w:tc>
          <w:tcPr>
            <w:tcW w:w="45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13,850,790</w:t>
            </w:r>
          </w:p>
        </w:tc>
        <w:tc>
          <w:tcPr>
            <w:tcW w:w="0" w:type="dxa"/>
            <w:vAlign w:val="bottom"/>
          </w:tcPr>
          <w:p>
            <w:pPr>
              <w:spacing w:after="0"/>
              <w:rPr>
                <w:sz w:val="1"/>
                <w:szCs w:val="1"/>
                <w:color w:val="auto"/>
              </w:rPr>
            </w:pPr>
          </w:p>
        </w:tc>
      </w:tr>
      <w:tr>
        <w:trPr>
          <w:trHeight w:val="25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2035 Fund</w:t>
            </w: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15,946,734</w:t>
            </w: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2040 Fund</w:t>
            </w:r>
          </w:p>
        </w:tc>
        <w:tc>
          <w:tcPr>
            <w:tcW w:w="45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9,804,196</w:t>
            </w:r>
          </w:p>
        </w:tc>
        <w:tc>
          <w:tcPr>
            <w:tcW w:w="0" w:type="dxa"/>
            <w:vAlign w:val="bottom"/>
          </w:tcPr>
          <w:p>
            <w:pPr>
              <w:spacing w:after="0"/>
              <w:rPr>
                <w:sz w:val="1"/>
                <w:szCs w:val="1"/>
                <w:color w:val="auto"/>
              </w:rPr>
            </w:pPr>
          </w:p>
        </w:tc>
      </w:tr>
      <w:tr>
        <w:trPr>
          <w:trHeight w:val="257"/>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2045 Fund</w:t>
            </w: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12,086,674</w:t>
            </w: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2050 Fund</w:t>
            </w:r>
          </w:p>
        </w:tc>
        <w:tc>
          <w:tcPr>
            <w:tcW w:w="45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8,873,882</w:t>
            </w:r>
          </w:p>
        </w:tc>
        <w:tc>
          <w:tcPr>
            <w:tcW w:w="0" w:type="dxa"/>
            <w:vAlign w:val="bottom"/>
          </w:tcPr>
          <w:p>
            <w:pPr>
              <w:spacing w:after="0"/>
              <w:rPr>
                <w:sz w:val="1"/>
                <w:szCs w:val="1"/>
                <w:color w:val="auto"/>
              </w:rPr>
            </w:pPr>
          </w:p>
        </w:tc>
      </w:tr>
      <w:tr>
        <w:trPr>
          <w:trHeight w:val="25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2055 Fund</w:t>
            </w: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9,994,399</w:t>
            </w: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2060 Fund</w:t>
            </w:r>
          </w:p>
        </w:tc>
        <w:tc>
          <w:tcPr>
            <w:tcW w:w="45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2,994,026</w:t>
            </w:r>
          </w:p>
        </w:tc>
        <w:tc>
          <w:tcPr>
            <w:tcW w:w="0" w:type="dxa"/>
            <w:vAlign w:val="bottom"/>
          </w:tcPr>
          <w:p>
            <w:pPr>
              <w:spacing w:after="0"/>
              <w:rPr>
                <w:sz w:val="1"/>
                <w:szCs w:val="1"/>
                <w:color w:val="auto"/>
              </w:rPr>
            </w:pPr>
          </w:p>
        </w:tc>
      </w:tr>
      <w:tr>
        <w:trPr>
          <w:trHeight w:val="257"/>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2065 Fund</w:t>
            </w: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1,734,832</w:t>
            </w: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2070 Fund</w:t>
            </w:r>
          </w:p>
        </w:tc>
        <w:tc>
          <w:tcPr>
            <w:tcW w:w="45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132,855</w:t>
            </w:r>
          </w:p>
        </w:tc>
        <w:tc>
          <w:tcPr>
            <w:tcW w:w="0" w:type="dxa"/>
            <w:vAlign w:val="bottom"/>
          </w:tcPr>
          <w:p>
            <w:pPr>
              <w:spacing w:after="0"/>
              <w:rPr>
                <w:sz w:val="1"/>
                <w:szCs w:val="1"/>
                <w:color w:val="auto"/>
              </w:rPr>
            </w:pPr>
          </w:p>
        </w:tc>
      </w:tr>
      <w:tr>
        <w:trPr>
          <w:trHeight w:val="25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Income Fund</w:t>
            </w: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5,488,062</w:t>
            </w: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Total Bond Market Index Fund</w:t>
            </w:r>
          </w:p>
        </w:tc>
        <w:tc>
          <w:tcPr>
            <w:tcW w:w="45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12,058,138</w:t>
            </w:r>
          </w:p>
        </w:tc>
        <w:tc>
          <w:tcPr>
            <w:tcW w:w="0" w:type="dxa"/>
            <w:vAlign w:val="bottom"/>
          </w:tcPr>
          <w:p>
            <w:pPr>
              <w:spacing w:after="0"/>
              <w:rPr>
                <w:sz w:val="1"/>
                <w:szCs w:val="1"/>
                <w:color w:val="auto"/>
              </w:rPr>
            </w:pPr>
          </w:p>
        </w:tc>
      </w:tr>
      <w:tr>
        <w:trPr>
          <w:trHeight w:val="25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Total Stock Market Index Fund</w:t>
            </w: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79,270,771</w:t>
            </w: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Wellington Fund</w:t>
            </w:r>
          </w:p>
        </w:tc>
        <w:tc>
          <w:tcPr>
            <w:tcW w:w="45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14,614,513</w:t>
            </w:r>
          </w:p>
        </w:tc>
        <w:tc>
          <w:tcPr>
            <w:tcW w:w="0" w:type="dxa"/>
            <w:vAlign w:val="bottom"/>
          </w:tcPr>
          <w:p>
            <w:pPr>
              <w:spacing w:after="0"/>
              <w:rPr>
                <w:sz w:val="1"/>
                <w:szCs w:val="1"/>
                <w:color w:val="auto"/>
              </w:rPr>
            </w:pPr>
          </w:p>
        </w:tc>
      </w:tr>
      <w:tr>
        <w:trPr>
          <w:trHeight w:val="25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Windsor II Fund</w:t>
            </w: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7,902,111</w:t>
            </w: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Retirement Savings Trust III</w:t>
            </w:r>
          </w:p>
        </w:tc>
        <w:tc>
          <w:tcPr>
            <w:tcW w:w="45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Collective Investment Trust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32,690,815</w:t>
            </w:r>
          </w:p>
        </w:tc>
        <w:tc>
          <w:tcPr>
            <w:tcW w:w="0" w:type="dxa"/>
            <w:vAlign w:val="bottom"/>
          </w:tcPr>
          <w:p>
            <w:pPr>
              <w:spacing w:after="0"/>
              <w:rPr>
                <w:sz w:val="1"/>
                <w:szCs w:val="1"/>
                <w:color w:val="auto"/>
              </w:rPr>
            </w:pPr>
          </w:p>
        </w:tc>
      </w:tr>
      <w:tr>
        <w:trPr>
          <w:trHeight w:val="25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Crown Holdings, Inc. Stock Fund</w:t>
            </w: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20"/>
                <w:szCs w:val="20"/>
                <w:color w:val="auto"/>
              </w:rPr>
              <w:t>Common Stock Fund</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14,781,046</w:t>
            </w:r>
          </w:p>
        </w:tc>
        <w:tc>
          <w:tcPr>
            <w:tcW w:w="0" w:type="dxa"/>
            <w:vAlign w:val="bottom"/>
          </w:tcPr>
          <w:p>
            <w:pPr>
              <w:spacing w:after="0"/>
              <w:rPr>
                <w:sz w:val="1"/>
                <w:szCs w:val="1"/>
                <w:color w:val="auto"/>
              </w:rPr>
            </w:pPr>
          </w:p>
        </w:tc>
      </w:tr>
      <w:tr>
        <w:trPr>
          <w:trHeight w:val="189"/>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Notes receivable from participants</w:t>
            </w:r>
          </w:p>
        </w:tc>
        <w:tc>
          <w:tcPr>
            <w:tcW w:w="4500" w:type="dxa"/>
            <w:vAlign w:val="bottom"/>
          </w:tcPr>
          <w:p>
            <w:pPr>
              <w:ind w:left="620"/>
              <w:spacing w:after="0" w:line="189" w:lineRule="exact"/>
              <w:rPr>
                <w:sz w:val="20"/>
                <w:szCs w:val="20"/>
                <w:color w:val="auto"/>
              </w:rPr>
            </w:pPr>
            <w:r>
              <w:rPr>
                <w:rFonts w:ascii="Times New Roman" w:cs="Times New Roman" w:eastAsia="Times New Roman" w:hAnsi="Times New Roman"/>
                <w:sz w:val="20"/>
                <w:szCs w:val="20"/>
                <w:color w:val="auto"/>
              </w:rPr>
              <w:t>Interest rates: 4.25% - 9.50%,</w:t>
            </w:r>
          </w:p>
        </w:tc>
        <w:tc>
          <w:tcPr>
            <w:tcW w:w="18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5,506,332</w:t>
            </w:r>
          </w:p>
        </w:tc>
        <w:tc>
          <w:tcPr>
            <w:tcW w:w="0" w:type="dxa"/>
            <w:vAlign w:val="bottom"/>
          </w:tcPr>
          <w:p>
            <w:pPr>
              <w:spacing w:after="0"/>
              <w:rPr>
                <w:sz w:val="1"/>
                <w:szCs w:val="1"/>
                <w:color w:val="auto"/>
              </w:rPr>
            </w:pPr>
          </w:p>
        </w:tc>
      </w:tr>
      <w:tr>
        <w:trPr>
          <w:trHeight w:val="257"/>
        </w:trPr>
        <w:tc>
          <w:tcPr>
            <w:tcW w:w="5000" w:type="dxa"/>
            <w:vAlign w:val="bottom"/>
            <w:tcBorders>
              <w:bottom w:val="single" w:sz="8" w:color="CCEEFF"/>
            </w:tcBorders>
            <w:vMerge w:val="continue"/>
          </w:tcPr>
          <w:p>
            <w:pPr>
              <w:spacing w:after="0"/>
              <w:rPr>
                <w:sz w:val="22"/>
                <w:szCs w:val="22"/>
                <w:color w:val="auto"/>
              </w:rPr>
            </w:pPr>
          </w:p>
        </w:tc>
        <w:tc>
          <w:tcPr>
            <w:tcW w:w="450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20"/>
                <w:szCs w:val="20"/>
                <w:color w:val="auto"/>
              </w:rPr>
              <w:t>maturing through May 1, 2034</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20"/>
                <w:szCs w:val="20"/>
                <w:b w:val="1"/>
                <w:bCs w:val="1"/>
                <w:color w:val="auto"/>
              </w:rPr>
              <w:t>Total Assets (Held at End of Year)</w:t>
            </w:r>
          </w:p>
        </w:tc>
        <w:tc>
          <w:tcPr>
            <w:tcW w:w="45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316,784,600</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Party-in-Interest as defined by ERISA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 column not required to be reported as all investments are participant directed.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20"/>
          </w:cols>
          <w:pgMar w:left="540" w:top="567" w:right="5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86"/>
        </w:trPr>
        <w:tc>
          <w:tcPr>
            <w:tcW w:w="22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EXHIBITS</w:t>
            </w:r>
          </w:p>
        </w:tc>
        <w:tc>
          <w:tcPr>
            <w:tcW w:w="19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68"/>
        </w:trPr>
        <w:tc>
          <w:tcPr>
            <w:tcW w:w="40" w:type="dxa"/>
            <w:vAlign w:val="bottom"/>
          </w:tcPr>
          <w:p>
            <w:pPr>
              <w:spacing w:after="0"/>
              <w:rPr>
                <w:sz w:val="24"/>
                <w:szCs w:val="24"/>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Number</w:t>
            </w:r>
          </w:p>
        </w:tc>
        <w:tc>
          <w:tcPr>
            <w:tcW w:w="5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Description of Exhibit</w:t>
            </w:r>
          </w:p>
        </w:tc>
      </w:tr>
      <w:tr>
        <w:trPr>
          <w:trHeight w:val="20"/>
        </w:trPr>
        <w:tc>
          <w:tcPr>
            <w:tcW w:w="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23</w:t>
            </w:r>
          </w:p>
        </w:tc>
        <w:tc>
          <w:tcPr>
            <w:tcW w:w="780" w:type="dxa"/>
            <w:vAlign w:val="bottom"/>
          </w:tcPr>
          <w:p>
            <w:pPr>
              <w:spacing w:after="0"/>
              <w:rPr>
                <w:sz w:val="21"/>
                <w:szCs w:val="21"/>
                <w:color w:val="auto"/>
              </w:rPr>
            </w:pPr>
          </w:p>
        </w:tc>
        <w:tc>
          <w:tcPr>
            <w:tcW w:w="5180" w:type="dxa"/>
            <w:vAlign w:val="bottom"/>
            <w:tcBorders>
              <w:bottom w:val="single" w:sz="8" w:color="0000FF"/>
            </w:tcBorders>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7"/>
              </w:rPr>
              <w:t>Consent of Independent Registered Public Accounting Firm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Benefit Plans Investment Committee has duly caused this annual report to be signed on its behalf by the undersigned hereto duly authorized.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Crown Cork &amp; Seal Company, Inc.</w:t>
      </w:r>
    </w:p>
    <w:p>
      <w:pPr>
        <w:spacing w:after="0" w:line="2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401(k) Retirement Savings Plan</w:t>
      </w:r>
    </w:p>
    <w:p>
      <w:pPr>
        <w:spacing w:after="0" w:line="200" w:lineRule="exact"/>
        <w:rPr>
          <w:sz w:val="20"/>
          <w:szCs w:val="20"/>
          <w:color w:val="auto"/>
        </w:rPr>
      </w:pPr>
    </w:p>
    <w:p>
      <w:pPr>
        <w:spacing w:after="0" w:line="345" w:lineRule="exact"/>
        <w:rPr>
          <w:sz w:val="20"/>
          <w:szCs w:val="20"/>
          <w:color w:val="auto"/>
        </w:rPr>
      </w:pPr>
    </w:p>
    <w:p>
      <w:pPr>
        <w:ind w:left="5460"/>
        <w:spacing w:after="0"/>
        <w:tabs>
          <w:tab w:leader="none" w:pos="60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Christy L. Kalaus</w:t>
      </w:r>
    </w:p>
    <w:p>
      <w:pPr>
        <w:spacing w:after="0" w:line="2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Christy L. Kalaus</w:t>
      </w:r>
    </w:p>
    <w:p>
      <w:pPr>
        <w:spacing w:after="0" w:line="1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Vice President and Corporate Controller</w:t>
      </w: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June 16, 2025</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891" w:right="339" w:bottom="1440" w:gutter="0" w:footer="0" w:header="0"/>
          <w:type w:val="continuous"/>
        </w:sectPr>
      </w:pPr>
    </w:p>
    <w:bookmarkStart w:id="14" w:name="page15"/>
    <w:bookmarkEnd w:id="14"/>
    <w:p>
      <w:pPr>
        <w:jc w:val="right"/>
        <w:spacing w:after="0"/>
        <w:rPr>
          <w:sz w:val="20"/>
          <w:szCs w:val="20"/>
          <w:color w:val="auto"/>
        </w:rPr>
      </w:pPr>
      <w:r>
        <w:rPr>
          <w:rFonts w:ascii="Times New Roman" w:cs="Times New Roman" w:eastAsia="Times New Roman" w:hAnsi="Times New Roman"/>
          <w:sz w:val="25"/>
          <w:szCs w:val="25"/>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consent to the incorporation by reference in the Registration Statement (No. 333-140991) on Form S-8 of our report dated June 16, 2025, relating to the financial statements and supplemental schedule, appearing in this Annual Report on Form 11-K of the Crown Cork &amp; Seal Company, Inc. 401(k) Retirement Savings Plan for the year ended December 31, 2024.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Whippany, New Jersey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June 16, 2025</w:t>
      </w:r>
    </w:p>
    <w:sectPr>
      <w:pgSz w:w="11900" w:h="16838" w:orient="portrait"/>
      <w:cols w:equalWidth="0" w:num="1">
        <w:col w:w="11240"/>
      </w:cols>
      <w:pgMar w:left="320" w:top="1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2025-06-16T13:49:07Z</dcterms:created>
  <dcterms:modified xsi:type="dcterms:W3CDTF">2025-06-16T13:49:07Z</dcterms:modified>
</cp:coreProperties>
</file>