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60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4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intends to offer senior unsecured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the aggregate principal amount of $500,000,000 that will be issued by Crown Americas LLC, a subsidiary of the Company.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Notes will be sold in a private placement and resold by the initial purchasers to persons reasonably believed to be qualified institutional buyers pursuant to Rule 144A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together with cash on hand and borrowings under the Company’s senior secured revolving credit facility, to repay the 4.750% senior notes due 2026, and to pay related fees and expenses.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liability of that section, and shall not be deemed incorporated by reference in any filing under the Securities Act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w:t>
      </w:r>
    </w:p>
    <w:p>
      <w:pPr>
        <w:sectPr>
          <w:pgSz w:w="11900" w:h="16838" w:orient="portrait"/>
          <w:cols w:equalWidth="0" w:num="1">
            <w:col w:w="11020"/>
          </w:cols>
          <w:pgMar w:left="440" w:top="293" w:right="4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sectPr>
      <w:pgSz w:w="11900" w:h="16838" w:orient="portrait"/>
      <w:cols w:equalWidth="0" w:num="1">
        <w:col w:w="10560"/>
      </w:cols>
      <w:pgMar w:left="440" w:top="29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2025-05-12T07:40:33Z</dcterms:created>
  <dcterms:modified xsi:type="dcterms:W3CDTF">2025-05-12T07:40:33Z</dcterms:modified>
</cp:coreProperties>
</file>