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Madeksza Matt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President - Transit Packaging</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02/26/2026</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02/26/2026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744</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53,546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02/26/2026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7"/>
                <w:szCs w:val="17"/>
                <w:color w:val="0000FF"/>
              </w:rPr>
              <w:t>1,756</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115.36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51,790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additional performance-based shares of Restricted Common Stock that vested on February 26, 2026 whose grant was originally reported on a Form 4 filed with the Securities and Exchange Commission on January 6, 2023 (the "Original Form 4"). As reported on the Original Form 4, such performance-based shares were originally granted to the Reporting Person based on the Company's Return on Invested Capital achieved by the Company compared to the ROIC target with the final number of performance-based shares varying from 0 to 200% of 3,718. The Return on Invested Capital achieved by the Company compared to the ROIC target yielded a 120% payout. As a result, 744 additional performance-based restricted shares were issued.</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03/02/2026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1490"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2026-03-02T08:19:31Z</dcterms:created>
  <dcterms:modified xsi:type="dcterms:W3CDTF">2026-03-02T08:19:31Z</dcterms:modified>
</cp:coreProperties>
</file>