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08/20/2025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37,000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100.56</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462,056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13,000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100.52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449,056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spacing w:after="0" w:line="213" w:lineRule="exact"/>
              <w:rPr>
                <w:sz w:val="20"/>
                <w:szCs w:val="20"/>
                <w:color w:val="auto"/>
              </w:rPr>
            </w:pPr>
            <w:r>
              <w:rPr>
                <w:rFonts w:ascii="Times New Roman" w:cs="Times New Roman" w:eastAsia="Times New Roman" w:hAnsi="Times New Roman"/>
                <w:sz w:val="17"/>
                <w:szCs w:val="17"/>
                <w:color w:val="0000FF"/>
              </w:rPr>
              <w:t>776.55</w:t>
            </w:r>
            <w:r>
              <w:rPr>
                <w:rFonts w:ascii="Times New Roman" w:cs="Times New Roman" w:eastAsia="Times New Roman" w:hAnsi="Times New Roman"/>
                <w:sz w:val="22"/>
                <w:szCs w:val="22"/>
                <w:color w:val="008000"/>
                <w:vertAlign w:val="superscript"/>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$100.18 to $100.78,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$100.28 to $100.77,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August 20, 2025, the Reporting Person owned 776.55 shares of CCK Common Stock under the CCK 401(k)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Adam Dickstein, by Power  </w:t>
      </w:r>
      <w:r>
        <w:rPr>
          <w:rFonts w:ascii="Times New Roman" w:cs="Times New Roman" w:eastAsia="Times New Roman" w:hAnsi="Times New Roman"/>
          <w:sz w:val="34"/>
          <w:szCs w:val="34"/>
          <w:color w:val="0000FF"/>
          <w:vertAlign w:val="subscript"/>
        </w:rPr>
        <w:t>08/22/2025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1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2025-08-22T07:24:39Z</dcterms:created>
  <dcterms:modified xsi:type="dcterms:W3CDTF">2025-08-22T07:24:39Z</dcterms:modified>
</cp:coreProperties>
</file>