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NOVAES DJALMA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EVP &amp; COO</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07/01/2025</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2,082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116,595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2,082 shares of Restricted Common Stock under the 2022 Stock-Based Compensation Plan. 792 time-vested restricted shares vest over a three year period as follows:</w:t>
      </w:r>
    </w:p>
    <w:p>
      <w:pPr>
        <w:spacing w:after="0" w:line="11" w:lineRule="exact"/>
        <w:rPr>
          <w:rFonts w:ascii="Times New Roman" w:cs="Times New Roman" w:eastAsia="Times New Roman" w:hAnsi="Times New Roman"/>
          <w:sz w:val="13"/>
          <w:szCs w:val="13"/>
          <w:color w:val="008000"/>
        </w:rPr>
      </w:pPr>
    </w:p>
    <w:p>
      <w:pPr>
        <w:ind w:left="40" w:right="200" w:firstLine="7"/>
        <w:spacing w:after="0" w:line="235" w:lineRule="auto"/>
        <w:tabs>
          <w:tab w:leader="none" w:pos="2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time-vested restricted shares on August 3, 2026 and 264 time-vested restricted shares on January 4, 2027 and January 3, 2028, respectively. 490 performance-based restricted shares are targeted to vest on January 3, 2028 based on the Company's Total Shareholder Return versus a defined peer group of companies, with the final number of performance-based vested shares varying from 0 to 200% of</w:t>
      </w:r>
    </w:p>
    <w:p>
      <w:pPr>
        <w:ind w:left="40" w:right="140" w:firstLine="7"/>
        <w:spacing w:after="0" w:line="250" w:lineRule="auto"/>
        <w:tabs>
          <w:tab w:leader="none" w:pos="30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800 performance-based restricted shares are targeted to vest on January 3, 2028 based on the Return on Invested Capital achieved by the Company compared to the ROIC target, with the final number of performance-based vested shares varying from 0 to 800.</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07/03/2025</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64"/>
    </w:lvl>
  </w:abstractNum>
  <w:abstractNum w:abstractNumId="2">
    <w:nsid w:val="2AE8944A"/>
    <w:multiLevelType w:val="hybridMultilevel"/>
    <w:lvl w:ilvl="0">
      <w:lvlJc w:val="left"/>
      <w:lvlText w:val="%1."/>
      <w:numFmt w:val="decimal"/>
      <w:start w:val="490"/>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7599"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2025-07-03T09:53:04Z</dcterms:created>
  <dcterms:modified xsi:type="dcterms:W3CDTF">2025-07-03T09:53:04Z</dcterms:modified>
</cp:coreProperties>
</file>