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1" w:lineRule="exact"/>
        <w:rPr>
          <w:sz w:val="24"/>
          <w:szCs w:val="24"/>
          <w:color w:val="auto"/>
        </w:rPr>
      </w:pPr>
    </w:p>
    <w:p>
      <w:pPr>
        <w:ind w:left="440" w:right="118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2026</w:t>
      </w:r>
    </w:p>
    <w:p>
      <w:pPr>
        <w:spacing w:after="0" w:line="233" w:lineRule="exact"/>
        <w:rPr>
          <w:sz w:val="24"/>
          <w:szCs w:val="24"/>
          <w:color w:val="auto"/>
        </w:rPr>
      </w:pPr>
    </w:p>
    <w:p>
      <w:pPr>
        <w:ind w:left="440" w:right="116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001-41550</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640" w:type="dxa"/>
            <w:vAlign w:val="bottom"/>
          </w:tcPr>
          <w:p>
            <w:pPr>
              <w:jc w:val="center"/>
              <w:ind w:left="122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8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146"/>
        </w:trPr>
        <w:tc>
          <w:tcPr>
            <w:tcW w:w="39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80" w:type="dxa"/>
            <w:vAlign w:val="bottom"/>
          </w:tcPr>
          <w:p>
            <w:pPr>
              <w:jc w:val="center"/>
              <w:ind w:right="20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Tampa</w:t>
            </w:r>
          </w:p>
        </w:tc>
        <w:tc>
          <w:tcPr>
            <w:tcW w:w="26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FL</w:t>
            </w:r>
          </w:p>
        </w:tc>
        <w:tc>
          <w:tcPr>
            <w:tcW w:w="168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33637</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7"/>
        </w:trPr>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tcPr>
          <w:p>
            <w:pPr>
              <w:jc w:val="right"/>
              <w:ind w:right="1156"/>
              <w:spacing w:after="0"/>
              <w:rPr>
                <w:sz w:val="20"/>
                <w:szCs w:val="20"/>
                <w:color w:val="auto"/>
              </w:rPr>
            </w:pPr>
            <w:r>
              <w:rPr>
                <w:rFonts w:ascii="Times New Roman" w:cs="Times New Roman" w:eastAsia="Times New Roman" w:hAnsi="Times New Roman"/>
                <w:sz w:val="18"/>
                <w:szCs w:val="18"/>
                <w:b w:val="1"/>
                <w:bCs w:val="1"/>
                <w:color w:val="auto"/>
              </w:rPr>
              <w:t>215-698-5100</w:t>
            </w:r>
          </w:p>
        </w:tc>
        <w:tc>
          <w:tcPr>
            <w:tcW w:w="1680" w:type="dxa"/>
            <w:vAlign w:val="bottom"/>
          </w:tcPr>
          <w:p>
            <w:pPr>
              <w:spacing w:after="0"/>
              <w:rPr>
                <w:sz w:val="24"/>
                <w:szCs w:val="24"/>
                <w:color w:val="auto"/>
              </w:rPr>
            </w:pPr>
          </w:p>
        </w:tc>
      </w:tr>
      <w:tr>
        <w:trPr>
          <w:trHeight w:val="164"/>
        </w:trPr>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4"/>
                <w:szCs w:val="14"/>
                <w:color w:val="auto"/>
              </w:rPr>
            </w:pPr>
          </w:p>
        </w:tc>
      </w:tr>
      <w:tr>
        <w:trPr>
          <w:trHeight w:val="188"/>
        </w:trPr>
        <w:tc>
          <w:tcPr>
            <w:tcW w:w="2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tcPr>
          <w:p>
            <w:pPr>
              <w:jc w:val="right"/>
              <w:ind w:right="956"/>
              <w:spacing w:after="0"/>
              <w:rPr>
                <w:sz w:val="20"/>
                <w:szCs w:val="20"/>
                <w:color w:val="auto"/>
              </w:rPr>
            </w:pPr>
            <w:r>
              <w:rPr>
                <w:rFonts w:ascii="Times New Roman" w:cs="Times New Roman" w:eastAsia="Times New Roman" w:hAnsi="Times New Roman"/>
                <w:sz w:val="14"/>
                <w:szCs w:val="14"/>
                <w:color w:val="auto"/>
              </w:rPr>
              <w:t>____________________</w:t>
            </w:r>
          </w:p>
        </w:tc>
        <w:tc>
          <w:tcPr>
            <w:tcW w:w="1680" w:type="dxa"/>
            <w:vAlign w:val="bottom"/>
          </w:tcPr>
          <w:p>
            <w:pPr>
              <w:spacing w:after="0"/>
              <w:rPr>
                <w:sz w:val="16"/>
                <w:szCs w:val="16"/>
                <w:color w:val="auto"/>
              </w:rPr>
            </w:pPr>
          </w:p>
        </w:tc>
      </w:tr>
      <w:tr>
        <w:trPr>
          <w:trHeight w:val="301"/>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680" w:type="dxa"/>
            <w:vAlign w:val="bottom"/>
          </w:tcPr>
          <w:p>
            <w:pPr>
              <w:spacing w:after="0"/>
              <w:rPr>
                <w:sz w:val="24"/>
                <w:szCs w:val="24"/>
                <w:color w:val="auto"/>
              </w:rPr>
            </w:pPr>
          </w:p>
        </w:tc>
      </w:tr>
      <w:tr>
        <w:trPr>
          <w:trHeight w:val="327"/>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Trading Symbols</w:t>
            </w:r>
          </w:p>
        </w:tc>
        <w:tc>
          <w:tcPr>
            <w:tcW w:w="34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680" w:type="dxa"/>
            <w:vAlign w:val="bottom"/>
            <w:tcBorders>
              <w:bottom w:val="single" w:sz="8" w:color="auto"/>
            </w:tcBorders>
          </w:tcPr>
          <w:p>
            <w:pPr>
              <w:spacing w:after="0"/>
              <w:rPr>
                <w:sz w:val="24"/>
                <w:szCs w:val="24"/>
                <w:color w:val="auto"/>
              </w:rPr>
            </w:pP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7"/>
                <w:szCs w:val="17"/>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CCK96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bl>
    <w:p>
      <w:pPr>
        <w:spacing w:after="0" w:line="10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40" w:val="left"/>
          <w:tab w:leader="none" w:pos="80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111,746,617 shares of Common Stock outstanding as of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854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TABLE OF CONTENTS</w:t>
            </w:r>
          </w:p>
        </w:tc>
        <w:tc>
          <w:tcPr>
            <w:tcW w:w="2140" w:type="dxa"/>
            <w:vAlign w:val="bottom"/>
          </w:tcPr>
          <w:p>
            <w:pPr>
              <w:spacing w:after="0"/>
              <w:rPr>
                <w:sz w:val="17"/>
                <w:szCs w:val="17"/>
                <w:color w:val="auto"/>
              </w:rPr>
            </w:pPr>
          </w:p>
        </w:tc>
      </w:tr>
      <w:tr>
        <w:trPr>
          <w:trHeight w:val="62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8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BALANCE SHEETS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Basis of Presentation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B.  Recent Accounting and Reporting Pronouncements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C.   Cash, Cash Equivalents, and Restricted Cash</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w:t>
            </w:r>
          </w:p>
        </w:tc>
        <w:tc>
          <w:tcPr>
            <w:tcW w:w="8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G.  Supplier Finance Program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8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Asbestos-Related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J.  Commitments and Contingent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K.  Derivative and Other Financial Instruments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M.  Pension and Other Postretirement Benefits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 Stock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91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O.  Accumulated Other Comprehensive Loss Attributable to Crown Holdings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Segment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992"/>
        </w:trPr>
        <w:tc>
          <w:tcPr>
            <w:tcW w:w="5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tbl>
      <w:tblPr>
        <w:tblLayout w:type="fixed"/>
        <w:tblInd w:w="1480" w:type="dxa"/>
        <w:tblCellMar>
          <w:top w:w="0" w:type="dxa"/>
          <w:left w:w="0" w:type="dxa"/>
          <w:bottom w:w="0" w:type="dxa"/>
          <w:right w:w="0" w:type="dxa"/>
        </w:tblCellMar>
      </w:tblPr>
      <w:tr>
        <w:trPr>
          <w:trHeight w:val="238"/>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923"/>
        </w:trPr>
        <w:tc>
          <w:tcPr>
            <w:tcW w:w="600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600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3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8"/>
        </w:trPr>
        <w:tc>
          <w:tcPr>
            <w:tcW w:w="60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8"/>
        </w:trPr>
        <w:tc>
          <w:tcPr>
            <w:tcW w:w="6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r>
      <w:tr>
        <w:trPr>
          <w:trHeight w:val="238"/>
        </w:trPr>
        <w:tc>
          <w:tcPr>
            <w:tcW w:w="6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23"/>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30"/>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 and equity in net earnings of affiliates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6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Crown Holdings: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03"/>
        </w:trPr>
        <w:tc>
          <w:tcPr>
            <w:tcW w:w="600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1.65</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8"/>
        </w:trPr>
        <w:tc>
          <w:tcPr>
            <w:tcW w:w="6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tbl>
      <w:tblPr>
        <w:tblLayout w:type="fixed"/>
        <w:tblInd w:w="1480" w:type="dxa"/>
        <w:tblCellMar>
          <w:top w:w="0" w:type="dxa"/>
          <w:left w:w="0" w:type="dxa"/>
          <w:bottom w:w="0" w:type="dxa"/>
          <w:right w:w="0" w:type="dxa"/>
        </w:tblCellMar>
      </w:tblPr>
      <w:tr>
        <w:trPr>
          <w:trHeight w:val="238"/>
        </w:trPr>
        <w:tc>
          <w:tcPr>
            <w:tcW w:w="60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923"/>
        </w:trPr>
        <w:tc>
          <w:tcPr>
            <w:tcW w:w="7280" w:type="dxa"/>
            <w:vAlign w:val="bottom"/>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60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8"/>
        </w:trPr>
        <w:tc>
          <w:tcPr>
            <w:tcW w:w="60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8"/>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50"/>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comprehensive income / (loss)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Derivatives qualifying as hedges attributable to noncontrolling interests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923"/>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2"/>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29"/>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30"/>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14,272</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3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30"/>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0"/>
        </w:trPr>
        <w:tc>
          <w:tcPr>
            <w:tcW w:w="35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0000FF"/>
              </w:rPr>
              <w:t>Note J</w:t>
            </w:r>
            <w:r>
              <w:rPr>
                <w:rFonts w:ascii="Times New Roman" w:cs="Times New Roman" w:eastAsia="Times New Roman" w:hAnsi="Times New Roman"/>
                <w:sz w:val="18"/>
                <w:szCs w:val="18"/>
                <w:i w:val="1"/>
                <w:iCs w:val="1"/>
                <w:color w:val="auto"/>
              </w:rPr>
              <w:t>)</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29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5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3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5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14,272</w:t>
            </w:r>
          </w:p>
        </w:tc>
      </w:tr>
      <w:tr>
        <w:trPr>
          <w:trHeight w:val="20"/>
        </w:trPr>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923"/>
        </w:trPr>
        <w:tc>
          <w:tcPr>
            <w:tcW w:w="898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(Condensed)</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2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8"/>
        </w:trPr>
        <w:tc>
          <w:tcPr>
            <w:tcW w:w="8200" w:type="dxa"/>
            <w:vAlign w:val="bottom"/>
          </w:tcPr>
          <w:p>
            <w:pPr>
              <w:spacing w:after="0"/>
              <w:rPr>
                <w:sz w:val="21"/>
                <w:szCs w:val="21"/>
                <w:color w:val="auto"/>
              </w:rPr>
            </w:pPr>
          </w:p>
        </w:tc>
        <w:tc>
          <w:tcPr>
            <w:tcW w:w="284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Pension contributions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(401)</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8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 provided by operating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Capital expenditures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hedge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Settlement of net investment hedge</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8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 provided by investing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Debt issuance costs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(212)</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Payments from financed assets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financing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(184)</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March 31</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887" w:right="11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March 31, 2026 and the results of its operations for the three months ended March 31, 2026 and 2025 and of its cash flows for the three months ended March 31, 2026 and 2025.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18"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annual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2025.</w:t>
      </w:r>
    </w:p>
    <w:p>
      <w:pPr>
        <w:spacing w:after="0" w:line="202" w:lineRule="exact"/>
        <w:rPr>
          <w:rFonts w:ascii="Times New Roman" w:cs="Times New Roman" w:eastAsia="Times New Roman" w:hAnsi="Times New Roman"/>
          <w:sz w:val="18"/>
          <w:szCs w:val="18"/>
          <w:b w:val="1"/>
          <w:bCs w:val="1"/>
          <w:color w:val="auto"/>
        </w:rPr>
      </w:pPr>
    </w:p>
    <w:p>
      <w:pPr>
        <w:ind w:left="660" w:right="6640" w:hanging="652"/>
        <w:spacing w:after="0" w:line="534" w:lineRule="auto"/>
        <w:tabs>
          <w:tab w:leader="none" w:pos="64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Recent Accounting and Reporting Pronouncements </w:t>
      </w:r>
      <w:r>
        <w:rPr>
          <w:rFonts w:ascii="Times New Roman" w:cs="Times New Roman" w:eastAsia="Times New Roman" w:hAnsi="Times New Roman"/>
          <w:sz w:val="18"/>
          <w:szCs w:val="18"/>
          <w:u w:val="single" w:color="auto"/>
          <w:color w:val="auto"/>
        </w:rPr>
        <w:t>Recently Issued Accounting Standards</w:t>
      </w: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("FASB") issued a final standard on disaggregation of income statement expenses. The standard requires disclosure of more detailed information about certain costs and expenses in the notes to the financial statements. The standard is effective for fiscal years beginning after December 15, 2026 and for interim periods beginning after December 15, 2027. Early adoption is permitted. The standard is applied prospectively with an option for retrospective adoption. The Company is currently evaluating the impact that the new guidance will have on its disclosures.</w:t>
      </w:r>
    </w:p>
    <w:p>
      <w:pPr>
        <w:spacing w:after="0" w:line="210"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2025, the FASB issued guidance to clarify and modernize the accounting for costs related to internal-use software. The guidance eliminates references to various stages of a software development project and clarifies the threshold to apply to begin capitalizing costs. The guidance is effective for fiscal years beginning after December 15, 2027, and interim periods within those fiscal years. The guidance is applied on a prospective basis with the option to apply the standard retrospectively or using a modified transition approach. Early adoption is permitted. The Company is currently evaluating the impact that the new guidance will have on its consolidated financial statements.</w:t>
      </w:r>
    </w:p>
    <w:p>
      <w:pPr>
        <w:spacing w:after="0" w:line="210"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2025, the FASB issued a final standard on improvements to hedge accounting, which introduces five targeted improvements to better align hedge accounting with entities' risk management activities. The standard will be effective for annual reporting periods beginning after December 15, 2026, and interim periods within those annual reporting periods. Early adoption is permitted. The Company is currently evaluating the impact that the new guidance will have on its consolidated financial statements.</w:t>
      </w:r>
    </w:p>
    <w:p>
      <w:pPr>
        <w:spacing w:after="0" w:line="200" w:lineRule="exact"/>
        <w:rPr>
          <w:rFonts w:ascii="Times New Roman" w:cs="Times New Roman" w:eastAsia="Times New Roman" w:hAnsi="Times New Roman"/>
          <w:sz w:val="18"/>
          <w:szCs w:val="18"/>
          <w:b w:val="1"/>
          <w:bCs w:val="1"/>
          <w:color w:val="auto"/>
        </w:rPr>
      </w:pPr>
    </w:p>
    <w:p>
      <w:pPr>
        <w:spacing w:after="0" w:line="245"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equivalents, and restricted cash included in the Company's Consolidated Balance Sheets and Statement of Cash Flows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gridSpan w:val="2"/>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w w:val="99"/>
              </w:rPr>
              <w:t>Restricted cash included in prepaid expenses and other current assets</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6"/>
              </w:rPr>
              <w:t>115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gridSpan w:val="2"/>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segregated by certain of the Company's receivables securitization</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24"/>
                <w:szCs w:val="24"/>
                <w:color w:val="auto"/>
              </w:rPr>
            </w:pPr>
          </w:p>
        </w:tc>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1,123</w:t>
            </w:r>
          </w:p>
        </w:tc>
        <w:tc>
          <w:tcPr>
            <w:tcW w:w="2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2"/>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8"/>
              </w:rPr>
              <w:t>1,048</w:t>
            </w:r>
          </w:p>
        </w:tc>
        <w:tc>
          <w:tcPr>
            <w:tcW w:w="80" w:type="dxa"/>
            <w:vAlign w:val="bottom"/>
            <w:tcBorders>
              <w:top w:val="single" w:sz="8" w:color="auto"/>
            </w:tcBorders>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8"/>
              </w:rPr>
              <w:t>1,023</w:t>
            </w:r>
          </w:p>
        </w:tc>
        <w:tc>
          <w:tcPr>
            <w:tcW w:w="80" w:type="dxa"/>
            <w:vAlign w:val="bottom"/>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w w:val="88"/>
              </w:rPr>
              <w:t>395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88"/>
              </w:rPr>
              <w:t>350</w:t>
            </w: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1,957</w:t>
            </w:r>
          </w:p>
        </w:tc>
        <w:tc>
          <w:tcPr>
            <w:tcW w:w="2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8"/>
              </w:rPr>
              <w:t>1,768</w:t>
            </w:r>
          </w:p>
        </w:tc>
        <w:tc>
          <w:tcPr>
            <w:tcW w:w="8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53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60" w:type="dxa"/>
            <w:vAlign w:val="bottom"/>
            <w:vMerge w:val="continue"/>
          </w:tcPr>
          <w:p>
            <w:pPr>
              <w:spacing w:after="0"/>
              <w:rPr>
                <w:sz w:val="24"/>
                <w:szCs w:val="24"/>
                <w:color w:val="auto"/>
              </w:rPr>
            </w:pPr>
          </w:p>
        </w:tc>
        <w:tc>
          <w:tcPr>
            <w:tcW w:w="538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24"/>
                <w:szCs w:val="24"/>
                <w:color w:val="auto"/>
              </w:rPr>
            </w:pPr>
          </w:p>
        </w:tc>
        <w:tc>
          <w:tcPr>
            <w:tcW w:w="32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69"/>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43"/>
        </w:trPr>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21"/>
                <w:szCs w:val="21"/>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Gross</w:t>
            </w:r>
          </w:p>
        </w:tc>
        <w:tc>
          <w:tcPr>
            <w:tcW w:w="180" w:type="dxa"/>
            <w:vAlign w:val="bottom"/>
          </w:tcPr>
          <w:p>
            <w:pPr>
              <w:spacing w:after="0"/>
              <w:rPr>
                <w:sz w:val="21"/>
                <w:szCs w:val="21"/>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amortization</w:t>
            </w:r>
          </w:p>
        </w:tc>
        <w:tc>
          <w:tcPr>
            <w:tcW w:w="180" w:type="dxa"/>
            <w:vAlign w:val="bottom"/>
          </w:tcPr>
          <w:p>
            <w:pPr>
              <w:spacing w:after="0"/>
              <w:rPr>
                <w:sz w:val="21"/>
                <w:szCs w:val="21"/>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for the three months ended March 31, 2026 and 2025 included amortization expense of $38 and $35.</w:t>
      </w:r>
    </w:p>
    <w:p>
      <w:pPr>
        <w:spacing w:after="0" w:line="24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Supplier Finance Program Obligations</w:t>
      </w:r>
    </w:p>
    <w:p>
      <w:pPr>
        <w:spacing w:after="0" w:line="25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$857 and $927 confirmed obligations outstanding under these supplier finance programs as of March 31, 2026 and December 31, 2025 included in Accounts payable.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1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9"/>
                <w:szCs w:val="19"/>
                <w:color w:val="auto"/>
              </w:rPr>
            </w:pPr>
          </w:p>
        </w:tc>
      </w:tr>
      <w:tr>
        <w:trPr>
          <w:trHeight w:val="234"/>
        </w:trPr>
        <w:tc>
          <w:tcPr>
            <w:tcW w:w="46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March 31,</w:t>
            </w:r>
          </w:p>
        </w:tc>
        <w:tc>
          <w:tcPr>
            <w:tcW w:w="320" w:type="dxa"/>
            <w:vAlign w:val="bottom"/>
            <w:tcBorders>
              <w:bottom w:val="single" w:sz="8" w:color="auto"/>
            </w:tcBorders>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19"/>
                <w:szCs w:val="19"/>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sales and impairments, net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
        </w:trPr>
        <w:tc>
          <w:tcPr>
            <w:tcW w:w="4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 gain on asset sales and impairments primarily relates to the sale of a building in the Transit Packaging segment.</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 Company made payments of $4 and had a restructuring accrual of $17. The Company expects to pay these amounts over the next twelve months. The Company continues to review its cost structure and may record additional restructuring charges in the future.</w:t>
      </w:r>
    </w:p>
    <w:p>
      <w:pPr>
        <w:spacing w:after="0" w:line="199"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0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14"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7"/>
          <w:szCs w:val="17"/>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9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paid $2 to settle asbestos claims and pay related legal and defense costs and had approximate claims activity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60,200</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these claims by year of exposure and state filed. As of December 31, 2025, the Company's outstanding claims were: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29"/>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Texas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0"/>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Pennsylvania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8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percentage of outstanding claims related to claimants alleging serious diseases (primarily mesothelioma and other malignancies)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w:t>
            </w:r>
          </w:p>
        </w:tc>
        <w:tc>
          <w:tcPr>
            <w:tcW w:w="9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5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4"/>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Pre-1965 claims in states without asbestos legislation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March 31, 2026. In 2025, Crown Cork was party to a verdict in a mesothelioma wrongful death case</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tried in the Superior Court of the State of California in Los Angeles. Crown Cork's share of the compensatory damages was $4 and punitive damages of $7. These amounts have been fully accrued. The Company has appealed the judgment, however there can be no assurances regarding the outcome of such appeal.</w:t>
      </w:r>
    </w:p>
    <w:p>
      <w:pPr>
        <w:spacing w:after="0" w:line="20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accrual for pending and future asbestos-related claims and related legal costs was $175, including $112 for unasserted claims. The Company determines its accrual without limitation to a specific time period.</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83% of the claims outstanding at the end of 2025),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1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1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also recorded aggregate accruals of $7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0"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and the Company sought annulment of the Commission's fining decision on the basis that the referral of the case from the FCO to the Commission was unjustified. In October 2024, the General Court of the EU issued a judgment dismissing the Company's appeal. In December 2024, the Company appealed the General Court's judgment to the European Court of Justice. There can be no assurance regarding the outcome of such appeal.</w:t>
      </w:r>
    </w:p>
    <w:p>
      <w:pPr>
        <w:spacing w:after="0" w:line="22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October 7, 2021, the French Autorité de la concurrence (the French Competition Authority or "FCA") issued a statement of objections to 14 trade associations, one public entity and 101 legal entities from 28 corporate groups,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has appealed the decision of the FCA, however there can be no assurance regarding the outcome of such appeal.</w:t>
      </w:r>
    </w:p>
    <w:p>
      <w:pPr>
        <w:spacing w:after="0" w:line="21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June 2024, the Brazilian Federal Tax Authorities issued an assessment against the Company's Brazilian subsidiary in relation to the use of PIS and COFINS indirect tax credits arising from a favorable judicial decision received by the Company in 2019. The assessment disallowed credits of $42 taken by the Company for the years 2004 through 2015 when the PIS and COFINS indirect taxes were calculated by fixed rates and assessed interest and penalties. During the fourth quarter of 2024, the Company received an unfavorable ruling to a challenge at the administrative level. The Company does not believe that a loss for this assessment is probable and has challenged the assessment at the judicial level. There can be no assurances that the Company will be successful in contesting the assessment.</w:t>
      </w:r>
    </w:p>
    <w:p>
      <w:pPr>
        <w:spacing w:after="0" w:line="21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21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March 31, 2026,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199"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and Other Financial Instruments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5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1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later in this note. In addition, see </w:t>
      </w:r>
      <w:r>
        <w:rPr>
          <w:rFonts w:ascii="Times New Roman" w:cs="Times New Roman" w:eastAsia="Times New Roman" w:hAnsi="Times New Roman"/>
          <w:sz w:val="18"/>
          <w:szCs w:val="18"/>
          <w:u w:val="single" w:color="auto"/>
          <w:color w:val="0000FF"/>
        </w:rPr>
        <w:t>Note L</w:t>
      </w:r>
      <w:r>
        <w:rPr>
          <w:rFonts w:ascii="Times New Roman" w:cs="Times New Roman" w:eastAsia="Times New Roman" w:hAnsi="Times New Roman"/>
          <w:sz w:val="18"/>
          <w:szCs w:val="18"/>
          <w:color w:val="auto"/>
        </w:rPr>
        <w:t xml:space="preserve"> for fair value disclosures related to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March 31, 2026 mature between one and twenty-one months.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commodity forward contracts to hedge anticipated purchases of various commodities, primarily aluminum as well as natural gas and electricity, and these exposures are hedged by a central treasury unit.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use interest rate swaps to convert interest on floating rate debt to a fixed-rate.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other comprehensive income ("OCI"), accumulated other comprehensive income ("AOCI") and earnings from changes in the fair value of derivative instruments designated as cash flow hedges.</w:t>
      </w: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4" w:name="page15"/>
    <w:bookmarkEnd w:id="14"/>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8"/>
          <w:szCs w:val="18"/>
          <w:color w:val="auto"/>
        </w:rPr>
        <w:t>Amount of gain/(loss)</w:t>
      </w:r>
    </w:p>
    <w:p>
      <w:pPr>
        <w:jc w:val="center"/>
        <w:ind w:right="2700"/>
        <w:spacing w:after="0"/>
        <w:rPr>
          <w:sz w:val="20"/>
          <w:szCs w:val="20"/>
          <w:color w:val="auto"/>
        </w:rPr>
      </w:pPr>
      <w:r>
        <w:rPr>
          <w:rFonts w:ascii="Times New Roman" w:cs="Times New Roman" w:eastAsia="Times New Roman" w:hAnsi="Times New Roman"/>
          <w:sz w:val="18"/>
          <w:szCs w:val="18"/>
          <w:color w:val="auto"/>
        </w:rPr>
        <w:t>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13335</wp:posOffset>
            </wp:positionV>
            <wp:extent cx="1405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jc w:val="center"/>
        <w:ind w:right="2700"/>
        <w:spacing w:after="0"/>
        <w:rPr>
          <w:sz w:val="20"/>
          <w:szCs w:val="20"/>
          <w:color w:val="auto"/>
        </w:rPr>
      </w:pPr>
      <w:r>
        <w:rPr>
          <w:rFonts w:ascii="Times New Roman" w:cs="Times New Roman" w:eastAsia="Times New Roman" w:hAnsi="Times New Roman"/>
          <w:sz w:val="18"/>
          <w:szCs w:val="18"/>
          <w:color w:val="auto"/>
        </w:rPr>
        <w:t>Three Months Ended March</w:t>
      </w:r>
    </w:p>
    <w:p>
      <w:pPr>
        <w:jc w:val="center"/>
        <w:ind w:right="2700"/>
        <w:spacing w:after="0"/>
        <w:rPr>
          <w:sz w:val="20"/>
          <w:szCs w:val="20"/>
          <w:color w:val="auto"/>
        </w:rPr>
      </w:pPr>
      <w:r>
        <w:rPr>
          <w:rFonts w:ascii="Times New Roman" w:cs="Times New Roman" w:eastAsia="Times New Roman" w:hAnsi="Times New Roman"/>
          <w:sz w:val="18"/>
          <w:szCs w:val="18"/>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200" w:type="dxa"/>
            <w:vAlign w:val="bottom"/>
          </w:tcPr>
          <w:p>
            <w:pPr>
              <w:spacing w:after="0"/>
              <w:rPr>
                <w:sz w:val="19"/>
                <w:szCs w:val="19"/>
                <w:color w:val="auto"/>
              </w:rPr>
            </w:pPr>
          </w:p>
        </w:tc>
      </w:tr>
      <w:tr>
        <w:trPr>
          <w:trHeight w:val="23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48"/>
        </w:trPr>
        <w:tc>
          <w:tcPr>
            <w:tcW w:w="2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0" w:type="dxa"/>
            <w:vAlign w:val="bottom"/>
          </w:tcPr>
          <w:p>
            <w:pPr>
              <w:spacing w:after="0"/>
              <w:rPr>
                <w:sz w:val="21"/>
                <w:szCs w:val="2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85"/>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Amount of gain/(loss)</w:t>
            </w:r>
          </w:p>
        </w:tc>
        <w:tc>
          <w:tcPr>
            <w:tcW w:w="3200" w:type="dxa"/>
            <w:vAlign w:val="bottom"/>
          </w:tcPr>
          <w:p>
            <w:pPr>
              <w:spacing w:after="0"/>
              <w:rPr>
                <w:sz w:val="24"/>
                <w:szCs w:val="24"/>
                <w:color w:val="auto"/>
              </w:rPr>
            </w:pPr>
          </w:p>
        </w:tc>
      </w:tr>
      <w:tr>
        <w:trPr>
          <w:trHeight w:val="184"/>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6"/>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w w:val="99"/>
              </w:rPr>
              <w:t>reclassified from AOCI into</w:t>
            </w:r>
          </w:p>
        </w:tc>
        <w:tc>
          <w:tcPr>
            <w:tcW w:w="3200" w:type="dxa"/>
            <w:vAlign w:val="bottom"/>
          </w:tcPr>
          <w:p>
            <w:pPr>
              <w:spacing w:after="0"/>
              <w:rPr>
                <w:sz w:val="16"/>
                <w:szCs w:val="16"/>
                <w:color w:val="auto"/>
              </w:rPr>
            </w:pPr>
          </w:p>
        </w:tc>
      </w:tr>
      <w:tr>
        <w:trPr>
          <w:trHeight w:val="234"/>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8"/>
              </w:rPr>
              <w:t>income</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169"/>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spacing w:after="0" w:line="169" w:lineRule="exact"/>
              <w:rPr>
                <w:sz w:val="20"/>
                <w:szCs w:val="20"/>
                <w:color w:val="auto"/>
              </w:rPr>
            </w:pPr>
            <w:r>
              <w:rPr>
                <w:rFonts w:ascii="Times New Roman" w:cs="Times New Roman" w:eastAsia="Times New Roman" w:hAnsi="Times New Roman"/>
                <w:sz w:val="18"/>
                <w:szCs w:val="18"/>
                <w:color w:val="auto"/>
              </w:rPr>
              <w:t>Three Months Ended March</w:t>
            </w: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237"/>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162"/>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Affected line items in the Statement of</w:t>
            </w:r>
          </w:p>
        </w:tc>
      </w:tr>
      <w:tr>
        <w:trPr>
          <w:trHeight w:val="24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2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32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Operations</w:t>
            </w: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176"/>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w:t>
            </w:r>
          </w:p>
        </w:tc>
      </w:tr>
      <w:tr>
        <w:trPr>
          <w:trHeight w:val="24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r>
      <w:tr>
        <w:trPr>
          <w:trHeight w:val="176"/>
        </w:trPr>
        <w:tc>
          <w:tcPr>
            <w:tcW w:w="2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w:t>
            </w:r>
          </w:p>
        </w:tc>
      </w:tr>
      <w:tr>
        <w:trPr>
          <w:trHeight w:val="243"/>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r>
    </w:tbl>
    <w:p>
      <w:pPr>
        <w:spacing w:after="0" w:line="157" w:lineRule="exact"/>
        <w:rPr>
          <w:sz w:val="20"/>
          <w:szCs w:val="20"/>
          <w:color w:val="auto"/>
        </w:rPr>
      </w:pPr>
    </w:p>
    <w:p>
      <w:pPr>
        <w:ind w:left="4800" w:hanging="1078"/>
        <w:spacing w:after="0"/>
        <w:tabs>
          <w:tab w:leader="none" w:pos="4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earnings of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531495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14950" cy="154305"/>
                    </a:xfrm>
                    <a:prstGeom prst="rect">
                      <a:avLst/>
                    </a:prstGeom>
                    <a:noFill/>
                  </pic:spPr>
                </pic:pic>
              </a:graphicData>
            </a:graphic>
          </wp:anchor>
        </w:drawing>
      </w:r>
    </w:p>
    <w:p>
      <w:pPr>
        <w:spacing w:after="0" w:line="30" w:lineRule="exact"/>
        <w:rPr>
          <w:sz w:val="20"/>
          <w:szCs w:val="20"/>
          <w:color w:val="auto"/>
        </w:rPr>
      </w:pPr>
    </w:p>
    <w:p>
      <w:pPr>
        <w:ind w:left="4800" w:hanging="1153"/>
        <w:spacing w:after="0"/>
        <w:tabs>
          <w:tab w:leader="none" w:pos="4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17145</wp:posOffset>
            </wp:positionV>
            <wp:extent cx="1405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7" w:lineRule="exact"/>
        <w:rPr>
          <w:sz w:val="20"/>
          <w:szCs w:val="20"/>
          <w:color w:val="auto"/>
        </w:rPr>
      </w:pPr>
    </w:p>
    <w:p>
      <w:pPr>
        <w:ind w:left="2840"/>
        <w:spacing w:after="0"/>
        <w:tabs>
          <w:tab w:leader="none" w:pos="3700" w:val="left"/>
          <w:tab w:leader="none" w:pos="4000" w:val="left"/>
          <w:tab w:leader="none" w:pos="4780" w:val="left"/>
          <w:tab w:leader="none" w:pos="5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w:t>
        <w:tab/>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22860</wp:posOffset>
            </wp:positionV>
            <wp:extent cx="14058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34290"/>
                    </a:xfrm>
                    <a:prstGeom prst="rect">
                      <a:avLst/>
                    </a:prstGeom>
                    <a:noFill/>
                  </pic:spPr>
                </pic:pic>
              </a:graphicData>
            </a:graphic>
          </wp:anchor>
        </w:drawing>
      </w:r>
    </w:p>
    <w:p>
      <w:pPr>
        <w:spacing w:after="0" w:line="3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twelve-month period ending March 31, 2027, a net gain of $36 ($27, net of tax) is expected to be reclassified to earnings for commodity and foreign exchange contracts. No material amounts were reclassified during the three months ended March 31, 2026 and 2025 in connection with anticipated transactions that were considered probable of not occurring.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Contracts Not Designated as Hedges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trade accounts receivable and payable and unrecognized firm commitments were not designated or did not qualify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impact on earnings from derivatives not designated as hedges.</w:t>
      </w:r>
    </w:p>
    <w:p>
      <w:pPr>
        <w:spacing w:after="0" w:line="3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Pre-tax amounts of gain/(loss)</w:t>
      </w:r>
    </w:p>
    <w:p>
      <w:pPr>
        <w:ind w:left="3560"/>
        <w:spacing w:after="0"/>
        <w:rPr>
          <w:sz w:val="20"/>
          <w:szCs w:val="20"/>
          <w:color w:val="auto"/>
        </w:rPr>
      </w:pPr>
      <w:r>
        <w:rPr>
          <w:rFonts w:ascii="Times New Roman" w:cs="Times New Roman" w:eastAsia="Times New Roman" w:hAnsi="Times New Roman"/>
          <w:sz w:val="18"/>
          <w:szCs w:val="18"/>
          <w:color w:val="auto"/>
        </w:rPr>
        <w:t>recognized 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14230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320"/>
        <w:spacing w:after="0"/>
        <w:rPr>
          <w:sz w:val="20"/>
          <w:szCs w:val="20"/>
          <w:color w:val="auto"/>
        </w:rPr>
      </w:pPr>
      <w:r>
        <w:rPr>
          <w:rFonts w:ascii="Times New Roman" w:cs="Times New Roman" w:eastAsia="Times New Roman" w:hAnsi="Times New Roman"/>
          <w:sz w:val="18"/>
          <w:szCs w:val="18"/>
          <w:color w:val="auto"/>
        </w:rPr>
        <w:t>Three Months Ended March</w:t>
      </w:r>
    </w:p>
    <w:p>
      <w:pPr>
        <w:ind w:left="4220"/>
        <w:spacing w:after="0"/>
        <w:rPr>
          <w:sz w:val="20"/>
          <w:szCs w:val="20"/>
          <w:color w:val="auto"/>
        </w:rPr>
      </w:pPr>
      <w:r>
        <w:rPr>
          <w:rFonts w:ascii="Times New Roman" w:cs="Times New Roman" w:eastAsia="Times New Roman" w:hAnsi="Times New Roman"/>
          <w:sz w:val="18"/>
          <w:szCs w:val="18"/>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Affected line item in the Statement of Operations</w:t>
            </w:r>
          </w:p>
        </w:tc>
      </w:tr>
      <w:tr>
        <w:trPr>
          <w:trHeight w:val="223"/>
        </w:trPr>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229"/>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r>
      <w:tr>
        <w:trPr>
          <w:trHeight w:val="248"/>
        </w:trPr>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spacing w:after="0"/>
              <w:rPr>
                <w:sz w:val="21"/>
                <w:szCs w:val="2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5" w:name="page16"/>
    <w:bookmarkEnd w:id="15"/>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 gain of $19 ($15, net of tax) and a loss of $43 ($33, net of tax) in other comprehensive income for certain debt instruments that are designated as hedges of its net investment in a euro-based subsidiary. As of March 31, 2026 and December 31, 2025, cumulative gains of $14 ($41, net of tax) and losses of $5 ($27, net of tax) were recognized in accumulated other comprehensive income related to these net investment hedges. The carrying amount of the hedging instrument was approximately €1,011 ($1,168) at March 31, 2026.</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cross-currency swaps with an aggregate notional value of $600 designated as hedges of the Company's net investment in a euro-based subsidiary. These swaps mature in 2030 and reduced interest expense by $2 for the three months ended March 31, 2026. The Company also had cross-currency swaps with an aggregate notional value of $875 that matured in February 2026, resulting in a loss of $45 ($34, net of tax), included in accumulated other comprehensive income. These swaps reduced interest expense by $2 and $7 for the three months ended March 31, 2026 and 2025, respectively.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accumulated other comprehensive income from changes in the fair value of derivative instruments designated as net investment hedges.</w:t>
      </w:r>
    </w:p>
    <w:p>
      <w:pPr>
        <w:spacing w:after="0" w:line="218"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color w:val="auto"/>
        </w:rPr>
        <w:t>Amount of gain / (loss) recognized in</w:t>
      </w:r>
    </w:p>
    <w:p>
      <w:pPr>
        <w:jc w:val="center"/>
        <w:ind w:left="1960"/>
        <w:spacing w:after="0"/>
        <w:rPr>
          <w:sz w:val="20"/>
          <w:szCs w:val="20"/>
          <w:color w:val="auto"/>
        </w:rPr>
      </w:pPr>
      <w:r>
        <w:rPr>
          <w:rFonts w:ascii="Times New Roman" w:cs="Times New Roman" w:eastAsia="Times New Roman" w:hAnsi="Times New Roman"/>
          <w:sz w:val="18"/>
          <w:szCs w:val="18"/>
          <w:color w:val="auto"/>
        </w:rPr>
        <w:t>AOCI</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Borders>
              <w:top w:val="single" w:sz="8" w:color="auto"/>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60" w:type="dxa"/>
            <w:vAlign w:val="bottom"/>
          </w:tcPr>
          <w:p>
            <w:pPr>
              <w:spacing w:after="0"/>
              <w:rPr>
                <w:sz w:val="20"/>
                <w:szCs w:val="20"/>
                <w:color w:val="auto"/>
              </w:rPr>
            </w:pP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r>
      <w:tr>
        <w:trPr>
          <w:trHeight w:val="223"/>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auto"/>
            </w:tcBorders>
            <w:shd w:val="clear" w:color="auto" w:fill="CCEEFF"/>
          </w:tcPr>
          <w:p>
            <w:pPr>
              <w:spacing w:after="0"/>
              <w:rPr>
                <w:sz w:val="19"/>
                <w:szCs w:val="19"/>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net investment hedges remain in accumulated other comprehensive income until disposal of the underlying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6" w:name="page17"/>
    <w:bookmarkEnd w:id="16"/>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accounted for at fair value on a recurring basis as of March 31, 2026 and December 31, 2025, respectively. The fair values of these financial instruments were reported under Level 2 of the fair value hierarchy.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Balance Sheet</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December</w:t>
            </w:r>
          </w:p>
        </w:tc>
        <w:tc>
          <w:tcPr>
            <w:tcW w:w="100" w:type="dxa"/>
            <w:vAlign w:val="bottom"/>
          </w:tcPr>
          <w:p>
            <w:pPr>
              <w:spacing w:after="0"/>
              <w:rPr>
                <w:sz w:val="17"/>
                <w:szCs w:val="17"/>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17"/>
                <w:szCs w:val="17"/>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March 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9"/>
        </w:trPr>
        <w:tc>
          <w:tcPr>
            <w:tcW w:w="1720" w:type="dxa"/>
            <w:vAlign w:val="bottom"/>
          </w:tcPr>
          <w:p>
            <w:pPr>
              <w:spacing w:after="0"/>
              <w:rPr>
                <w:sz w:val="20"/>
                <w:szCs w:val="20"/>
                <w:color w:val="auto"/>
              </w:rPr>
            </w:pPr>
          </w:p>
        </w:tc>
        <w:tc>
          <w:tcPr>
            <w:tcW w:w="1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31, 2025</w:t>
            </w:r>
          </w:p>
        </w:tc>
        <w:tc>
          <w:tcPr>
            <w:tcW w:w="100" w:type="dxa"/>
            <w:vAlign w:val="bottom"/>
          </w:tcPr>
          <w:p>
            <w:pPr>
              <w:spacing w:after="0"/>
              <w:rPr>
                <w:sz w:val="20"/>
                <w:szCs w:val="20"/>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31, 2025</w:t>
            </w:r>
          </w:p>
        </w:tc>
      </w:tr>
      <w:tr>
        <w:trPr>
          <w:trHeight w:val="214"/>
        </w:trPr>
        <w:tc>
          <w:tcPr>
            <w:tcW w:w="17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w:t>
            </w:r>
          </w:p>
        </w:tc>
        <w:tc>
          <w:tcPr>
            <w:tcW w:w="1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169"/>
        </w:trPr>
        <w:tc>
          <w:tcPr>
            <w:tcW w:w="17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exchange</w:t>
            </w:r>
          </w:p>
        </w:tc>
        <w:tc>
          <w:tcPr>
            <w:tcW w:w="1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Commodities</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cash flow</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75"/>
        </w:trPr>
        <w:tc>
          <w:tcPr>
            <w:tcW w:w="1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17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investment hedge</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76"/>
        </w:trPr>
        <w:tc>
          <w:tcPr>
            <w:tcW w:w="1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17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17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155"/>
        </w:trPr>
        <w:tc>
          <w:tcPr>
            <w:tcW w:w="364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9"/>
        </w:trPr>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1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r>
      <w:tr>
        <w:trPr>
          <w:trHeight w:val="173"/>
        </w:trPr>
        <w:tc>
          <w:tcPr>
            <w:tcW w:w="17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Foreign exchange</w:t>
            </w:r>
          </w:p>
        </w:tc>
        <w:tc>
          <w:tcPr>
            <w:tcW w:w="18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Prepaid expenses and</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7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17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r>
      <w:tr>
        <w:trPr>
          <w:trHeight w:val="22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1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Gross amounts recognized in the</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Gross amounts not offset in the</w:t>
            </w:r>
          </w:p>
        </w:tc>
        <w:tc>
          <w:tcPr>
            <w:tcW w:w="1480" w:type="dxa"/>
            <w:vAlign w:val="bottom"/>
          </w:tcPr>
          <w:p>
            <w:pPr>
              <w:spacing w:after="0"/>
              <w:rPr>
                <w:sz w:val="18"/>
                <w:szCs w:val="18"/>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Balance Sheet</w:t>
            </w:r>
          </w:p>
        </w:tc>
        <w:tc>
          <w:tcPr>
            <w:tcW w:w="25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Balance Sheet</w:t>
            </w:r>
          </w:p>
        </w:tc>
        <w:tc>
          <w:tcPr>
            <w:tcW w:w="1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amount</w:t>
            </w: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Balance at March 31, 2026</w:t>
            </w:r>
          </w:p>
        </w:tc>
        <w:tc>
          <w:tcPr>
            <w:tcW w:w="2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$58</w:t>
            </w:r>
          </w:p>
        </w:tc>
        <w:tc>
          <w:tcPr>
            <w:tcW w:w="25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44</w:t>
            </w:r>
          </w:p>
        </w:tc>
        <w:tc>
          <w:tcPr>
            <w:tcW w:w="25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14</w:t>
            </w: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30</w:t>
            </w:r>
          </w:p>
        </w:tc>
      </w:tr>
      <w:tr>
        <w:trPr>
          <w:trHeight w:val="162"/>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2025</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$33</w:t>
            </w:r>
          </w:p>
        </w:tc>
        <w:tc>
          <w:tcPr>
            <w:tcW w:w="25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$8</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71</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8</w:t>
            </w: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52"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at March 31, 2026 and December 31, 2025 were:</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  Debt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20"/>
        </w:trPr>
        <w:tc>
          <w:tcPr>
            <w:tcW w:w="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March 31, 2026</w:t>
            </w:r>
          </w:p>
        </w:tc>
        <w:tc>
          <w:tcPr>
            <w:tcW w:w="120" w:type="dxa"/>
            <w:vAlign w:val="bottom"/>
          </w:tcPr>
          <w:p>
            <w:pPr>
              <w:spacing w:after="0"/>
              <w:rPr>
                <w:sz w:val="24"/>
                <w:szCs w:val="24"/>
                <w:color w:val="auto"/>
              </w:rPr>
            </w:pPr>
          </w:p>
        </w:tc>
        <w:tc>
          <w:tcPr>
            <w:tcW w:w="22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18"/>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Principal</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Carrying</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Principal</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amount</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4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r>
      <w:tr>
        <w:trPr>
          <w:trHeight w:val="203"/>
        </w:trPr>
        <w:tc>
          <w:tcPr>
            <w:tcW w:w="360" w:type="dxa"/>
            <w:vAlign w:val="bottom"/>
          </w:tcPr>
          <w:p>
            <w:pPr>
              <w:spacing w:after="0"/>
              <w:rPr>
                <w:sz w:val="17"/>
                <w:szCs w:val="17"/>
                <w:color w:val="auto"/>
              </w:rPr>
            </w:pPr>
          </w:p>
        </w:tc>
        <w:tc>
          <w:tcPr>
            <w:tcW w:w="360" w:type="dxa"/>
            <w:vAlign w:val="bottom"/>
            <w:tcBorders>
              <w:right w:val="single" w:sz="8" w:color="CCEEFF"/>
            </w:tcBorders>
          </w:tcPr>
          <w:p>
            <w:pPr>
              <w:spacing w:after="0"/>
              <w:rPr>
                <w:sz w:val="17"/>
                <w:szCs w:val="17"/>
                <w:color w:val="auto"/>
              </w:rPr>
            </w:pPr>
          </w:p>
        </w:tc>
        <w:tc>
          <w:tcPr>
            <w:tcW w:w="45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53</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83</w:t>
            </w:r>
          </w:p>
        </w:tc>
      </w:tr>
      <w:tr>
        <w:trPr>
          <w:trHeight w:val="270"/>
        </w:trPr>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34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09"/>
        </w:trPr>
        <w:tc>
          <w:tcPr>
            <w:tcW w:w="360" w:type="dxa"/>
            <w:vAlign w:val="bottom"/>
          </w:tcPr>
          <w:p>
            <w:pPr>
              <w:spacing w:after="0"/>
              <w:rPr>
                <w:sz w:val="18"/>
                <w:szCs w:val="18"/>
                <w:color w:val="auto"/>
              </w:rPr>
            </w:pPr>
          </w:p>
        </w:tc>
        <w:tc>
          <w:tcPr>
            <w:tcW w:w="360" w:type="dxa"/>
            <w:vAlign w:val="bottom"/>
            <w:tcBorders>
              <w:right w:val="single" w:sz="8" w:color="CCEEFF"/>
            </w:tcBorders>
          </w:tcPr>
          <w:p>
            <w:pPr>
              <w:spacing w:after="0"/>
              <w:rPr>
                <w:sz w:val="18"/>
                <w:szCs w:val="18"/>
                <w:color w:val="auto"/>
              </w:rPr>
            </w:pPr>
          </w:p>
        </w:tc>
        <w:tc>
          <w:tcPr>
            <w:tcW w:w="10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4"/>
              </w:rPr>
              <w:t>Long-term debt</w:t>
            </w:r>
          </w:p>
        </w:tc>
        <w:tc>
          <w:tcPr>
            <w:tcW w:w="3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Term loan facilities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U.S. dollar due 2031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gridSpan w:val="2"/>
          </w:tcPr>
          <w:p>
            <w:pPr>
              <w:ind w:left="600"/>
              <w:spacing w:after="0" w:line="230" w:lineRule="exact"/>
              <w:rPr>
                <w:sz w:val="20"/>
                <w:szCs w:val="20"/>
                <w:color w:val="auto"/>
              </w:rPr>
            </w:pPr>
            <w:r>
              <w:rPr>
                <w:rFonts w:ascii="Times New Roman" w:cs="Times New Roman" w:eastAsia="Times New Roman" w:hAnsi="Times New Roman"/>
                <w:sz w:val="18"/>
                <w:szCs w:val="18"/>
                <w:color w:val="auto"/>
              </w:rPr>
              <w:t>Euro due 2031</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€500 at 5.00% due 2028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€500 at 4.75% due 2029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€600 at 4.50% due 2030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 dollar at 5.25% due 2030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€500 at 3.750% due 2031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 dollar at 5.875% due 2033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45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48"/>
        </w:trPr>
        <w:tc>
          <w:tcPr>
            <w:tcW w:w="36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€500 at March 31, 2026 and December 31, 2025</w:t>
      </w:r>
    </w:p>
    <w:p>
      <w:pPr>
        <w:spacing w:after="0" w:line="25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debt, using a market approach incorporating Level 2 inputs such as quoted market prices for the same or similar issues, was $6,286 at March 31, 2026 and $6,077 at December 31, 2025.</w:t>
      </w:r>
    </w:p>
    <w:p>
      <w:pPr>
        <w:spacing w:after="0" w:line="175" w:lineRule="exact"/>
        <w:rPr>
          <w:sz w:val="20"/>
          <w:szCs w:val="20"/>
          <w:color w:val="auto"/>
        </w:rPr>
      </w:pPr>
    </w:p>
    <w:p>
      <w:pPr>
        <w:jc w:val="both"/>
        <w:ind w:left="660" w:right="180"/>
        <w:spacing w:after="0" w:line="242" w:lineRule="auto"/>
        <w:rPr>
          <w:sz w:val="20"/>
          <w:szCs w:val="20"/>
          <w:color w:val="auto"/>
        </w:rPr>
      </w:pPr>
      <w:r>
        <w:rPr>
          <w:rFonts w:ascii="Times New Roman" w:cs="Times New Roman" w:eastAsia="Times New Roman" w:hAnsi="Times New Roman"/>
          <w:sz w:val="18"/>
          <w:szCs w:val="18"/>
          <w:color w:val="auto"/>
        </w:rPr>
        <w:t>In March 2026, the Company amended and restated the credit agreement governing its senior secured credit facilities (the "Second A&amp;R Credit Agreement"). The Second A&amp;R Credit Agreement extended the existing facilities' maturity to March 2031. All other material terms of the credit agreement remained unchanged. The facilities under the Second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A&amp;R Credit Agreement include a $800 U.S. dollar denominated revolving facility, a $800 multicurrency revolving facility, a $50 Canadian dollar-denominated revolving facility, a $1,175 Term A Loan, and a €499.5 Euro Term Loan.</w:t>
      </w:r>
    </w:p>
    <w:p>
      <w:pPr>
        <w:spacing w:after="0" w:line="20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U.S. dollar term loan interest rate was SOFR plus 1.00% and the Euro term loan interest rate was EURIBOR plus 1.00% at March 31, 2026. The U.S. dollar term loan interest rate was SOFR plus 1.10% and the Euro term loan interest rate was EURIBOR plus 1.00% at December 31, 2025.</w:t>
      </w:r>
    </w:p>
    <w:p>
      <w:pPr>
        <w:spacing w:after="0" w:line="199"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and other postretirement benefits costs for the three months ended March 31, 2026 and 2025 were as follows:</w:t>
      </w:r>
    </w:p>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8"/>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7"/>
          </w:tcPr>
          <w:p>
            <w:pPr>
              <w:jc w:val="center"/>
              <w:ind w:left="430"/>
              <w:spacing w:after="0"/>
              <w:rPr>
                <w:sz w:val="20"/>
                <w:szCs w:val="20"/>
                <w:color w:val="auto"/>
              </w:rPr>
            </w:pPr>
            <w:r>
              <w:rPr>
                <w:rFonts w:ascii="Times New Roman" w:cs="Times New Roman" w:eastAsia="Times New Roman" w:hAnsi="Times New Roman"/>
                <w:sz w:val="18"/>
                <w:szCs w:val="18"/>
                <w:color w:val="auto"/>
                <w:w w:val="99"/>
              </w:rPr>
              <w:t>March 31,</w:t>
            </w:r>
          </w:p>
        </w:tc>
        <w:tc>
          <w:tcPr>
            <w:tcW w:w="7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U.S. plans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60" w:type="dxa"/>
            <w:vAlign w:val="bottom"/>
            <w:tcBorders>
              <w:bottom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8"/>
          </w:tcPr>
          <w:p>
            <w:pPr>
              <w:jc w:val="center"/>
              <w:ind w:right="13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7"/>
          </w:tcPr>
          <w:p>
            <w:pPr>
              <w:jc w:val="center"/>
              <w:ind w:left="470"/>
              <w:spacing w:after="0"/>
              <w:rPr>
                <w:sz w:val="20"/>
                <w:szCs w:val="20"/>
                <w:color w:val="auto"/>
              </w:rPr>
            </w:pPr>
            <w:r>
              <w:rPr>
                <w:rFonts w:ascii="Times New Roman" w:cs="Times New Roman" w:eastAsia="Times New Roman" w:hAnsi="Times New Roman"/>
                <w:sz w:val="18"/>
                <w:szCs w:val="18"/>
                <w:color w:val="auto"/>
                <w:w w:val="99"/>
              </w:rPr>
              <w:t>March 31,</w:t>
            </w:r>
          </w:p>
        </w:tc>
        <w:tc>
          <w:tcPr>
            <w:tcW w:w="7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Non-U.S. plans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8"/>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Other postretirement benefits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60" w:type="dxa"/>
            <w:vAlign w:val="bottom"/>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6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components of net periodic cost other than the service cost component are included in Other pension and postretirement in the Consolidated Statement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amounts reclassified from accumulated other comprehensive income.</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Details about accumulated other</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color w:val="auto"/>
                <w:w w:val="99"/>
              </w:rPr>
              <w:t>March 31,</w:t>
            </w:r>
          </w:p>
        </w:tc>
        <w:tc>
          <w:tcPr>
            <w:tcW w:w="140" w:type="dxa"/>
            <w:vAlign w:val="bottom"/>
          </w:tcPr>
          <w:p>
            <w:pPr>
              <w:spacing w:after="0"/>
              <w:rPr>
                <w:sz w:val="20"/>
                <w:szCs w:val="20"/>
                <w:color w:val="auto"/>
              </w:rPr>
            </w:pPr>
          </w:p>
        </w:tc>
        <w:tc>
          <w:tcPr>
            <w:tcW w:w="35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Affected line items in the statement of</w:t>
            </w:r>
          </w:p>
        </w:tc>
        <w:tc>
          <w:tcPr>
            <w:tcW w:w="0" w:type="dxa"/>
            <w:vAlign w:val="bottom"/>
          </w:tcPr>
          <w:p>
            <w:pPr>
              <w:spacing w:after="0"/>
              <w:rPr>
                <w:sz w:val="1"/>
                <w:szCs w:val="1"/>
                <w:color w:val="auto"/>
              </w:rPr>
            </w:pPr>
          </w:p>
        </w:tc>
      </w:tr>
      <w:tr>
        <w:trPr>
          <w:trHeight w:val="164"/>
        </w:trPr>
        <w:tc>
          <w:tcPr>
            <w:tcW w:w="2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w w:val="99"/>
              </w:rPr>
              <w:t>comprehensive income</w:t>
            </w:r>
          </w:p>
        </w:tc>
        <w:tc>
          <w:tcPr>
            <w:tcW w:w="160" w:type="dxa"/>
            <w:vAlign w:val="bottom"/>
          </w:tcPr>
          <w:p>
            <w:pPr>
              <w:spacing w:after="0"/>
              <w:rPr>
                <w:sz w:val="15"/>
                <w:szCs w:val="15"/>
                <w:color w:val="auto"/>
              </w:rPr>
            </w:pPr>
          </w:p>
        </w:tc>
        <w:tc>
          <w:tcPr>
            <w:tcW w:w="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5"/>
                <w:szCs w:val="15"/>
                <w:color w:val="auto"/>
              </w:rPr>
            </w:pPr>
          </w:p>
        </w:tc>
        <w:tc>
          <w:tcPr>
            <w:tcW w:w="3560" w:type="dxa"/>
            <w:vAlign w:val="bottom"/>
          </w:tcPr>
          <w:p>
            <w:pPr>
              <w:ind w:left="1400"/>
              <w:spacing w:after="0" w:line="181" w:lineRule="exact"/>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components</w:t>
            </w: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0" w:type="dxa"/>
            <w:vAlign w:val="bottom"/>
          </w:tcPr>
          <w:p>
            <w:pPr>
              <w:spacing w:after="0"/>
              <w:rPr>
                <w:sz w:val="1"/>
                <w:szCs w:val="1"/>
                <w:color w:val="auto"/>
              </w:rPr>
            </w:pPr>
          </w:p>
        </w:tc>
      </w:tr>
      <w:tr>
        <w:trPr>
          <w:trHeight w:val="164"/>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Income before taxes and equity in net earnings</w:t>
            </w:r>
          </w:p>
        </w:tc>
        <w:tc>
          <w:tcPr>
            <w:tcW w:w="0" w:type="dxa"/>
            <w:vAlign w:val="bottom"/>
          </w:tcPr>
          <w:p>
            <w:pPr>
              <w:spacing w:after="0"/>
              <w:rPr>
                <w:sz w:val="1"/>
                <w:szCs w:val="1"/>
                <w:color w:val="auto"/>
              </w:rPr>
            </w:pPr>
          </w:p>
        </w:tc>
      </w:tr>
      <w:tr>
        <w:trPr>
          <w:trHeight w:val="234"/>
        </w:trPr>
        <w:tc>
          <w:tcPr>
            <w:tcW w:w="2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 affiliates</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reclassified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Capital Stock</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July 25,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repurchased $212 of its shares during the three months ended March 31, 2026.</w:t>
      </w:r>
    </w:p>
    <w:p>
      <w:pPr>
        <w:spacing w:after="0" w:line="21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declared and paid cash dividends of $0.35 per share and $0.26 per share, respectively. Additionally, on April 30, 2026, the Company's Board of Directors declared a dividend of $0.35 per share payable on May 28, 2026 to shareholders of record as of May 14, 2026.</w:t>
      </w:r>
    </w:p>
    <w:p>
      <w:pPr>
        <w:spacing w:after="0" w:line="199"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Accumulated Other Comprehensive Loss Attributable to Crown Holdings</w:t>
      </w:r>
    </w:p>
    <w:p>
      <w:pPr>
        <w:spacing w:after="0" w:line="256" w:lineRule="exact"/>
        <w:rPr>
          <w:sz w:val="20"/>
          <w:szCs w:val="20"/>
          <w:color w:val="auto"/>
        </w:rPr>
      </w:pPr>
    </w:p>
    <w:p>
      <w:pPr>
        <w:ind w:left="8480" w:right="1100" w:hanging="7831"/>
        <w:spacing w:after="0" w:line="262" w:lineRule="auto"/>
        <w:rPr>
          <w:sz w:val="20"/>
          <w:szCs w:val="20"/>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income/(loss). Gains and</w:t>
      </w:r>
    </w:p>
    <w:tbl>
      <w:tblPr>
        <w:tblLayout w:type="fixed"/>
        <w:tblInd w:w="660" w:type="dxa"/>
        <w:tblCellMar>
          <w:top w:w="0" w:type="dxa"/>
          <w:left w:w="0" w:type="dxa"/>
          <w:bottom w:w="0" w:type="dxa"/>
          <w:right w:w="0" w:type="dxa"/>
        </w:tblCellMar>
      </w:tblPr>
      <w:tr>
        <w:trPr>
          <w:trHeight w:val="160"/>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8"/>
                <w:szCs w:val="18"/>
                <w:color w:val="auto"/>
                <w:w w:val="99"/>
              </w:rPr>
              <w:t>Defined</w:t>
            </w:r>
          </w:p>
        </w:tc>
        <w:tc>
          <w:tcPr>
            <w:tcW w:w="140" w:type="dxa"/>
            <w:vAlign w:val="bottom"/>
          </w:tcPr>
          <w:p>
            <w:pPr>
              <w:spacing w:after="0"/>
              <w:rPr>
                <w:sz w:val="13"/>
                <w:szCs w:val="13"/>
                <w:color w:val="auto"/>
              </w:rPr>
            </w:pPr>
          </w:p>
        </w:tc>
        <w:tc>
          <w:tcPr>
            <w:tcW w:w="1180" w:type="dxa"/>
            <w:vAlign w:val="bottom"/>
            <w:gridSpan w:val="2"/>
          </w:tcPr>
          <w:p>
            <w:pPr>
              <w:jc w:val="center"/>
              <w:ind w:right="340"/>
              <w:spacing w:after="0" w:line="161" w:lineRule="exact"/>
              <w:rPr>
                <w:sz w:val="20"/>
                <w:szCs w:val="20"/>
                <w:color w:val="auto"/>
              </w:rPr>
            </w:pPr>
            <w:r>
              <w:rPr>
                <w:rFonts w:ascii="Times New Roman" w:cs="Times New Roman" w:eastAsia="Times New Roman" w:hAnsi="Times New Roman"/>
                <w:sz w:val="18"/>
                <w:szCs w:val="18"/>
                <w:color w:val="auto"/>
                <w:w w:val="99"/>
              </w:rPr>
              <w:t>Foreign</w:t>
            </w: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61" w:lineRule="exact"/>
              <w:rPr>
                <w:sz w:val="20"/>
                <w:szCs w:val="20"/>
                <w:color w:val="auto"/>
              </w:rPr>
            </w:pPr>
            <w:r>
              <w:rPr>
                <w:rFonts w:ascii="Times New Roman" w:cs="Times New Roman" w:eastAsia="Times New Roman" w:hAnsi="Times New Roman"/>
                <w:sz w:val="18"/>
                <w:szCs w:val="18"/>
                <w:color w:val="auto"/>
              </w:rPr>
              <w:t>losses on</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benefit</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currency</w:t>
            </w:r>
          </w:p>
        </w:tc>
        <w:tc>
          <w:tcPr>
            <w:tcW w:w="140" w:type="dxa"/>
            <w:vAlign w:val="bottom"/>
          </w:tcPr>
          <w:p>
            <w:pPr>
              <w:spacing w:after="0"/>
              <w:rPr>
                <w:sz w:val="16"/>
                <w:szCs w:val="16"/>
                <w:color w:val="auto"/>
              </w:rPr>
            </w:pPr>
          </w:p>
        </w:tc>
        <w:tc>
          <w:tcPr>
            <w:tcW w:w="112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cash flow</w:t>
            </w:r>
          </w:p>
        </w:tc>
        <w:tc>
          <w:tcPr>
            <w:tcW w:w="200" w:type="dxa"/>
            <w:vAlign w:val="bottom"/>
          </w:tcPr>
          <w:p>
            <w:pPr>
              <w:spacing w:after="0"/>
              <w:rPr>
                <w:sz w:val="16"/>
                <w:szCs w:val="16"/>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for further details of amounts related to cash flow hedges and defined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   Revenue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80"/>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recognized revenue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7"/>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for further disaggregation of the Company's revenue.</w:t>
      </w:r>
    </w:p>
    <w:p>
      <w:pPr>
        <w:spacing w:after="0" w:line="18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applied the practical expedient to exclude disclosure of remaining performance obligations as its binding orders typically have a term of one year or less.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$36 and $30 as of March 31, 2026 and December 31, 2025, respectively, included in prepaid and other current assets. During the three months ended March 31, 2026, the Company satisfied performance obligations related to contract assets at December 31, 2025 and also recorded new contract assets primarily related to work in process for the equipment business.</w:t>
      </w:r>
    </w:p>
    <w:p>
      <w:pPr>
        <w:spacing w:after="0" w:line="139" w:lineRule="exact"/>
        <w:rPr>
          <w:sz w:val="20"/>
          <w:szCs w:val="20"/>
          <w:color w:val="auto"/>
        </w:rPr>
      </w:pPr>
    </w:p>
    <w:p>
      <w:pPr>
        <w:ind w:left="372" w:hanging="372"/>
        <w:spacing w:after="0"/>
        <w:tabs>
          <w:tab w:leader="none" w:pos="37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25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table summarizes the computations of basic and diluted earnings per share attributable to the Company.</w:t>
      </w:r>
    </w:p>
    <w:p>
      <w:pPr>
        <w:spacing w:after="0" w:line="293"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Crown Holdings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Dilutive restricted stock</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0.28 million and 0.12 million contingently issuable common shares were excluded from the computation of diluted earnings per share because the effect would be anti-dilutive.</w:t>
      </w:r>
    </w:p>
    <w:p>
      <w:pPr>
        <w:spacing w:after="0" w:line="185" w:lineRule="exact"/>
        <w:rPr>
          <w:sz w:val="20"/>
          <w:szCs w:val="20"/>
          <w:color w:val="auto"/>
        </w:rPr>
      </w:pPr>
    </w:p>
    <w:p>
      <w:pPr>
        <w:ind w:left="392" w:hanging="392"/>
        <w:spacing w:after="0"/>
        <w:tabs>
          <w:tab w:leader="none" w:pos="39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56"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restructuring and other and the impact of fair value adjustments related to inventory acquired in an acquisition. Segment income includes cost of products sold, depreciation and general selling and administrative expenses. Segment income should not be considered in isolation or as a substitute for net income prepared in accordance with GAAP and may not be comparable to calculations of similarly titled measures by other companies.</w:t>
      </w:r>
    </w:p>
    <w:p>
      <w:pPr>
        <w:spacing w:after="0" w:line="21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operating segments.</w:t>
      </w:r>
    </w:p>
    <w:p>
      <w:pPr>
        <w:spacing w:after="0" w:line="279" w:lineRule="exact"/>
        <w:rPr>
          <w:sz w:val="20"/>
          <w:szCs w:val="20"/>
          <w:color w:val="auto"/>
        </w:rPr>
      </w:pPr>
    </w:p>
    <w:tbl>
      <w:tblPr>
        <w:tblLayout w:type="fixed"/>
        <w:tblInd w:w="652"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External</w:t>
            </w:r>
          </w:p>
        </w:tc>
        <w:tc>
          <w:tcPr>
            <w:tcW w:w="1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Intersegment</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sales</w:t>
            </w:r>
          </w:p>
        </w:tc>
        <w:tc>
          <w:tcPr>
            <w:tcW w:w="1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21" w:name="page22"/>
    <w:bookmarkEnd w:id="21"/>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External</w:t>
            </w:r>
          </w:p>
        </w:tc>
        <w:tc>
          <w:tcPr>
            <w:tcW w:w="1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Intersegment</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sales</w:t>
            </w:r>
          </w:p>
        </w:tc>
        <w:tc>
          <w:tcPr>
            <w:tcW w:w="1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disclose total assets by segment as it is not provided to the chief operating decision maker.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sources of revenue included in Other are the Company's North America tinplate businesses: food can, aerosol can, and closures, and beverage tooling and equipment operations in the U.S. and U.K.</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sales primarily include equipment and parts used in the manufacturing process.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of reportable segments to income before income taxes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21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March 31,</w:t>
            </w: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of reportable segments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 of other</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55"/>
        </w:trPr>
        <w:tc>
          <w:tcPr>
            <w:tcW w:w="4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from operations before taxes and equity in net earnings of</w:t>
            </w:r>
          </w:p>
        </w:tc>
        <w:tc>
          <w:tcPr>
            <w:tcW w:w="760" w:type="dxa"/>
            <w:vAlign w:val="bottom"/>
            <w:vMerge w:val="restart"/>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2" w:name="page23"/>
    <w:bookmarkEnd w:id="22"/>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95" w:lineRule="exact"/>
        <w:rPr>
          <w:sz w:val="20"/>
          <w:szCs w:val="20"/>
          <w:color w:val="auto"/>
        </w:rPr>
      </w:pPr>
    </w:p>
    <w:p>
      <w:pPr>
        <w:ind w:right="3520" w:hanging="17"/>
        <w:spacing w:after="0" w:line="286" w:lineRule="auto"/>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 xml:space="preserve"> </w:t>
      </w: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(dollars in millions)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56"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The following discussion presents management's analysis of the results of operations for the three months ended March 31, 2026 compared to 2025 and changes in financial condition and liquidity from December 31, 2025. This discussion should be read in conjunction with the consolidated financial statements and notes thereto included in the Company's Annual Report on Form 10-K for the year ended December 31, 2025, along with the consolidated financial statements and related notes included in and referred to within this report.</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 and Trends</w:t>
      </w:r>
    </w:p>
    <w:p>
      <w:pPr>
        <w:spacing w:after="0" w:line="243"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Company's strategy is to maximize long-term shareholder value by pursuing profitable growth opportunities while returning cash to shareholders through dividends and share repurchases.</w:t>
      </w:r>
    </w:p>
    <w:p>
      <w:pPr>
        <w:spacing w:after="0" w:line="189"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8"/>
          <w:szCs w:val="18"/>
          <w:color w:val="auto"/>
        </w:rPr>
        <w:t>Global industry demand for beverage cans has been growing in recent years in North America, Brazil and Europe. Growth has been driven by new product introductions, customer and consumer focus on the sustainability benefits of aluminum and population and GDP growth in many markets. To meet such demand, the Company made long-term investments of at least $2,000 for new manufacturing facilities and additional production lines in existing facilities since 2019. Capital spending to support our growth objectives is estimated at $550 in 2026.</w:t>
      </w:r>
    </w:p>
    <w:p>
      <w:pPr>
        <w:spacing w:after="0" w:line="208" w:lineRule="exact"/>
        <w:rPr>
          <w:sz w:val="20"/>
          <w:szCs w:val="20"/>
          <w:color w:val="auto"/>
        </w:rPr>
      </w:pPr>
    </w:p>
    <w:p>
      <w:pPr>
        <w:jc w:val="both"/>
        <w:ind w:left="480"/>
        <w:spacing w:after="0" w:line="239" w:lineRule="auto"/>
        <w:rPr>
          <w:sz w:val="20"/>
          <w:szCs w:val="20"/>
          <w:color w:val="auto"/>
        </w:rPr>
      </w:pPr>
      <w:r>
        <w:rPr>
          <w:rFonts w:ascii="Times New Roman" w:cs="Times New Roman" w:eastAsia="Times New Roman" w:hAnsi="Times New Roman"/>
          <w:sz w:val="18"/>
          <w:szCs w:val="18"/>
          <w:color w:val="auto"/>
        </w:rPr>
        <w:t>The Company's strategy is anchored by strong cash flow generation and a healthy balance sheet with a long-term net leverage target of 2.5x adjusted EBITDA (a non-GAAP measure). The Company believes it has the flexibility and resources to fund growth, repay debt and return excess cash flow to shareholders. On July 25, 2024, the Company's Board of Directors authorized the repurchase of an aggregate amount of $2,000 of the Company's common stock through the end of 2027. As of March 31, 2026, the Company had approximately $1,100 remaining that may yet be purchased under the program.</w:t>
      </w:r>
    </w:p>
    <w:p>
      <w:pPr>
        <w:spacing w:after="0" w:line="225"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 xml:space="preserve">The Company continues to actively elevate its commitment to sustainability, which is a core focus of the Company. In 2020, the Company introduced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a robust program that outlines twenty measurable, science based, environmental, social and governance goals to be completed by 2030. The Company was honored as one of Forbes' Net Zero Leaders for 2025, a recognition that reflects the commitment and hard work of the global organization, driving meaningful and consistent progress toward the Company's sustainability goals.</w:t>
      </w:r>
    </w:p>
    <w:p>
      <w:pPr>
        <w:spacing w:after="0" w:line="207" w:lineRule="exact"/>
        <w:rPr>
          <w:sz w:val="20"/>
          <w:szCs w:val="20"/>
          <w:color w:val="auto"/>
        </w:rPr>
      </w:pPr>
    </w:p>
    <w:p>
      <w:pPr>
        <w:jc w:val="both"/>
        <w:ind w:left="480"/>
        <w:spacing w:after="0" w:line="255" w:lineRule="auto"/>
        <w:rPr>
          <w:sz w:val="20"/>
          <w:szCs w:val="20"/>
          <w:color w:val="auto"/>
        </w:rPr>
      </w:pPr>
      <w:r>
        <w:rPr>
          <w:rFonts w:ascii="Times New Roman" w:cs="Times New Roman" w:eastAsia="Times New Roman" w:hAnsi="Times New Roman"/>
          <w:sz w:val="18"/>
          <w:szCs w:val="18"/>
          <w:color w:val="auto"/>
        </w:rPr>
        <w:t>The Company continues to actively manage the challenges of supply chain disruptions, foreign exchange, interest rate fluctuations, and inflationary pressures, including increasing costs for raw materials, energy and transportation. Additionally, tariffs, retaliatory trade measures and further trade restrictions could result in higher raw material costs and a wide range of possible outcomes including impacts on consumers and industrial activity.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under the heading "Results of Operations" below.</w:t>
      </w:r>
    </w:p>
    <w:p>
      <w:pPr>
        <w:spacing w:after="0" w:line="216" w:lineRule="exact"/>
        <w:rPr>
          <w:sz w:val="20"/>
          <w:szCs w:val="20"/>
          <w:color w:val="auto"/>
        </w:rPr>
      </w:pPr>
    </w:p>
    <w:p>
      <w:pPr>
        <w:jc w:val="both"/>
        <w:ind w:left="480"/>
        <w:spacing w:after="0" w:line="282" w:lineRule="auto"/>
        <w:rPr>
          <w:sz w:val="20"/>
          <w:szCs w:val="20"/>
          <w:color w:val="auto"/>
        </w:rPr>
      </w:pPr>
      <w:r>
        <w:rPr>
          <w:rFonts w:ascii="Times New Roman" w:cs="Times New Roman" w:eastAsia="Times New Roman" w:hAnsi="Times New Roman"/>
          <w:sz w:val="18"/>
          <w:szCs w:val="18"/>
          <w:color w:val="auto"/>
        </w:rPr>
        <w:t>To date the war between Russia and Ukraine and the conflicts in the Middle East, including the war in Iran, have not had a direct material impact on the Company's business, financial condition, or results of operations.</w:t>
      </w:r>
    </w:p>
    <w:p>
      <w:pPr>
        <w:spacing w:after="0" w:line="1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03"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Mexican peso in the Company's Americas Beverage segment, the euro and the British pound in the Company's European Beverage segment, and the Thai baht in the Company's Asia Pacific segment. The Company's Transit</w:t>
      </w:r>
    </w:p>
    <w:p>
      <w:pPr>
        <w:sectPr>
          <w:pgSz w:w="11900" w:h="16838" w:orient="portrait"/>
          <w:cols w:equalWidth="0" w:num="1">
            <w:col w:w="11060"/>
          </w:cols>
          <w:pgMar w:left="50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7" w:right="339" w:bottom="1440" w:gutter="0" w:footer="0" w:header="0"/>
          <w:type w:val="continuous"/>
        </w:sectPr>
      </w:pPr>
    </w:p>
    <w:bookmarkStart w:id="23" w:name="page24"/>
    <w:bookmarkEnd w:id="23"/>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Packaging segment is a global business and the foreign currency translation impacts referred to in the discussion below are primarily related to the euro, the Indian rupee, the Swedish krona, and the Mexican peso.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calculates the impact of foreign currency translation by dividing current year U.S. dollar results by the current year average foreign exchange rates and then multiplying those amounts by the applicable prior year average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Sales and Segment Income</w:t>
      </w:r>
    </w:p>
    <w:p>
      <w:pPr>
        <w:spacing w:after="0" w:line="54"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$234 from the pass-through of higher material costs, 5% higher beverage volumes, and favorable foreign currency translation of $74.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and Canadian beverage can markets have experienced growth in recent years due to the introduction of new beverage products in cans versus other packaging formats. In Brazil and Mexico, the Company's volumes have increased in recent years primarily due to market growth driven by increased per capita incomes and consumption, combined with an increased preference for cans over other forms of beverage packing. In May 2025, the Company announced it will add a new high-speed production line to its beverage can plant in Ponta Grossa, Brazil. The line is expected to commence commercial production in late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primarily due to $184 from the pass-through of higher aluminum costs.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decreased primarily due to higher costs not recovered and 5% lower beverage can volumes in Brazil.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consumer focus on sustainability benefits of aluminum and a market shift to cans versus other packaging formats. To meet volume requirements, the Company plans to add additional line capacity in Korinthos, Greece and Agoncillo, Spain in late 2026. In April 2026, the Company announced plans to construct a new two-line, high-speed beverage can plant in Northern India. This plant is expected to commence operations in the second half of 2027.</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4" w:name="page25"/>
    <w:bookmarkEnd w:id="24"/>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9"/>
                <w:szCs w:val="19"/>
                <w:color w:val="auto"/>
              </w:rPr>
            </w:pPr>
          </w:p>
        </w:tc>
      </w:tr>
      <w:tr>
        <w:trPr>
          <w:trHeight w:val="234"/>
        </w:trPr>
        <w:tc>
          <w:tcPr>
            <w:tcW w:w="45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588</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512</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primarily due to 7% higher volumes and favorable foreign currency translation of $36.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increased primarily due to higher volumes and favorable foreign currency translation of $5.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Asia Pacific segment consists of beverage can operations in Cambodia, China, Indonesia, Malaysia,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 In recent years, the Asia Pacific beverage can market has experienced some softness as the region struggles with the effects of higher inflation and interest rates.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279</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primarily due to 17% higher volumes and favorable foreign currency translation of $7.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increased primarily due to higher volumes.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w:t>
      </w:r>
    </w:p>
    <w:p>
      <w:pPr>
        <w:spacing w:after="0" w:line="22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segment may be subject to direct and indirect effects from tariffs which may slow consumer and industrial activity, the impact of which cannot be reasonably predicted. The Company will continue to monitor these conditions, including potential actions to mitigate their impact. This economic uncertainty could affect projected future financial performance and may require a quantitative goodwill impairment test in the future to determine if an impairment charge is necessary.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Transit Packaging segment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482</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0" w:lineRule="exact"/>
        <w:rPr>
          <w:sz w:val="20"/>
          <w:szCs w:val="20"/>
          <w:color w:val="auto"/>
        </w:rPr>
      </w:pP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5" w:name="page26"/>
    <w:bookmarkEnd w:id="25"/>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primarily due to favorable foreign currency translation of $21, partially offset by lower material costs.</w:t>
      </w:r>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margin compression due to lower selling prices, primarily in plastic strap and protective solutions, partially offset by improved cost performance of $6.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includes the Company's North America tinplate businesses: food can, aerosol can, and closures, and beverage tooling and equipment operations in the U.S. and U.K.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Other were as follows: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95"/>
        </w:trPr>
        <w:tc>
          <w:tcPr>
            <w:tcW w:w="4620" w:type="dxa"/>
            <w:vAlign w:val="bottom"/>
          </w:tcPr>
          <w:p>
            <w:pPr>
              <w:spacing w:after="0"/>
              <w:rPr>
                <w:sz w:val="24"/>
                <w:szCs w:val="24"/>
                <w:color w:val="auto"/>
              </w:rPr>
            </w:pPr>
          </w:p>
        </w:tc>
        <w:tc>
          <w:tcPr>
            <w:tcW w:w="20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4"/>
                <w:szCs w:val="24"/>
                <w:color w:val="auto"/>
              </w:rPr>
            </w:pPr>
          </w:p>
        </w:tc>
      </w:tr>
      <w:tr>
        <w:trPr>
          <w:trHeight w:val="234"/>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30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Net sales increased primarily due to $37 from the pass-through of higher tinplate costs and higher sales in the Company's beverage can equipment operations.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Segment income increased primarily due to increased profitability in the Company's North America tinplate businesses due to commercial and operational improvements with 3% volume growth in North American food cans and higher sales in the Company's beverage can equipment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unallocated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00" w:lineRule="exact"/>
        <w:rPr>
          <w:sz w:val="20"/>
          <w:szCs w:val="20"/>
          <w:color w:val="auto"/>
        </w:rPr>
      </w:pPr>
    </w:p>
    <w:p>
      <w:pPr>
        <w:spacing w:after="0" w:line="272"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14605</wp:posOffset>
            </wp:positionV>
            <wp:extent cx="1491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1" w:lineRule="exact"/>
        <w:rPr>
          <w:sz w:val="20"/>
          <w:szCs w:val="20"/>
          <w:color w:val="auto"/>
        </w:rPr>
      </w:pPr>
    </w:p>
    <w:p>
      <w:pPr>
        <w:ind w:left="4900"/>
        <w:spacing w:after="0"/>
        <w:tabs>
          <w:tab w:leader="none" w:pos="618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438023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8023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4540" w:val="left"/>
          <w:tab w:leader="none" w:pos="5280" w:val="left"/>
          <w:tab w:leader="none" w:pos="5860" w:val="left"/>
          <w:tab w:leader="none" w:pos="6540" w:val="left"/>
        </w:tabs>
        <w:rPr>
          <w:sz w:val="20"/>
          <w:szCs w:val="20"/>
          <w:color w:val="auto"/>
        </w:rPr>
      </w:pPr>
      <w:r>
        <w:rPr>
          <w:rFonts w:ascii="Times New Roman" w:cs="Times New Roman" w:eastAsia="Times New Roman" w:hAnsi="Times New Roman"/>
          <w:sz w:val="18"/>
          <w:szCs w:val="18"/>
          <w:color w:val="auto"/>
        </w:rPr>
        <w:t>Corporate and unallocated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(41)</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unallocated expenses were relatively flat for the three months ended March 31, 2026 compared to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other,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other was relatively flat for the three months ended March 31, 2026 compared to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review its cost structure and may record additional restructuring charges in the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Taxes on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rates were as follows:</w:t>
      </w:r>
    </w:p>
    <w:p>
      <w:pPr>
        <w:spacing w:after="0" w:line="27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 and equity in net earnings of affiliates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r>
    </w:tbl>
    <w:p>
      <w:pPr>
        <w:spacing w:after="0" w:line="200" w:lineRule="exact"/>
        <w:rPr>
          <w:sz w:val="20"/>
          <w:szCs w:val="20"/>
          <w:color w:val="auto"/>
        </w:rPr>
      </w:pP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6" w:name="page27"/>
    <w:bookmarkEnd w:id="26"/>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increase in the effective tax rate for the three months ended March 31, 2026 compared to 2025, was primarily due to an income tax benefit of $22 recorded in the first quarter of 2025 after an internal reorganization which resulted in the release of deferred tax liabilities related to the foreign currency impact of certain intercompany debt instruments that were designated as hedges of the Company's net investment in a euro-based subsidiary.</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U.S. government enacted tax reform, commonly referred to as the One Big Beautiful Bill Act ("OBBBA"). OBBBA is not expected to have a material impact on the Company's financial results for 2026.</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Effective January 1, 2024, various jurisdictions in which the Company operates have enacted the Pillar II directive which establishes a global minimum corporate tax rate of 15% initiated by the Organisation for Economic Co-operation and Development ("OECD"). The Company does not currently expect Pillar II to have a material impact on its financial results, including its annual estimated effective tax rate or liquidity for 2026 based on currently enacted tax laws. However, the Company continues to monitor developments across its jurisdictions, including any additional guidance issued by the OECD.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compared to 2025, net income attributable to noncontrolling interests decreased from $34 to $31 primarily due to lower earnings in the Company's beverage can operations in Brazil.</w:t>
      </w:r>
    </w:p>
    <w:p>
      <w:pPr>
        <w:spacing w:after="0" w:line="18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used for operating activities increased from an inflow of $14 for the three months ended March 31, 2025 to an outflow of $54 for the three months ended March 31, 2026, primarily due to changes in working capital.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Days sales outstanding for trade receivables, excluding the impact of unbilled receivables, decreased from 31 days as of March 31, 2025 to 30 days as of March 31,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turnover decreased from 57 days at March 31, 2025 to 55 days at March 31,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outstanding for trade payables decreased from 87 days at March 31, 2025 to 86 days at March 31,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for investing activities increased from an inflow of $1 for the three months ended March 31, 2025 to an outflow of $97 for the three months ended March 31, 2026, primarily due to increased capital expenditures and $45 settlement of cross-currency swaps that matured in February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capital expenditures in 2026 to be approximately $550.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used for financing activities decreased from $153 for the three months ended March 31, 2025 to $29 for the three months ended March 31, 2026, primarily due to increased borrowings under the Company's revolving credit facilities, partially offset by $96 of payments for assets financed in 2025. The Company expects cash receipts from financed assets at the end of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$518 of the Company's $584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$254 was held by subsidiaries for which earnings are considered indefinitely reinvested.</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7" w:name="page28"/>
    <w:bookmarkEnd w:id="27"/>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revolving credit agreements provide capacity of $1,650 and as of March 31, 2026, the Company had available capacity of $1,380.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could have borrowed this amount at March 31, 2026 and still have been in compliance with its leverage ratio covenants.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2.57 to 1.0 at March 31, 2026 was in compliance with the covenant requiring a ratio no greater than 4.5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or may not pursue such transactions.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current sources of liquidity also include a securitization facility with a program limit up to a maximum of $800 that expires in July 2027 and securitization facilities with program limits of $230 and $180 that expire in November 2027.</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approximately $261 of capital commitments primarily related to Americas Beverage and European Beverage. The Company expects to fund these commitments primarily through cash flows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2025, which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7.50% senior notes due 2096 issued by Crown Cork &amp; Seal Company, Inc., which are fully and unconditionally guaranteed by Crown Holdings, Inc. (the "Parent"). No other subsidiary guarantees the debt and the guarantees are made on a joint and several basis.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w:t>
      </w:r>
    </w:p>
    <w:p>
      <w:pPr>
        <w:spacing w:after="0" w:line="200" w:lineRule="exact"/>
        <w:rPr>
          <w:sz w:val="20"/>
          <w:szCs w:val="20"/>
          <w:color w:val="auto"/>
        </w:rPr>
      </w:pPr>
    </w:p>
    <w:p>
      <w:pPr>
        <w:spacing w:after="0" w:line="3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8" w:name="page29"/>
    <w:bookmarkEnd w:id="28"/>
    <w:p>
      <w:pPr>
        <w:ind w:left="4144"/>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United States.</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Crown Cork Obligor Group</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72"/>
        </w:trPr>
        <w:tc>
          <w:tcPr>
            <w:tcW w:w="200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4"/>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4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 attributable to Crown Holdings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74"/>
        </w:trPr>
        <w:tc>
          <w:tcPr>
            <w:tcW w:w="63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 Includes $22 of expense related to intercompany interest with non-guarantor subsidiaries</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995"/>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88"/>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r>
      <w:tr>
        <w:trPr>
          <w:trHeight w:val="188"/>
        </w:trPr>
        <w:tc>
          <w:tcPr>
            <w:tcW w:w="874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(1) Includes payables of $7,250 and $6,954 due to non-guarantor subsidiaries as of March 31, 2026 and December 31, 2025</w:t>
            </w:r>
          </w:p>
        </w:tc>
      </w:tr>
      <w:tr>
        <w:trPr>
          <w:trHeight w:val="428"/>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Crown Americas Obligor Group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15"/>
        </w:trPr>
        <w:tc>
          <w:tcPr>
            <w:tcW w:w="2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40" w:type="dxa"/>
            <w:vAlign w:val="bottom"/>
          </w:tcPr>
          <w:p>
            <w:pPr>
              <w:spacing w:after="0"/>
              <w:rPr>
                <w:sz w:val="24"/>
                <w:szCs w:val="24"/>
                <w:color w:val="auto"/>
              </w:rPr>
            </w:pPr>
          </w:p>
        </w:tc>
      </w:tr>
      <w:tr>
        <w:trPr>
          <w:trHeight w:val="234"/>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414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1,409</w:t>
            </w: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1840" w:type="dxa"/>
            <w:vAlign w:val="bottom"/>
          </w:tcPr>
          <w:p>
            <w:pPr>
              <w:spacing w:after="0"/>
              <w:rPr>
                <w:sz w:val="19"/>
                <w:szCs w:val="19"/>
                <w:color w:val="auto"/>
              </w:rPr>
            </w:pPr>
          </w:p>
        </w:tc>
      </w:tr>
      <w:tr>
        <w:trPr>
          <w:trHeight w:val="230"/>
        </w:trPr>
        <w:tc>
          <w:tcPr>
            <w:tcW w:w="4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1840" w:type="dxa"/>
            <w:vAlign w:val="bottom"/>
          </w:tcPr>
          <w:p>
            <w:pPr>
              <w:spacing w:after="0"/>
              <w:rPr>
                <w:sz w:val="19"/>
                <w:szCs w:val="19"/>
                <w:color w:val="auto"/>
              </w:rPr>
            </w:pPr>
          </w:p>
        </w:tc>
      </w:tr>
      <w:tr>
        <w:trPr>
          <w:trHeight w:val="230"/>
        </w:trPr>
        <w:tc>
          <w:tcPr>
            <w:tcW w:w="41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840" w:type="dxa"/>
            <w:vAlign w:val="bottom"/>
          </w:tcPr>
          <w:p>
            <w:pPr>
              <w:spacing w:after="0"/>
              <w:rPr>
                <w:sz w:val="19"/>
                <w:szCs w:val="19"/>
                <w:color w:val="auto"/>
              </w:rPr>
            </w:pPr>
          </w:p>
        </w:tc>
      </w:tr>
      <w:tr>
        <w:trPr>
          <w:trHeight w:val="229"/>
        </w:trPr>
        <w:tc>
          <w:tcPr>
            <w:tcW w:w="4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840" w:type="dxa"/>
            <w:vAlign w:val="bottom"/>
          </w:tcPr>
          <w:p>
            <w:pPr>
              <w:spacing w:after="0"/>
              <w:rPr>
                <w:sz w:val="19"/>
                <w:szCs w:val="19"/>
                <w:color w:val="auto"/>
              </w:rPr>
            </w:pPr>
          </w:p>
        </w:tc>
      </w:tr>
    </w:tbl>
    <w:p>
      <w:pPr>
        <w:spacing w:after="0" w:line="72" w:lineRule="exact"/>
        <w:rPr>
          <w:sz w:val="20"/>
          <w:szCs w:val="20"/>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$118 of sales to non-guarantor subsidiaries</w:t>
      </w:r>
    </w:p>
    <w:p>
      <w:pPr>
        <w:spacing w:after="0" w:line="27"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 of gross profit related to sales to non-guarantor subsidiaries</w:t>
      </w:r>
    </w:p>
    <w:p>
      <w:pPr>
        <w:spacing w:after="0" w:line="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of income related to intercompany interest and technology royalties with non-guarantor subsidiaries</w:t>
      </w:r>
    </w:p>
    <w:p>
      <w:pPr>
        <w:spacing w:after="0" w:line="200" w:lineRule="exact"/>
        <w:rPr>
          <w:sz w:val="20"/>
          <w:szCs w:val="20"/>
          <w:color w:val="auto"/>
        </w:rPr>
      </w:pPr>
    </w:p>
    <w:p>
      <w:pPr>
        <w:spacing w:after="0" w:line="32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6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4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30"/>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3"/>
                <w:szCs w:val="23"/>
                <w:color w:val="auto"/>
                <w:vertAlign w:val="superscript"/>
              </w:rPr>
              <w:t>2</w:t>
            </w:r>
          </w:p>
        </w:tc>
        <w:tc>
          <w:tcPr>
            <w:tcW w:w="1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3</w:t>
            </w:r>
          </w:p>
        </w:tc>
        <w:tc>
          <w:tcPr>
            <w:tcW w:w="1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312"/>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4</w:t>
            </w:r>
          </w:p>
        </w:tc>
        <w:tc>
          <w:tcPr>
            <w:tcW w:w="17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r>
    </w:tbl>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$48 and $39 due from non-guarantor subsidiaries as of March 31, 2026 and December 31, 2025</w:t>
      </w:r>
    </w:p>
    <w:p>
      <w:pPr>
        <w:spacing w:after="0" w:line="16"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$245 and $111 due from non-guarantor subsidiaries as of March 31, 2026 and December 31, 2025</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$23 and $25 due to non-guarantor subsidiaries as of March 31, 2026 and December 31, 2025</w:t>
      </w:r>
    </w:p>
    <w:p>
      <w:pPr>
        <w:spacing w:after="0" w:line="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$981 and $951 due to non-guarantor subsidiaries as of March 31, 2026 and December 31, 2025</w:t>
      </w:r>
    </w:p>
    <w:p>
      <w:pPr>
        <w:spacing w:after="0" w:line="200" w:lineRule="exact"/>
        <w:rPr>
          <w:sz w:val="20"/>
          <w:szCs w:val="20"/>
          <w:color w:val="auto"/>
        </w:rPr>
      </w:pP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 xml:space="preserve">Information regarding the Company's commitments and contingent liabilities appears in Part I within Item 1 of this report under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entitled "Commitments and Contingent Liabilities," to the consolidated financial statements, and in Part II within Item 1A of this report which information is incorporated herein by reference.</w:t>
      </w:r>
    </w:p>
    <w:p>
      <w:pPr>
        <w:sectPr>
          <w:pgSz w:w="11900" w:h="16838" w:orient="portrait"/>
          <w:cols w:equalWidth="0" w:num="1">
            <w:col w:w="10584"/>
          </w:cols>
          <w:pgMar w:left="976"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type w:val="continuous"/>
        </w:sectPr>
      </w:pPr>
    </w:p>
    <w:bookmarkStart w:id="29" w:name="page30"/>
    <w:bookmarkEnd w:id="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U.S.</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which require that management make numerous estimates and assumptions.</w:t>
      </w:r>
    </w:p>
    <w:p>
      <w:pPr>
        <w:spacing w:after="0" w:line="234" w:lineRule="exact"/>
        <w:rPr>
          <w:sz w:val="20"/>
          <w:szCs w:val="20"/>
          <w:color w:val="auto"/>
        </w:rPr>
      </w:pPr>
    </w:p>
    <w:p>
      <w:pPr>
        <w:jc w:val="both"/>
        <w:ind w:left="740"/>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2025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 xml:space="preserve">Statements included herein, including, but not limited to, those in "Management's Discussion and Analysis of Financial Condition and Results of Operations" and in the discussions of asbestos in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and commitments and contingencies in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2025, which are not historical facts (including any statements concerning the conflicts in the Middle East, including the war in Iran, southeast Asia and the Russia-Ukraine war, objectives of management for share repurchases, dividends, future operations or economic performance, or assumptions related thereto, including the potential for higher interest rates, energy and raw material prices, including tariffs, retaliatory trade measures and further trade restrictions), are "forward-looking statements" within the meaning of the federal securities laws. In addition, the Company and its representatives may, from time to time, make oral or written statements which are also "forward-looking statements."</w:t>
      </w:r>
    </w:p>
    <w:p>
      <w:pPr>
        <w:spacing w:after="0" w:line="2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03"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w:t>
      </w:r>
    </w:p>
    <w:p>
      <w:pPr>
        <w:spacing w:after="0" w:line="207"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2025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tem 3.</w:t>
        <w:tab/>
        <w:t>Quantitative and Qualitative Disclosures About Market Risk</w:t>
      </w:r>
    </w:p>
    <w:p>
      <w:pPr>
        <w:spacing w:after="0" w:line="234"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 xml:space="preserve">Company's use of derivative instruments and their fair values at March 31, 2026, 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to the consolidated financial statements included in this Quarterly Report on Form 10-Q.</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$2.1 billion principal floating interest rate debt and $1.4 billion of securitization and factoring. A change of 0.25% in these floating interest rates would change annual interest expense by approximately $9 million before tax.</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1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1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regarding the Company's potential asbestos-related liabilities and other litigation, see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entitled "Asbestos-Related Liabilities" and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entitled "Commitments and Contingent Liabilities" to the consolidated financial statements within Part I, Item 1 of this Quarterly Report on Form 10-Q, which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5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report should be read in conjunction with the risk factors discussed in Item 1A of the Company's Annual Report on Form 10-K for the year ended December 31, 2025.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25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three months ended March 31, 2026. The table excludes 106,573 shares surrendered to cover taxes on the vesting of restricted stock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tbl>
      <w:tblPr>
        <w:tblLayout w:type="fixed"/>
        <w:tblInd w:w="66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Approximate dollar value of shares that</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14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Total number of</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8"/>
              </w:rPr>
              <w:t>Average price</w:t>
            </w:r>
          </w:p>
        </w:tc>
        <w:tc>
          <w:tcPr>
            <w:tcW w:w="20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purchased as part of</w:t>
            </w:r>
          </w:p>
        </w:tc>
        <w:tc>
          <w:tcPr>
            <w:tcW w:w="160" w:type="dxa"/>
            <w:vAlign w:val="bottom"/>
          </w:tcPr>
          <w:p>
            <w:pPr>
              <w:spacing w:after="0"/>
              <w:rPr>
                <w:sz w:val="16"/>
                <w:szCs w:val="16"/>
                <w:color w:val="auto"/>
              </w:rPr>
            </w:pPr>
          </w:p>
        </w:tc>
        <w:tc>
          <w:tcPr>
            <w:tcW w:w="308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may yet be purchased under the program</w:t>
            </w: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publicly announced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as of the end of the period (millions of</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shares purchased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 share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programs (1)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dollars)</w:t>
            </w:r>
          </w:p>
        </w:tc>
        <w:tc>
          <w:tcPr>
            <w:tcW w:w="0" w:type="dxa"/>
            <w:vAlign w:val="bottom"/>
          </w:tcPr>
          <w:p>
            <w:pPr>
              <w:spacing w:after="0"/>
              <w:rPr>
                <w:sz w:val="1"/>
                <w:szCs w:val="1"/>
                <w:color w:val="auto"/>
              </w:rPr>
            </w:pPr>
          </w:p>
        </w:tc>
      </w:tr>
      <w:tr>
        <w:trPr>
          <w:trHeight w:val="223"/>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2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1,133,509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1,133,509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4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660" w:hanging="4"/>
        <w:spacing w:after="0" w:line="266" w:lineRule="auto"/>
        <w:tabs>
          <w:tab w:leader="none" w:pos="9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Company's Board of Directors authorized the repurchase of an aggregate amount of $2,000 of the Company's common stock through the end of 2027. Share repurchases under the Company's program may be made in the open market or through privately negotiated transactions, and at times and in such amounts as management deems appropriate.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events required to be reported under Item 3 for the three months ended March 31, 2026.</w:t>
      </w:r>
    </w:p>
    <w:p>
      <w:pPr>
        <w:spacing w:after="0" w:line="248"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Submission of Matters to a Vote of Security Holders</w:t>
      </w:r>
    </w:p>
    <w:p>
      <w:pPr>
        <w:spacing w:after="0" w:line="229" w:lineRule="exact"/>
        <w:rPr>
          <w:sz w:val="20"/>
          <w:szCs w:val="20"/>
          <w:color w:val="auto"/>
        </w:rPr>
      </w:pPr>
    </w:p>
    <w:p>
      <w:pPr>
        <w:ind w:left="980" w:hanging="324"/>
        <w:spacing w:after="0" w:line="25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Annual Meeting of Shareholders on April 30, 2026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As of March 10, 2026, the record date for the meeting, 112,241,962 shares of Common Stock, par value $5.00 per share,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were issued and outstanding. A quorum of 99,801,764 shares of Common Stock were present or represented at the meeting.</w:t>
      </w:r>
    </w:p>
    <w:p>
      <w:pPr>
        <w:spacing w:after="0" w:line="20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were nominated and elected to serve as directors:</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Timothy J. Donahue, Michael P. Doss, Richard H. Fearon, Andrea J. Funk, Stephen J. Hagge, B. Craig Owens, Angela M. Snyder, Caesar F.</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Sweitzer, Marsha C. Williams and Dwayne A. Wilson.</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the Company's Shareholders voted on the four matters below as follows:</w:t>
      </w:r>
    </w:p>
    <w:p>
      <w:pPr>
        <w:spacing w:after="0" w:line="347" w:lineRule="exact"/>
        <w:rPr>
          <w:sz w:val="20"/>
          <w:szCs w:val="20"/>
          <w:color w:val="auto"/>
        </w:rPr>
      </w:pPr>
    </w:p>
    <w:p>
      <w:pPr>
        <w:ind w:left="5540" w:right="2680" w:hanging="4236"/>
        <w:spacing w:after="0" w:line="923" w:lineRule="auto"/>
        <w:tabs>
          <w:tab w:leader="none" w:pos="19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elected the following directors pursuant to the following vote: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tbl>
      <w:tblPr>
        <w:tblLayout w:type="fixed"/>
        <w:tblInd w:w="18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1"/>
        </w:trPr>
        <w:tc>
          <w:tcPr>
            <w:tcW w:w="21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80" w:type="dxa"/>
            <w:vAlign w:val="bottom"/>
            <w:vMerge w:val="restart"/>
          </w:tcPr>
          <w:p>
            <w:pPr>
              <w:spacing w:after="0"/>
              <w:rPr>
                <w:sz w:val="24"/>
                <w:szCs w:val="24"/>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auto"/>
            </w:tcBorders>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8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Non-Vote</w:t>
            </w:r>
          </w:p>
        </w:tc>
        <w:tc>
          <w:tcPr>
            <w:tcW w:w="0" w:type="dxa"/>
            <w:vAlign w:val="bottom"/>
          </w:tcPr>
          <w:p>
            <w:pPr>
              <w:spacing w:after="0"/>
              <w:rPr>
                <w:sz w:val="1"/>
                <w:szCs w:val="1"/>
                <w:color w:val="auto"/>
              </w:rPr>
            </w:pPr>
          </w:p>
        </w:tc>
      </w:tr>
      <w:tr>
        <w:trPr>
          <w:trHeight w:val="4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J. Donahue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84,239,822</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7,882,392</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c>
          <w:tcPr>
            <w:tcW w:w="0" w:type="dxa"/>
            <w:vAlign w:val="bottom"/>
          </w:tcPr>
          <w:p>
            <w:pPr>
              <w:spacing w:after="0"/>
              <w:rPr>
                <w:sz w:val="1"/>
                <w:szCs w:val="1"/>
                <w:color w:val="auto"/>
              </w:rPr>
            </w:pPr>
          </w:p>
        </w:tc>
      </w:tr>
      <w:tr>
        <w:trPr>
          <w:trHeight w:val="50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P. Doss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90,518,690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1,603,524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c>
          <w:tcPr>
            <w:tcW w:w="0" w:type="dxa"/>
            <w:vAlign w:val="bottom"/>
          </w:tcPr>
          <w:p>
            <w:pPr>
              <w:spacing w:after="0"/>
              <w:rPr>
                <w:sz w:val="1"/>
                <w:szCs w:val="1"/>
                <w:color w:val="auto"/>
              </w:rPr>
            </w:pPr>
          </w:p>
        </w:tc>
      </w:tr>
      <w:tr>
        <w:trPr>
          <w:trHeight w:val="49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H. Fearon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88,541,075</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3,581,139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c>
          <w:tcPr>
            <w:tcW w:w="0" w:type="dxa"/>
            <w:vAlign w:val="bottom"/>
          </w:tcPr>
          <w:p>
            <w:pPr>
              <w:spacing w:after="0"/>
              <w:rPr>
                <w:sz w:val="1"/>
                <w:szCs w:val="1"/>
                <w:color w:val="auto"/>
              </w:rPr>
            </w:pPr>
          </w:p>
        </w:tc>
      </w:tr>
      <w:tr>
        <w:trPr>
          <w:trHeight w:val="49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Andrea J. Funk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91,061,342</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1,060,872</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c>
          <w:tcPr>
            <w:tcW w:w="0" w:type="dxa"/>
            <w:vAlign w:val="bottom"/>
          </w:tcPr>
          <w:p>
            <w:pPr>
              <w:spacing w:after="0"/>
              <w:rPr>
                <w:sz w:val="1"/>
                <w:szCs w:val="1"/>
                <w:color w:val="auto"/>
              </w:rPr>
            </w:pPr>
          </w:p>
        </w:tc>
      </w:tr>
      <w:tr>
        <w:trPr>
          <w:trHeight w:val="50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J. Hagge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87,996,177</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4,126,037</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c>
          <w:tcPr>
            <w:tcW w:w="0" w:type="dxa"/>
            <w:vAlign w:val="bottom"/>
          </w:tcPr>
          <w:p>
            <w:pPr>
              <w:spacing w:after="0"/>
              <w:rPr>
                <w:sz w:val="1"/>
                <w:szCs w:val="1"/>
                <w:color w:val="auto"/>
              </w:rPr>
            </w:pPr>
          </w:p>
        </w:tc>
      </w:tr>
      <w:tr>
        <w:trPr>
          <w:trHeight w:val="49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 Craig Owens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90,347,616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1,774,598</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c>
          <w:tcPr>
            <w:tcW w:w="0" w:type="dxa"/>
            <w:vAlign w:val="bottom"/>
          </w:tcPr>
          <w:p>
            <w:pPr>
              <w:spacing w:after="0"/>
              <w:rPr>
                <w:sz w:val="1"/>
                <w:szCs w:val="1"/>
                <w:color w:val="auto"/>
              </w:rPr>
            </w:pPr>
          </w:p>
        </w:tc>
      </w:tr>
      <w:tr>
        <w:trPr>
          <w:trHeight w:val="49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Angela M. Snyder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91,142,916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979,298</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c>
          <w:tcPr>
            <w:tcW w:w="0" w:type="dxa"/>
            <w:vAlign w:val="bottom"/>
          </w:tcPr>
          <w:p>
            <w:pPr>
              <w:spacing w:after="0"/>
              <w:rPr>
                <w:sz w:val="1"/>
                <w:szCs w:val="1"/>
                <w:color w:val="auto"/>
              </w:rPr>
            </w:pPr>
          </w:p>
        </w:tc>
      </w:tr>
      <w:tr>
        <w:trPr>
          <w:trHeight w:val="50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Caesar F. Sweitzer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88,837,474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3,284,740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c>
          <w:tcPr>
            <w:tcW w:w="0" w:type="dxa"/>
            <w:vAlign w:val="bottom"/>
          </w:tcPr>
          <w:p>
            <w:pPr>
              <w:spacing w:after="0"/>
              <w:rPr>
                <w:sz w:val="1"/>
                <w:szCs w:val="1"/>
                <w:color w:val="auto"/>
              </w:rPr>
            </w:pPr>
          </w:p>
        </w:tc>
      </w:tr>
      <w:tr>
        <w:trPr>
          <w:trHeight w:val="49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Marsha C. Williams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90,786,873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1,335,341</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c>
          <w:tcPr>
            <w:tcW w:w="0" w:type="dxa"/>
            <w:vAlign w:val="bottom"/>
          </w:tcPr>
          <w:p>
            <w:pPr>
              <w:spacing w:after="0"/>
              <w:rPr>
                <w:sz w:val="1"/>
                <w:szCs w:val="1"/>
                <w:color w:val="auto"/>
              </w:rPr>
            </w:pPr>
          </w:p>
        </w:tc>
      </w:tr>
      <w:tr>
        <w:trPr>
          <w:trHeight w:val="49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Dwayne A. Wilson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90,915,066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1,207,148</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840" w:hanging="656"/>
        <w:spacing w:after="0" w:line="282" w:lineRule="auto"/>
        <w:tabs>
          <w:tab w:leader="none" w:pos="8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ratified the appointment of PricewaterhouseCoopers LLP as the Company's independent auditor for the fiscal year ending December 31, 2026 pursuant to the following vote:</w:t>
      </w:r>
    </w:p>
    <w:p>
      <w:pPr>
        <w:spacing w:after="0" w:line="54"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20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0"/>
        </w:trPr>
        <w:tc>
          <w:tcPr>
            <w:tcW w:w="20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234"/>
        </w:trPr>
        <w:tc>
          <w:tcPr>
            <w:tcW w:w="17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92,185,504</w:t>
            </w:r>
          </w:p>
        </w:tc>
        <w:tc>
          <w:tcPr>
            <w:tcW w:w="300" w:type="dxa"/>
            <w:vAlign w:val="bottom"/>
          </w:tcPr>
          <w:p>
            <w:pPr>
              <w:spacing w:after="0"/>
              <w:rPr>
                <w:sz w:val="20"/>
                <w:szCs w:val="20"/>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6,939,961</w:t>
            </w:r>
          </w:p>
        </w:tc>
        <w:tc>
          <w:tcPr>
            <w:tcW w:w="300" w:type="dxa"/>
            <w:vAlign w:val="bottom"/>
          </w:tcPr>
          <w:p>
            <w:pPr>
              <w:spacing w:after="0"/>
              <w:rPr>
                <w:sz w:val="20"/>
                <w:szCs w:val="20"/>
                <w:color w:val="auto"/>
              </w:rPr>
            </w:pPr>
          </w:p>
        </w:tc>
        <w:tc>
          <w:tcPr>
            <w:tcW w:w="19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676,299</w:t>
            </w:r>
          </w:p>
        </w:tc>
        <w:tc>
          <w:tcPr>
            <w:tcW w:w="186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357" w:lineRule="exact"/>
        <w:rPr>
          <w:sz w:val="20"/>
          <w:szCs w:val="20"/>
          <w:color w:val="auto"/>
        </w:rPr>
      </w:pPr>
    </w:p>
    <w:p>
      <w:pPr>
        <w:ind w:left="840" w:hanging="656"/>
        <w:spacing w:after="0" w:line="282"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approved, by non-binding advisory vote, the resolution on executive compensation (as further described in the Company's 2026 Proxy Statement) pursuant to the following vote:</w:t>
      </w:r>
    </w:p>
    <w:p>
      <w:pPr>
        <w:spacing w:after="0" w:line="13"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50"/>
        </w:trPr>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311"/>
        </w:trPr>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85,073,436</w:t>
            </w:r>
          </w:p>
        </w:tc>
        <w:tc>
          <w:tcPr>
            <w:tcW w:w="30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6,626,549</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422,228</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r>
    </w:tbl>
    <w:p>
      <w:pPr>
        <w:spacing w:after="0" w:line="319" w:lineRule="exact"/>
        <w:rPr>
          <w:sz w:val="20"/>
          <w:szCs w:val="20"/>
          <w:color w:val="auto"/>
        </w:rPr>
      </w:pPr>
    </w:p>
    <w:p>
      <w:pPr>
        <w:ind w:left="840" w:right="260" w:hanging="656"/>
        <w:spacing w:after="0" w:line="282" w:lineRule="auto"/>
        <w:tabs>
          <w:tab w:leader="none" w:pos="8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did not approve the Shareholder proposal regarding Shareholder right to act by written consent pursuant to the following vote:</w:t>
      </w:r>
    </w:p>
    <w:p>
      <w:pPr>
        <w:spacing w:after="0" w:line="1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45"/>
        </w:trPr>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Non-Vote</w:t>
            </w:r>
          </w:p>
        </w:tc>
      </w:tr>
      <w:tr>
        <w:trPr>
          <w:trHeight w:val="310"/>
        </w:trPr>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39,187,178</w:t>
            </w:r>
          </w:p>
        </w:tc>
        <w:tc>
          <w:tcPr>
            <w:tcW w:w="30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52,806,997</w:t>
            </w:r>
          </w:p>
        </w:tc>
        <w:tc>
          <w:tcPr>
            <w:tcW w:w="30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128,039</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7,679,550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Plans</w:t>
      </w:r>
    </w:p>
    <w:p>
      <w:pPr>
        <w:spacing w:after="0" w:line="256" w:lineRule="exact"/>
        <w:rPr>
          <w:sz w:val="20"/>
          <w:szCs w:val="20"/>
          <w:color w:val="auto"/>
        </w:rPr>
      </w:pPr>
    </w:p>
    <w:p>
      <w:pPr>
        <w:jc w:val="both"/>
        <w:ind w:left="660" w:right="24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2026, none of our directors or executive officers adopted or terminated any contract, instruction or written plan for the purchase or sale of our securities to satisfy the affirmative defense conditions of Rule 10b5-1(c) or any "non-Rule 10b5-1 trading arrangement" (as defined in Item 408 of Regulation S-K of the Exchange Act).</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97" w:lineRule="exact"/>
        <w:rPr>
          <w:sz w:val="20"/>
          <w:szCs w:val="20"/>
          <w:color w:val="auto"/>
        </w:rPr>
      </w:pPr>
    </w:p>
    <w:p>
      <w:pPr>
        <w:ind w:left="980" w:right="1420" w:hanging="957"/>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3.1(a)</w:t>
      </w:r>
      <w:r>
        <w:rPr>
          <w:sz w:val="20"/>
          <w:szCs w:val="20"/>
          <w:color w:val="auto"/>
        </w:rPr>
        <w:tab/>
      </w:r>
      <w:hyperlink r:id="rId49">
        <w:r>
          <w:rPr>
            <w:rFonts w:ascii="Times New Roman" w:cs="Times New Roman" w:eastAsia="Times New Roman" w:hAnsi="Times New Roman"/>
            <w:sz w:val="18"/>
            <w:szCs w:val="18"/>
            <w:u w:val="single" w:color="auto"/>
            <w:color w:val="0000FF"/>
          </w:rPr>
          <w:t>Articles of Incorporation of Crown Holdings, Inc., as amended (incorporated by reference to Exhibit 3.a of the Registrant's</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Annual Report on Form 10-K for the year ended December 31, 2004 (File No. 000-50189))</w:t>
        </w:r>
      </w:hyperlink>
    </w:p>
    <w:p>
      <w:pPr>
        <w:spacing w:after="0" w:line="148" w:lineRule="exact"/>
        <w:rPr>
          <w:sz w:val="20"/>
          <w:szCs w:val="20"/>
          <w:color w:val="auto"/>
        </w:rPr>
      </w:pPr>
    </w:p>
    <w:p>
      <w:pPr>
        <w:jc w:val="both"/>
        <w:ind w:left="980" w:right="1060" w:hanging="957"/>
        <w:spacing w:after="0" w:line="256"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50">
        <w:r>
          <w:rPr>
            <w:rFonts w:ascii="Times New Roman" w:cs="Times New Roman" w:eastAsia="Times New Roman" w:hAnsi="Times New Roman"/>
            <w:sz w:val="18"/>
            <w:szCs w:val="18"/>
            <w:u w:val="single" w:color="auto"/>
            <w:color w:val="0000FF"/>
          </w:rPr>
          <w:t>Second Amended and Restated Credit Agreement, dated March 17, 2026, by and among the Company, CROWN Americas</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LLC, Signode Industrial Group US Inc., Crown European Holdings S.A., the Subsidiary Borrowers party thereto, Crown Metal</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Packaging Canada LP, Crown Cork &amp; Seal Company, Inc., Crown International Holdings, LLC, the other Credit Parties party</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thereto, the Lenders party thereto, Deutsche Bank AG, Canada Branch, Deutsche Bank AG, London Branch, and Deutsche</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Bank AG New York Branch (incorporated by reference to Exhibit 4.1 to Crown Holdings, Inc.'s Current Report on Form 8-K</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filed with the SEC on March 23, 2026).</w:t>
        </w:r>
      </w:hyperlink>
    </w:p>
    <w:p>
      <w:pPr>
        <w:spacing w:after="0" w:line="187" w:lineRule="exact"/>
        <w:rPr>
          <w:rFonts w:ascii="Times New Roman" w:cs="Times New Roman" w:eastAsia="Times New Roman" w:hAnsi="Times New Roman"/>
          <w:sz w:val="18"/>
          <w:szCs w:val="18"/>
          <w:u w:val="single" w:color="auto"/>
          <w:color w:val="0000FF"/>
        </w:rPr>
      </w:pPr>
    </w:p>
    <w:p>
      <w:pPr>
        <w:ind w:left="980" w:hanging="95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 Subsidiaries</w:t>
      </w:r>
    </w:p>
    <w:p>
      <w:pPr>
        <w:spacing w:after="0" w:line="198" w:lineRule="exact"/>
        <w:rPr>
          <w:rFonts w:ascii="Times New Roman" w:cs="Times New Roman" w:eastAsia="Times New Roman" w:hAnsi="Times New Roman"/>
          <w:sz w:val="18"/>
          <w:szCs w:val="18"/>
          <w:u w:val="single" w:color="auto"/>
          <w:color w:val="0000FF"/>
        </w:rPr>
      </w:pPr>
    </w:p>
    <w:p>
      <w:pPr>
        <w:ind w:left="980" w:right="1080" w:hanging="95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adopted pursuant to Section 302 of the Sarbanes-Oxley Act of 2002.</w:t>
      </w:r>
    </w:p>
    <w:p>
      <w:pPr>
        <w:spacing w:after="0" w:line="148" w:lineRule="exact"/>
        <w:rPr>
          <w:rFonts w:ascii="Times New Roman" w:cs="Times New Roman" w:eastAsia="Times New Roman" w:hAnsi="Times New Roman"/>
          <w:sz w:val="18"/>
          <w:szCs w:val="18"/>
          <w:u w:val="single" w:color="auto"/>
          <w:color w:val="0000FF"/>
        </w:rPr>
      </w:pPr>
    </w:p>
    <w:p>
      <w:pPr>
        <w:ind w:left="980" w:right="1060" w:hanging="95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Exchange Act of 1934, as adopted pursuant to Section 302 of the Sarbanes-Oxley Act of 2002.</w:t>
      </w:r>
    </w:p>
    <w:p>
      <w:pPr>
        <w:spacing w:after="0" w:line="162" w:lineRule="exact"/>
        <w:rPr>
          <w:rFonts w:ascii="Times New Roman" w:cs="Times New Roman" w:eastAsia="Times New Roman" w:hAnsi="Times New Roman"/>
          <w:sz w:val="18"/>
          <w:szCs w:val="18"/>
          <w:u w:val="single" w:color="auto"/>
          <w:color w:val="0000FF"/>
        </w:rPr>
      </w:pPr>
    </w:p>
    <w:p>
      <w:pPr>
        <w:jc w:val="both"/>
        <w:ind w:left="980" w:right="1060" w:hanging="95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162" w:lineRule="exact"/>
        <w:rPr>
          <w:rFonts w:ascii="Times New Roman" w:cs="Times New Roman" w:eastAsia="Times New Roman" w:hAnsi="Times New Roman"/>
          <w:sz w:val="18"/>
          <w:szCs w:val="18"/>
          <w:u w:val="single" w:color="auto"/>
          <w:color w:val="0000FF"/>
        </w:rPr>
      </w:pPr>
    </w:p>
    <w:p>
      <w:pPr>
        <w:jc w:val="both"/>
        <w:ind w:left="980" w:right="1060" w:hanging="954"/>
        <w:spacing w:after="0" w:line="25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Quarterly Report on Form 10-Q for the quarter ended March 31, 2026 formatted in inline XBRL (eXtensible Business Reporting Language): (i) Consolidated Statements of Operations for the three months ended March 31, 2026 and 2025, (ii) Consolidated Statements of Comprehensive Income for the three months ended March 31, 2026 and 2025, (iii) Consolidated Balance Sheets as of March 31, 2026 and December 31, 2025, (iv) Consolidated Statements of Cash Flows for the three months ended March 31, 2026 and 2025, (v) Consolidated Statements of Changes in Equity for the three months ended March 31, 2026 and 2025 and (vi) Notes to Consolidated Financial Statements.</w:t>
      </w:r>
    </w:p>
    <w:p>
      <w:pPr>
        <w:spacing w:after="0" w:line="160" w:lineRule="exact"/>
        <w:rPr>
          <w:rFonts w:ascii="Times New Roman" w:cs="Times New Roman" w:eastAsia="Times New Roman" w:hAnsi="Times New Roman"/>
          <w:sz w:val="18"/>
          <w:szCs w:val="18"/>
          <w:u w:val="single" w:color="auto"/>
          <w:color w:val="0000FF"/>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3"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rFonts w:ascii="Times New Roman" w:cs="Times New Roman" w:eastAsia="Times New Roman" w:hAnsi="Times New Roman"/>
          <w:sz w:val="18"/>
          <w:szCs w:val="18"/>
          <w:u w:val="single" w:color="auto"/>
          <w:color w:val="0000FF"/>
        </w:rPr>
      </w:pPr>
    </w:p>
    <w:tbl>
      <w:tblPr>
        <w:tblLayout w:type="fixed"/>
        <w:tblInd w:w="6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w:t>
            </w:r>
          </w:p>
        </w:tc>
      </w:tr>
      <w:tr>
        <w:trPr>
          <w:trHeight w:val="234"/>
        </w:trPr>
        <w:tc>
          <w:tcPr>
            <w:tcW w:w="520" w:type="dxa"/>
            <w:vAlign w:val="bottom"/>
          </w:tcPr>
          <w:p>
            <w:pPr>
              <w:spacing w:after="0"/>
              <w:rPr>
                <w:sz w:val="20"/>
                <w:szCs w:val="20"/>
                <w:color w:val="auto"/>
              </w:rPr>
            </w:pPr>
          </w:p>
        </w:tc>
        <w:tc>
          <w:tcPr>
            <w:tcW w:w="10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undersigned thereunto duly authorized.</w:t>
            </w:r>
          </w:p>
        </w:tc>
      </w:tr>
      <w:tr>
        <w:trPr>
          <w:trHeight w:val="486"/>
        </w:trPr>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Crown Holdings, Inc.</w:t>
            </w:r>
          </w:p>
        </w:tc>
      </w:tr>
      <w:tr>
        <w:trPr>
          <w:trHeight w:val="228"/>
        </w:trPr>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8860" w:type="dxa"/>
            <w:vAlign w:val="bottom"/>
            <w:gridSpan w:val="2"/>
          </w:tcPr>
          <w:p>
            <w:pPr>
              <w:spacing w:after="0"/>
              <w:rPr>
                <w:sz w:val="19"/>
                <w:szCs w:val="19"/>
                <w:color w:val="auto"/>
              </w:rPr>
            </w:pPr>
          </w:p>
        </w:tc>
      </w:tr>
      <w:tr>
        <w:trPr>
          <w:trHeight w:val="48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Kevin B. Garry</w:t>
            </w:r>
          </w:p>
        </w:tc>
      </w:tr>
      <w:tr>
        <w:trPr>
          <w:trHeight w:val="218"/>
        </w:trPr>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Kevin B. Garry</w:t>
            </w:r>
          </w:p>
        </w:tc>
        <w:tc>
          <w:tcPr>
            <w:tcW w:w="64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810"/>
        </w:trPr>
        <w:tc>
          <w:tcPr>
            <w:tcW w:w="520" w:type="dxa"/>
            <w:vAlign w:val="bottom"/>
          </w:tcPr>
          <w:p>
            <w:pPr>
              <w:spacing w:after="0"/>
              <w:rPr>
                <w:sz w:val="24"/>
                <w:szCs w:val="24"/>
                <w:color w:val="auto"/>
              </w:rPr>
            </w:pPr>
          </w:p>
        </w:tc>
        <w:tc>
          <w:tcPr>
            <w:tcW w:w="10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Date: May 1, 2026</w:t>
            </w:r>
          </w:p>
        </w:tc>
      </w:tr>
    </w:tbl>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1">
            <w:col w:w="11240"/>
          </w:cols>
          <w:pgMar w:left="320" w:top="117" w:right="339" w:bottom="1440" w:gutter="0" w:footer="0" w:header="0"/>
        </w:sectPr>
      </w:pPr>
    </w:p>
    <w:p>
      <w:pPr>
        <w:spacing w:after="0" w:line="335"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7" w:right="339" w:bottom="1440" w:gutter="0" w:footer="0" w:header="0"/>
          <w:type w:val="continuous"/>
        </w:sectPr>
      </w:pPr>
    </w:p>
    <w:bookmarkStart w:id="34" w:name="page35"/>
    <w:bookmarkEnd w:id="34"/>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Exhibit 22 - List of Guarantor Subsidiaries</w:t>
      </w:r>
    </w:p>
    <w:p>
      <w:pPr>
        <w:spacing w:after="0" w:line="25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The following subsidiaries of Crown Holdings, Inc. (the "Company") were, as of March 31, 2026, guarantors of the Company's $40 principal 7.5% senior notes due 2096:</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The following subsidiaries of the Company were, as of March 31, 2026, guarantors of the Company's $400 principal 4.25% senior notes due 2026, $500 principal 5.250% senior notes due 2030, and $700 principal 5.875% senior notes due 2033:</w:t>
      </w:r>
    </w:p>
    <w:tbl>
      <w:tblPr>
        <w:tblLayout w:type="fixed"/>
        <w:tblInd w:w="110" w:type="dxa"/>
        <w:tblCellMar>
          <w:top w:w="0" w:type="dxa"/>
          <w:left w:w="0" w:type="dxa"/>
          <w:bottom w:w="0" w:type="dxa"/>
          <w:right w:w="0" w:type="dxa"/>
        </w:tblCellMar>
      </w:tblPr>
      <w:tr>
        <w:trPr>
          <w:trHeight w:val="189"/>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80"/>
          </w:cols>
          <w:pgMar w:left="320" w:top="880" w:right="399" w:bottom="1440" w:gutter="0" w:footer="0" w:header="0"/>
        </w:sectPr>
      </w:pPr>
    </w:p>
    <w:bookmarkStart w:id="35" w:name="page36"/>
    <w:bookmarkEnd w:id="35"/>
    <w:p>
      <w:pPr>
        <w:ind w:left="9720"/>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100" w:hanging="332"/>
        <w:spacing w:after="0" w:line="26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80" w:hanging="324"/>
        <w:spacing w:after="0" w:line="268"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80" w:hanging="324"/>
        <w:spacing w:after="0" w:line="268" w:lineRule="auto"/>
        <w:tabs>
          <w:tab w:leader="none" w:pos="8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4" w:lineRule="auto"/>
        <w:tabs>
          <w:tab w:leader="none" w:pos="115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tbl>
      <w:tblPr>
        <w:tblLayout w:type="fixed"/>
        <w:tblInd w:w="4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1, 2026</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18"/>
        </w:trPr>
        <w:tc>
          <w:tcPr>
            <w:tcW w:w="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0920"/>
          </w:cols>
          <w:pgMar w:left="320" w:top="1133" w:right="6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42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400" w:hanging="324"/>
        <w:spacing w:after="0" w:line="268"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400" w:hanging="324"/>
        <w:spacing w:after="0" w:line="268" w:lineRule="auto"/>
        <w:tabs>
          <w:tab w:leader="none" w:pos="8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400" w:hanging="324"/>
        <w:spacing w:after="0" w:line="287" w:lineRule="auto"/>
        <w:tabs>
          <w:tab w:leader="none" w:pos="113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1, 2026</w:t>
            </w:r>
          </w:p>
        </w:tc>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18"/>
        </w:trPr>
        <w:tc>
          <w:tcPr>
            <w:tcW w:w="6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6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0" w:lineRule="exact"/>
        <w:rPr>
          <w:sz w:val="20"/>
          <w:szCs w:val="20"/>
          <w:color w:val="auto"/>
        </w:rPr>
      </w:pPr>
    </w:p>
    <w:p>
      <w:pPr>
        <w:spacing w:after="0" w:line="270"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March 31, 2026 (the “Report”), each of the undersigned officers certify, pursuant to 18 U.S.C. § 1350, as adopted pursuant to § 906 of the Sarbanes-Oxley Act of 2002, that:</w:t>
      </w:r>
    </w:p>
    <w:p>
      <w:pPr>
        <w:spacing w:after="0" w:line="200" w:lineRule="exact"/>
        <w:rPr>
          <w:sz w:val="20"/>
          <w:szCs w:val="20"/>
          <w:color w:val="auto"/>
        </w:rPr>
      </w:pPr>
    </w:p>
    <w:p>
      <w:pPr>
        <w:ind w:firstLine="8"/>
        <w:spacing w:after="0" w:line="285" w:lineRule="auto"/>
        <w:tabs>
          <w:tab w:leader="none" w:pos="6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68" w:lineRule="exact"/>
        <w:rPr>
          <w:rFonts w:ascii="Arial" w:cs="Arial" w:eastAsia="Arial" w:hAnsi="Arial"/>
          <w:sz w:val="22"/>
          <w:szCs w:val="22"/>
          <w:color w:val="auto"/>
        </w:rPr>
      </w:pPr>
    </w:p>
    <w:p>
      <w:pPr>
        <w:ind w:firstLine="8"/>
        <w:spacing w:after="0" w:line="272" w:lineRule="auto"/>
        <w:tabs>
          <w:tab w:leader="none" w:pos="514"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May 1, 2026</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Timothy J. Donahue</w:t>
            </w:r>
          </w:p>
        </w:tc>
      </w:tr>
      <w:tr>
        <w:trPr>
          <w:trHeight w:val="250"/>
        </w:trPr>
        <w:tc>
          <w:tcPr>
            <w:tcW w:w="6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4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Timothy J. Donahue</w:t>
            </w:r>
          </w:p>
        </w:tc>
      </w:tr>
      <w:tr>
        <w:trPr>
          <w:trHeight w:val="282"/>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Chairman, President and Chief Executive Officer</w:t>
            </w:r>
          </w:p>
        </w:tc>
      </w:tr>
      <w:tr>
        <w:trPr>
          <w:trHeight w:val="541"/>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May 1, 2026</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Kevin C. Clothier</w:t>
            </w:r>
          </w:p>
        </w:tc>
      </w:tr>
      <w:tr>
        <w:trPr>
          <w:trHeight w:val="250"/>
        </w:trPr>
        <w:tc>
          <w:tcPr>
            <w:tcW w:w="6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4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Kevin C. Clothier</w:t>
            </w:r>
          </w:p>
        </w:tc>
      </w:tr>
      <w:tr>
        <w:trPr>
          <w:trHeight w:val="282"/>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Senior Vice President and Chief Financial Officer</w:t>
            </w:r>
          </w:p>
        </w:tc>
      </w:tr>
    </w:tbl>
    <w:p>
      <w:pPr>
        <w:spacing w:after="0" w:line="32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upperLetter"/>
      <w:start w:val="1"/>
    </w:lvl>
  </w:abstractNum>
  <w:abstractNum w:abstractNumId="3">
    <w:nsid w:val="25E45D32"/>
    <w:multiLevelType w:val="hybridMultilevel"/>
    <w:lvl w:ilvl="0">
      <w:lvlJc w:val="left"/>
      <w:lvlText w:val="%1."/>
      <w:numFmt w:val="upperLetter"/>
      <w:start w:val="6"/>
    </w:lvl>
  </w:abstractNum>
  <w:abstractNum w:abstractNumId="4">
    <w:nsid w:val="519B500D"/>
    <w:multiLevelType w:val="hybridMultilevel"/>
    <w:lvl w:ilvl="0">
      <w:lvlJc w:val="left"/>
      <w:lvlText w:val="%1."/>
      <w:numFmt w:val="upperLetter"/>
      <w:start w:val="7"/>
    </w:lvl>
  </w:abstractNum>
  <w:abstractNum w:abstractNumId="5">
    <w:nsid w:val="431BD7B7"/>
    <w:multiLevelType w:val="hybridMultilevel"/>
    <w:lvl w:ilvl="0">
      <w:lvlJc w:val="left"/>
      <w:lvlText w:val="%1."/>
      <w:numFmt w:val="upperLetter"/>
      <w:start w:val="8"/>
    </w:lvl>
  </w:abstractNum>
  <w:abstractNum w:abstractNumId="6">
    <w:nsid w:val="3F2DBA31"/>
    <w:multiLevelType w:val="hybridMultilevel"/>
    <w:lvl w:ilvl="0">
      <w:lvlJc w:val="left"/>
      <w:lvlText w:val="%1."/>
      <w:numFmt w:val="upperLetter"/>
      <w:start w:val="9"/>
    </w:lvl>
  </w:abstractNum>
  <w:abstractNum w:abstractNumId="7">
    <w:nsid w:val="7C83E458"/>
    <w:multiLevelType w:val="hybridMultilevel"/>
    <w:lvl w:ilvl="0">
      <w:lvlJc w:val="left"/>
      <w:lvlText w:val="%1."/>
      <w:numFmt w:val="upperLetter"/>
      <w:start w:val="10"/>
    </w:lvl>
  </w:abstractNum>
  <w:abstractNum w:abstractNumId="8">
    <w:nsid w:val="257130A3"/>
    <w:multiLevelType w:val="hybridMultilevel"/>
    <w:lvl w:ilvl="0">
      <w:lvlJc w:val="left"/>
      <w:lvlText w:val="%1."/>
      <w:numFmt w:val="upperLetter"/>
      <w:start w:val="11"/>
    </w:lvl>
  </w:abstractNum>
  <w:abstractNum w:abstractNumId="9">
    <w:nsid w:val="62BBD95A"/>
    <w:multiLevelType w:val="hybridMultilevel"/>
    <w:lvl w:ilvl="0">
      <w:lvlJc w:val="left"/>
      <w:lvlText w:val="2"/>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upperLetter"/>
      <w:start w:val="13"/>
    </w:lvl>
  </w:abstractNum>
  <w:abstractNum w:abstractNumId="12">
    <w:nsid w:val="333AB105"/>
    <w:multiLevelType w:val="hybridMultilevel"/>
    <w:lvl w:ilvl="0">
      <w:lvlJc w:val="left"/>
      <w:lvlText w:val="%1."/>
      <w:numFmt w:val="upperLetter"/>
      <w:start w:val="14"/>
    </w:lvl>
  </w:abstractNum>
  <w:abstractNum w:abstractNumId="13">
    <w:nsid w:val="721DA317"/>
    <w:multiLevelType w:val="hybridMultilevel"/>
    <w:lvl w:ilvl="0">
      <w:lvlJc w:val="left"/>
      <w:lvlText w:val="%1."/>
      <w:numFmt w:val="upperLetter"/>
      <w:start w:val="15"/>
    </w:lvl>
  </w:abstractNum>
  <w:abstractNum w:abstractNumId="14">
    <w:nsid w:val="2443A858"/>
    <w:multiLevelType w:val="hybridMultilevel"/>
    <w:lvl w:ilvl="0">
      <w:lvlJc w:val="left"/>
      <w:lvlText w:val="%1."/>
      <w:numFmt w:val="upperLetter"/>
      <w:start w:val="17"/>
    </w:lvl>
  </w:abstractNum>
  <w:abstractNum w:abstractNumId="15">
    <w:nsid w:val="2D1D5AE9"/>
    <w:multiLevelType w:val="hybridMultilevel"/>
    <w:lvl w:ilvl="0">
      <w:lvlJc w:val="left"/>
      <w:lvlText w:val="%1."/>
      <w:numFmt w:val="upperLetter"/>
      <w:start w:val="18"/>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decimal"/>
      <w:start w:val="3"/>
    </w:lvl>
  </w:abstractNum>
  <w:abstractNum w:abstractNumId="23">
    <w:nsid w:val="54E49EB4"/>
    <w:multiLevelType w:val="hybridMultilevel"/>
    <w:lvl w:ilvl="0">
      <w:lvlJc w:val="left"/>
      <w:lvlText w:val="%1)"/>
      <w:numFmt w:val="decimal"/>
      <w:start w:val="4"/>
    </w:lvl>
  </w:abstractNum>
  <w:abstractNum w:abstractNumId="24">
    <w:nsid w:val="71F32454"/>
    <w:multiLevelType w:val="hybridMultilevel"/>
    <w:lvl w:ilvl="0">
      <w:lvlJc w:val="left"/>
      <w:lvlText w:val="%1"/>
      <w:numFmt w:val="decimal"/>
      <w:start w:val="22"/>
    </w:lvl>
  </w:abstractNum>
  <w:abstractNum w:abstractNumId="25">
    <w:nsid w:val="2CA88611"/>
    <w:multiLevelType w:val="hybridMultilevel"/>
    <w:lvl w:ilvl="0">
      <w:lvlJc w:val="left"/>
      <w:lvlText w:val="%1"/>
      <w:numFmt w:val="decimal"/>
      <w:start w:val="32"/>
    </w:lvl>
  </w:abstractNum>
  <w:abstractNum w:abstractNumId="26">
    <w:nsid w:val="836C40E"/>
    <w:multiLevelType w:val="hybridMultilevel"/>
    <w:lvl w:ilvl="0">
      <w:lvlJc w:val="left"/>
      <w:lvlText w:val="%1"/>
      <w:numFmt w:val="decimal"/>
      <w:start w:val="10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hyperlink" Target="https://www.sec.gov/Archives/edgar/data/1219601/000121960105000069/ex3a2004.htm" TargetMode="External"/><Relationship Id="rId50" Type="http://schemas.openxmlformats.org/officeDocument/2006/relationships/hyperlink" Target="https://www.sec.gov/Archives/edgar/data/1219601/000119312526119866/d7173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2026-05-01T14:41:31Z</dcterms:created>
  <dcterms:modified xsi:type="dcterms:W3CDTF">2026-05-01T14:41:31Z</dcterms:modified>
</cp:coreProperties>
</file>