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Gavin Gary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12,727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38,943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12,727 shares of Restricted Common Stock under the 2022 Stock-Based Compensation Plan. 4,382 time-vested restricted shares vest over a three year period as follows: 1,461 time-vested restricted shares on January 5, 2027 and January 3, 2028, respectively, and 1,460 time-vested restricted shares on January 3, 2029. 3,915 performance-based restricted shares are targeted to vest on January 3, 2029 based on the Company's Total Shareholder Return versus a defined peer group of companies, with the final number of performance-based vested shares varying from 0 to 200% of 3,915. 4,430 performance-based restricted shares are targeted to vest on January 3, 2029 based on the Return on Invested Capital achieved by the Company compared to the ROIC target, with the final number of performance-based vested shares varying from 0 to 200% of 4,430.</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5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2026-01-07T14:53:22Z</dcterms:created>
  <dcterms:modified xsi:type="dcterms:W3CDTF">2026-01-07T14:53:22Z</dcterms:modified>
</cp:coreProperties>
</file>