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4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190500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9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27,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184785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36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CROWN HOLDINGS,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175895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tbl>
      <w:tblPr>
        <w:tblLayout w:type="fixed"/>
        <w:tblInd w:w="4" w:type="dxa"/>
        <w:tblCellMar>
          <w:top w:w="0" w:type="dxa"/>
          <w:left w:w="0" w:type="dxa"/>
          <w:bottom w:w="0" w:type="dxa"/>
          <w:right w:w="0" w:type="dxa"/>
        </w:tblCellMar>
      </w:tblPr>
      <w:tr>
        <w:trPr>
          <w:trHeight w:val="214"/>
        </w:trPr>
        <w:tc>
          <w:tcPr>
            <w:tcW w:w="3320" w:type="dxa"/>
            <w:vAlign w:val="bottom"/>
          </w:tcPr>
          <w:p>
            <w:pPr>
              <w:jc w:val="center"/>
              <w:ind w:left="338"/>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3340" w:type="dxa"/>
            <w:vAlign w:val="bottom"/>
            <w:gridSpan w:val="4"/>
          </w:tcPr>
          <w:p>
            <w:pPr>
              <w:jc w:val="center"/>
              <w:ind w:left="1156"/>
              <w:spacing w:after="0"/>
              <w:rPr>
                <w:sz w:val="20"/>
                <w:szCs w:val="20"/>
                <w:color w:val="auto"/>
              </w:rPr>
            </w:pPr>
            <w:r>
              <w:rPr>
                <w:rFonts w:ascii="Times New Roman" w:cs="Times New Roman" w:eastAsia="Times New Roman" w:hAnsi="Times New Roman"/>
                <w:sz w:val="18"/>
                <w:szCs w:val="18"/>
                <w:b w:val="1"/>
                <w:bCs w:val="1"/>
                <w:color w:val="auto"/>
                <w:w w:val="99"/>
              </w:rPr>
              <w:t>001-41550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75-3099507</w:t>
            </w:r>
          </w:p>
        </w:tc>
        <w:tc>
          <w:tcPr>
            <w:tcW w:w="0" w:type="dxa"/>
            <w:vAlign w:val="bottom"/>
          </w:tcPr>
          <w:p>
            <w:pPr>
              <w:spacing w:after="0"/>
              <w:rPr>
                <w:sz w:val="1"/>
                <w:szCs w:val="1"/>
                <w:color w:val="auto"/>
              </w:rPr>
            </w:pPr>
          </w:p>
        </w:tc>
      </w:tr>
      <w:tr>
        <w:trPr>
          <w:trHeight w:val="148"/>
        </w:trPr>
        <w:tc>
          <w:tcPr>
            <w:tcW w:w="3320" w:type="dxa"/>
            <w:vAlign w:val="bottom"/>
          </w:tcPr>
          <w:p>
            <w:pPr>
              <w:jc w:val="center"/>
              <w:ind w:left="338"/>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14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3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c>
          <w:tcPr>
            <w:tcW w:w="0" w:type="dxa"/>
            <w:vAlign w:val="bottom"/>
          </w:tcPr>
          <w:p>
            <w:pPr>
              <w:spacing w:after="0"/>
              <w:rPr>
                <w:sz w:val="1"/>
                <w:szCs w:val="1"/>
                <w:color w:val="auto"/>
              </w:rPr>
            </w:pPr>
          </w:p>
        </w:tc>
      </w:tr>
      <w:tr>
        <w:trPr>
          <w:trHeight w:val="190"/>
        </w:trPr>
        <w:tc>
          <w:tcPr>
            <w:tcW w:w="3320" w:type="dxa"/>
            <w:vAlign w:val="bottom"/>
          </w:tcPr>
          <w:p>
            <w:pPr>
              <w:jc w:val="center"/>
              <w:ind w:left="338"/>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1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Identification No.)</w:t>
            </w:r>
          </w:p>
        </w:tc>
        <w:tc>
          <w:tcPr>
            <w:tcW w:w="0" w:type="dxa"/>
            <w:vAlign w:val="bottom"/>
          </w:tcPr>
          <w:p>
            <w:pPr>
              <w:spacing w:after="0"/>
              <w:rPr>
                <w:sz w:val="1"/>
                <w:szCs w:val="1"/>
                <w:color w:val="auto"/>
              </w:rPr>
            </w:pPr>
          </w:p>
        </w:tc>
      </w:tr>
      <w:tr>
        <w:trPr>
          <w:trHeight w:val="339"/>
        </w:trPr>
        <w:tc>
          <w:tcPr>
            <w:tcW w:w="3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2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14025 Riveredge Drive, Suite 300</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1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w w:val="98"/>
              </w:rPr>
              <w:t>Tampa, Florida 33637</w:t>
            </w: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3320" w:type="dxa"/>
            <w:vAlign w:val="bottom"/>
          </w:tcPr>
          <w:p>
            <w:pPr>
              <w:spacing w:after="0"/>
              <w:rPr>
                <w:sz w:val="18"/>
                <w:szCs w:val="18"/>
                <w:color w:val="auto"/>
              </w:rPr>
            </w:pPr>
          </w:p>
        </w:tc>
        <w:tc>
          <w:tcPr>
            <w:tcW w:w="3340" w:type="dxa"/>
            <w:vAlign w:val="bottom"/>
            <w:gridSpan w:val="4"/>
          </w:tcPr>
          <w:p>
            <w:pPr>
              <w:jc w:val="center"/>
              <w:ind w:left="936"/>
              <w:spacing w:after="0"/>
              <w:rPr>
                <w:sz w:val="20"/>
                <w:szCs w:val="20"/>
                <w:color w:val="auto"/>
              </w:rPr>
            </w:pPr>
            <w:r>
              <w:rPr>
                <w:rFonts w:ascii="Times New Roman" w:cs="Times New Roman" w:eastAsia="Times New Roman" w:hAnsi="Times New Roman"/>
                <w:sz w:val="18"/>
                <w:szCs w:val="18"/>
                <w:b w:val="1"/>
                <w:bCs w:val="1"/>
                <w:color w:val="auto"/>
                <w:w w:val="99"/>
              </w:rPr>
              <w:t>(215) 698-5100</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11020" w:type="dxa"/>
            <w:vAlign w:val="bottom"/>
            <w:gridSpan w:val="8"/>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Including Zip Code, and Telephone Number, Including Area Code, of Registrant’s Principal Executive Offices)</w:t>
            </w:r>
          </w:p>
        </w:tc>
        <w:tc>
          <w:tcPr>
            <w:tcW w:w="0" w:type="dxa"/>
            <w:vAlign w:val="bottom"/>
          </w:tcPr>
          <w:p>
            <w:pPr>
              <w:spacing w:after="0"/>
              <w:rPr>
                <w:sz w:val="1"/>
                <w:szCs w:val="1"/>
                <w:color w:val="auto"/>
              </w:rPr>
            </w:pPr>
          </w:p>
        </w:tc>
      </w:tr>
      <w:tr>
        <w:trPr>
          <w:trHeight w:val="323"/>
        </w:trPr>
        <w:tc>
          <w:tcPr>
            <w:tcW w:w="3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1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0"/>
        </w:trPr>
        <w:tc>
          <w:tcPr>
            <w:tcW w:w="3320" w:type="dxa"/>
            <w:vAlign w:val="bottom"/>
          </w:tcPr>
          <w:p>
            <w:pPr>
              <w:spacing w:after="0"/>
              <w:rPr>
                <w:sz w:val="16"/>
                <w:szCs w:val="16"/>
                <w:color w:val="auto"/>
              </w:rPr>
            </w:pPr>
          </w:p>
        </w:tc>
        <w:tc>
          <w:tcPr>
            <w:tcW w:w="4160" w:type="dxa"/>
            <w:vAlign w:val="bottom"/>
            <w:gridSpan w:val="6"/>
          </w:tcPr>
          <w:p>
            <w:pPr>
              <w:jc w:val="center"/>
              <w:ind w:left="116"/>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c>
          <w:tcPr>
            <w:tcW w:w="3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3740" w:type="dxa"/>
            <w:vAlign w:val="bottom"/>
            <w:gridSpan w:val="2"/>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320" w:type="dxa"/>
            <w:vAlign w:val="bottom"/>
            <w:tcBorders>
              <w:bottom w:val="single" w:sz="8" w:color="auto"/>
            </w:tcBorders>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8"/>
        </w:trPr>
        <w:tc>
          <w:tcPr>
            <w:tcW w:w="7480" w:type="dxa"/>
            <w:vAlign w:val="bottom"/>
            <w:gridSpan w:val="7"/>
          </w:tcPr>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tc>
        <w:tc>
          <w:tcPr>
            <w:tcW w:w="3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2"/>
        </w:trPr>
        <w:tc>
          <w:tcPr>
            <w:tcW w:w="3320" w:type="dxa"/>
            <w:vAlign w:val="bottom"/>
            <w:vMerge w:val="restart"/>
          </w:tcPr>
          <w:p>
            <w:pPr>
              <w:jc w:val="center"/>
              <w:ind w:left="318"/>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1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32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1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191"/>
        </w:trPr>
        <w:tc>
          <w:tcPr>
            <w:tcW w:w="3320" w:type="dxa"/>
            <w:vAlign w:val="bottom"/>
            <w:tcBorders>
              <w:top w:val="single" w:sz="8" w:color="auto"/>
            </w:tcBorders>
          </w:tcPr>
          <w:p>
            <w:pPr>
              <w:jc w:val="center"/>
              <w:ind w:left="318"/>
              <w:spacing w:after="0" w:line="191" w:lineRule="exact"/>
              <w:rPr>
                <w:sz w:val="20"/>
                <w:szCs w:val="20"/>
                <w:color w:val="auto"/>
              </w:rPr>
            </w:pPr>
            <w:r>
              <w:rPr>
                <w:rFonts w:ascii="Times New Roman" w:cs="Times New Roman" w:eastAsia="Times New Roman" w:hAnsi="Times New Roman"/>
                <w:sz w:val="18"/>
                <w:szCs w:val="18"/>
                <w:color w:val="auto"/>
                <w:w w:val="99"/>
              </w:rPr>
              <w:t>Common Stock $5.00 Par Value</w:t>
            </w:r>
          </w:p>
        </w:tc>
        <w:tc>
          <w:tcPr>
            <w:tcW w:w="4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Borders>
              <w:top w:val="single" w:sz="8" w:color="auto"/>
            </w:tcBorders>
          </w:tcPr>
          <w:p>
            <w:pPr>
              <w:spacing w:after="0"/>
              <w:rPr>
                <w:sz w:val="16"/>
                <w:szCs w:val="16"/>
                <w:color w:val="auto"/>
              </w:rPr>
            </w:pPr>
          </w:p>
        </w:tc>
        <w:tc>
          <w:tcPr>
            <w:tcW w:w="3040" w:type="dxa"/>
            <w:vAlign w:val="bottom"/>
            <w:tcBorders>
              <w:top w:val="single" w:sz="8" w:color="auto"/>
            </w:tcBorders>
            <w:gridSpan w:val="2"/>
          </w:tcPr>
          <w:p>
            <w:pPr>
              <w:jc w:val="center"/>
              <w:ind w:right="480"/>
              <w:spacing w:after="0" w:line="191" w:lineRule="exact"/>
              <w:rPr>
                <w:sz w:val="20"/>
                <w:szCs w:val="20"/>
                <w:color w:val="auto"/>
              </w:rPr>
            </w:pPr>
            <w:r>
              <w:rPr>
                <w:rFonts w:ascii="Times New Roman" w:cs="Times New Roman" w:eastAsia="Times New Roman" w:hAnsi="Times New Roman"/>
                <w:sz w:val="18"/>
                <w:szCs w:val="18"/>
                <w:color w:val="auto"/>
                <w:w w:val="97"/>
              </w:rPr>
              <w:t>CCK</w:t>
            </w:r>
          </w:p>
        </w:tc>
        <w:tc>
          <w:tcPr>
            <w:tcW w:w="100" w:type="dxa"/>
            <w:vAlign w:val="bottom"/>
          </w:tcPr>
          <w:p>
            <w:pPr>
              <w:spacing w:after="0"/>
              <w:rPr>
                <w:sz w:val="16"/>
                <w:szCs w:val="16"/>
                <w:color w:val="auto"/>
              </w:rPr>
            </w:pPr>
          </w:p>
        </w:tc>
        <w:tc>
          <w:tcPr>
            <w:tcW w:w="354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16"/>
        </w:trPr>
        <w:tc>
          <w:tcPr>
            <w:tcW w:w="3320" w:type="dxa"/>
            <w:vAlign w:val="bottom"/>
          </w:tcPr>
          <w:p>
            <w:pPr>
              <w:jc w:val="center"/>
              <w:ind w:left="338"/>
              <w:spacing w:after="0"/>
              <w:rPr>
                <w:sz w:val="20"/>
                <w:szCs w:val="20"/>
                <w:color w:val="auto"/>
              </w:rPr>
            </w:pPr>
            <w:r>
              <w:rPr>
                <w:rFonts w:ascii="Times New Roman" w:cs="Times New Roman" w:eastAsia="Times New Roman" w:hAnsi="Times New Roman"/>
                <w:sz w:val="18"/>
                <w:szCs w:val="18"/>
                <w:color w:val="auto"/>
              </w:rPr>
              <w:t>7 3/8% Debentures Due 2026</w:t>
            </w: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14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rPr>
              <w:t>CCK26</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34"/>
        </w:trPr>
        <w:tc>
          <w:tcPr>
            <w:tcW w:w="3320" w:type="dxa"/>
            <w:vAlign w:val="bottom"/>
          </w:tcPr>
          <w:p>
            <w:pPr>
              <w:jc w:val="center"/>
              <w:ind w:left="338"/>
              <w:spacing w:after="0"/>
              <w:rPr>
                <w:sz w:val="20"/>
                <w:szCs w:val="20"/>
                <w:color w:val="auto"/>
              </w:rPr>
            </w:pPr>
            <w:r>
              <w:rPr>
                <w:rFonts w:ascii="Times New Roman" w:cs="Times New Roman" w:eastAsia="Times New Roman" w:hAnsi="Times New Roman"/>
                <w:sz w:val="18"/>
                <w:szCs w:val="18"/>
                <w:color w:val="auto"/>
              </w:rPr>
              <w:t>7 1/2% Debentures Due 2096</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140" w:type="dxa"/>
            <w:vAlign w:val="bottom"/>
            <w:gridSpan w:val="3"/>
          </w:tcPr>
          <w:p>
            <w:pPr>
              <w:jc w:val="center"/>
              <w:ind w:right="580"/>
              <w:spacing w:after="0"/>
              <w:rPr>
                <w:sz w:val="20"/>
                <w:szCs w:val="20"/>
                <w:color w:val="auto"/>
              </w:rPr>
            </w:pPr>
            <w:r>
              <w:rPr>
                <w:rFonts w:ascii="Times New Roman" w:cs="Times New Roman" w:eastAsia="Times New Roman" w:hAnsi="Times New Roman"/>
                <w:sz w:val="18"/>
                <w:szCs w:val="18"/>
                <w:color w:val="auto"/>
              </w:rPr>
              <w:t>CCK96</w:t>
            </w:r>
          </w:p>
        </w:tc>
        <w:tc>
          <w:tcPr>
            <w:tcW w:w="3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bl>
    <w:p>
      <w:pPr>
        <w:spacing w:after="0" w:line="198"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44" w:lineRule="exact"/>
        <w:rPr>
          <w:sz w:val="24"/>
          <w:szCs w:val="24"/>
          <w:color w:val="auto"/>
        </w:rPr>
      </w:pPr>
    </w:p>
    <w:p>
      <w:pPr>
        <w:ind w:left="4" w:right="30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53"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85725</wp:posOffset>
            </wp:positionV>
            <wp:extent cx="699516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SECTION 1 - REGISTRANT’S BUSINESS AND OPERATIONS</w:t>
      </w:r>
    </w:p>
    <w:p>
      <w:pPr>
        <w:spacing w:after="0" w:line="13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provided in Item 2.03 below is hereby incorporated herein by reference.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FINANCIAL INFORMATION</w:t>
      </w:r>
    </w:p>
    <w:p>
      <w:pPr>
        <w:spacing w:after="0" w:line="13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2.03.</w:t>
      </w:r>
      <w:r>
        <w:rPr>
          <w:sz w:val="20"/>
          <w:szCs w:val="20"/>
          <w:color w:val="auto"/>
        </w:rPr>
        <w:tab/>
      </w:r>
      <w:r>
        <w:rPr>
          <w:rFonts w:ascii="Times New Roman" w:cs="Times New Roman" w:eastAsia="Times New Roman" w:hAnsi="Times New Roman"/>
          <w:sz w:val="18"/>
          <w:szCs w:val="18"/>
          <w:b w:val="1"/>
          <w:bCs w:val="1"/>
          <w:color w:val="auto"/>
        </w:rPr>
        <w:t>Creation of a Direct Financial Obligation or an Obligation under an Off-Balance Sheet Arrangement of the Registrant.</w:t>
      </w:r>
    </w:p>
    <w:p>
      <w:pPr>
        <w:spacing w:after="0" w:line="121" w:lineRule="exact"/>
        <w:rPr>
          <w:sz w:val="20"/>
          <w:szCs w:val="20"/>
          <w:color w:val="auto"/>
        </w:rPr>
      </w:pPr>
    </w:p>
    <w:p>
      <w:pPr>
        <w:ind w:right="280"/>
        <w:spacing w:after="0" w:line="281" w:lineRule="auto"/>
        <w:rPr>
          <w:sz w:val="20"/>
          <w:szCs w:val="20"/>
          <w:color w:val="auto"/>
        </w:rPr>
      </w:pPr>
      <w:r>
        <w:rPr>
          <w:rFonts w:ascii="Times New Roman" w:cs="Times New Roman" w:eastAsia="Times New Roman" w:hAnsi="Times New Roman"/>
          <w:sz w:val="17"/>
          <w:szCs w:val="17"/>
          <w:color w:val="auto"/>
        </w:rPr>
        <w:t>On May 27, 2025, Crown Holdings, Inc. (the “</w:t>
      </w:r>
      <w:r>
        <w:rPr>
          <w:rFonts w:ascii="Times New Roman" w:cs="Times New Roman" w:eastAsia="Times New Roman" w:hAnsi="Times New Roman"/>
          <w:sz w:val="17"/>
          <w:szCs w:val="17"/>
          <w:u w:val="single" w:color="auto"/>
          <w:color w:val="auto"/>
        </w:rPr>
        <w:t>Company</w:t>
      </w:r>
      <w:r>
        <w:rPr>
          <w:rFonts w:ascii="Times New Roman" w:cs="Times New Roman" w:eastAsia="Times New Roman" w:hAnsi="Times New Roman"/>
          <w:sz w:val="17"/>
          <w:szCs w:val="17"/>
          <w:color w:val="auto"/>
        </w:rPr>
        <w:t>”) completed its note offering of $700,000,000 aggregate principal amount of 5.875% senior unsecured notes due 2033 (the “</w:t>
      </w:r>
      <w:r>
        <w:rPr>
          <w:rFonts w:ascii="Times New Roman" w:cs="Times New Roman" w:eastAsia="Times New Roman" w:hAnsi="Times New Roman"/>
          <w:sz w:val="17"/>
          <w:szCs w:val="17"/>
          <w:u w:val="single" w:color="auto"/>
          <w:color w:val="auto"/>
        </w:rPr>
        <w:t>Offering</w:t>
      </w:r>
      <w:r>
        <w:rPr>
          <w:rFonts w:ascii="Times New Roman" w:cs="Times New Roman" w:eastAsia="Times New Roman" w:hAnsi="Times New Roman"/>
          <w:sz w:val="17"/>
          <w:szCs w:val="17"/>
          <w:color w:val="auto"/>
        </w:rPr>
        <w:t>”). In connection with the Offering, Crown Americas LLC, a wholly-owned subsidiary of the Company (the “</w:t>
      </w:r>
      <w:r>
        <w:rPr>
          <w:rFonts w:ascii="Times New Roman" w:cs="Times New Roman" w:eastAsia="Times New Roman" w:hAnsi="Times New Roman"/>
          <w:sz w:val="17"/>
          <w:szCs w:val="17"/>
          <w:u w:val="single" w:color="auto"/>
          <w:color w:val="auto"/>
        </w:rPr>
        <w:t>Issuer</w:t>
      </w:r>
      <w:r>
        <w:rPr>
          <w:rFonts w:ascii="Times New Roman" w:cs="Times New Roman" w:eastAsia="Times New Roman" w:hAnsi="Times New Roman"/>
          <w:sz w:val="17"/>
          <w:szCs w:val="17"/>
          <w:color w:val="auto"/>
        </w:rPr>
        <w:t>”), issued $700,000,000 aggregate principal amount of 5.875% senior unsecured notes due 2033 (the “</w:t>
      </w:r>
      <w:r>
        <w:rPr>
          <w:rFonts w:ascii="Times New Roman" w:cs="Times New Roman" w:eastAsia="Times New Roman" w:hAnsi="Times New Roman"/>
          <w:sz w:val="17"/>
          <w:szCs w:val="17"/>
          <w:u w:val="single" w:color="auto"/>
          <w:color w:val="auto"/>
        </w:rPr>
        <w:t>Notes</w:t>
      </w:r>
      <w:r>
        <w:rPr>
          <w:rFonts w:ascii="Times New Roman" w:cs="Times New Roman" w:eastAsia="Times New Roman" w:hAnsi="Times New Roman"/>
          <w:sz w:val="17"/>
          <w:szCs w:val="17"/>
          <w:color w:val="auto"/>
        </w:rPr>
        <w:t>”). The net proceeds from the Offering will be used, together with cash on hand, to repay the 4.750% senior notes due 2026, and to pay related fees and expenses.</w:t>
      </w:r>
    </w:p>
    <w:p>
      <w:pPr>
        <w:spacing w:after="0" w:line="164"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Notes will mature on June 1, 2033 and will accrue interest at a rate of 5.875% per year. Interest on the Notes will be payable semi-annually on June 1 and December 1 of each year, beginning on December 1, 2025. The Issuer may redeem some or all of the Notes, at its option, at any time prior to June 1, 2028 by paying 100% of the principal amount, plus accrued and unpaid interest, if any, to, but excluding, the redemption date, and a make-whole premium. Thereafter, the Issuer may redeem all or some of the Notes at applicable redemption prices. In addition, on or prior to June 1, 2028, the Issuer may redeem up to 40% of the Notes with the net cash proceeds of certain equity offerings of capital stock of the Company that are contributed as capital or are used to subscribe for qualified capital stock of the Issuer.</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Notes were sold in a private placement and resold by the initial purchasers to persons reasonably believed to be qualified institutional buyers pursuant to Rule 144A promulgated under the Securities Act of 1933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to non-U.S. persons pursuant to Regulation S of the Securities Act. The Notes have not been registered under the Securities Act and may not be offered or sold in the United States absent registration or an applicable exemption from the registration requirements.</w:t>
      </w:r>
    </w:p>
    <w:p>
      <w:pPr>
        <w:spacing w:after="0" w:line="180"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If the Issuer or the Company experiences a change of control repurchase event, the Issuer may be required to offer to purchase the Notes at a purchase price equal to 101% of their principal amount, plus accrued and unpaid interest, if any, to, but excluding, the repurchase date.</w:t>
      </w:r>
    </w:p>
    <w:p>
      <w:pPr>
        <w:spacing w:after="0" w:line="162"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Notes are senior obligations of the Issuer. The Notes will be unconditionally guaranteed on a senior basis by the Company and, subject to applicable law and exceptions, certain of the Company’s current and future subsidiaries organized under the laws of the United States.</w:t>
      </w:r>
    </w:p>
    <w:p>
      <w:pPr>
        <w:spacing w:after="0" w:line="16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The Notes have been issued under an indenture with U.S. Bank Trust Company, National Association, as trustee. The indenture governing the Notes contain covenants that will limit the ability of the Company and its subsidiaries (including the Issuer) to, among other things, create liens, engage in sale and leaseback transactions or merge or consolidate with or into other companies. If an event of default, as specified in the indenture governing the Notes, shall occur and be continuing, either the trustee or the holders of a specified percentage of the Notes may accelerate the maturity of all the Notes. The covenants, events of default and acceleration rights described in this paragraph are subject to important exceptions and qualifications, which are described in the indenture filed herewith.</w:t>
      </w:r>
    </w:p>
    <w:p>
      <w:pPr>
        <w:spacing w:after="0" w:line="187"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Under a registration rights agreement with the initial purchasers of the Notes, the Issuer has agreed to (a) use its reasonable best efforts to file and cause to become effective a registration statement with the U.S.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with respect to a registered offer to exchange the Notes for new notes of the Issuer having terms substantially identical in all material respects to the Notes (except that the exchange notes will not contain terms with respect to transfer restrictions) and (b) use their reasonable best efforts to cause the registered</w:t>
      </w:r>
    </w:p>
    <w:p>
      <w:pPr>
        <w:sectPr>
          <w:pgSz w:w="11900" w:h="16838" w:orient="portrait"/>
          <w:cols w:equalWidth="0" w:num="1">
            <w:col w:w="11000"/>
          </w:cols>
          <w:pgMar w:left="440" w:top="293" w:right="459" w:bottom="1440" w:gutter="0" w:footer="0" w:header="0"/>
        </w:sectPr>
      </w:pPr>
    </w:p>
    <w:bookmarkStart w:id="2" w:name="page3"/>
    <w:bookmarkEnd w:id="2"/>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245"/>
                    </a:xfrm>
                    <a:prstGeom prst="rect">
                      <a:avLst/>
                    </a:prstGeom>
                    <a:noFill/>
                  </pic:spPr>
                </pic:pic>
              </a:graphicData>
            </a:graphic>
          </wp:anchor>
        </w:drawing>
        <w:t>exchange offer to become completed under the Securities Act within 360 days of the issue date of the Notes. If the exchange offer is not completed within the periods specified in the registration rights agreement, applicable interpretation of the staff of the SEC prohibit the Issuer from effecting such a registered exchange offer or, under limited circumstances, if required by the initial purchasers of the Notes or a holder thereof, the Issuer has agreed to file, and to use their reasonable best efforts to cause to become effective, a shelf registration statement relating to resales of the Notes or the notes issued in the registered exchange offer, as the case may be. The Issuer will be obligated to pay additional interest on the Notes if, within the periods specified in the registration rights agreement, they do not complete the exchange offer, or, if required, file the shelf registration statement, the shelf registration statement has not been declared effective or, after the shelf registration statement has been declared effective, such registration statement thereafter ceases to be effective or useable (subject to certain exceptions).</w:t>
      </w:r>
    </w:p>
    <w:p>
      <w:pPr>
        <w:spacing w:after="0" w:line="19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descriptions set forth above are qualified in their entirety by the indenture governing the Notes filed herewith as Exhibit 4.1, and the registration rights agreement filed herewith as Exhibit 4.2.</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right="160"/>
        <w:spacing w:after="0" w:line="258" w:lineRule="auto"/>
        <w:rPr>
          <w:sz w:val="20"/>
          <w:szCs w:val="20"/>
          <w:color w:val="auto"/>
        </w:rPr>
      </w:pPr>
      <w:r>
        <w:rPr>
          <w:rFonts w:ascii="Times New Roman" w:cs="Times New Roman" w:eastAsia="Times New Roman" w:hAnsi="Times New Roman"/>
          <w:sz w:val="18"/>
          <w:szCs w:val="18"/>
          <w:color w:val="auto"/>
        </w:rPr>
        <w:t>Except for historical information, all other information in this Form 8-K consists of forward-looking statements. These forward-looking statements involve a number of risks, uncertainties and other factors which may cause the actual results to be materially different from those expressed or implied in the forward-looking statements. Other important factors that could cause the statements made in this Form 8-K or the actual results of operations or financial condition of the Company to differ are discussed under the caption “Forward Looking Statements” in the Company’s Form 10-K Annual Report for the year ended December 31, 2024 and in subsequent filings made prior to or after the date hereof.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intend to review or revise any particular forward-looking statement in light of future events.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 FINANCIAL STATEMENTS AND EXHIBITS</w:t>
      </w:r>
    </w:p>
    <w:p>
      <w:pPr>
        <w:spacing w:after="0" w:line="13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131" w:lineRule="exact"/>
        <w:rPr>
          <w:sz w:val="20"/>
          <w:szCs w:val="20"/>
          <w:color w:val="auto"/>
        </w:rPr>
      </w:pPr>
    </w:p>
    <w:p>
      <w:pPr>
        <w:ind w:left="960" w:hanging="532"/>
        <w:spacing w:after="0"/>
        <w:tabs>
          <w:tab w:leader="none" w:pos="9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Exhibits:</w:t>
      </w:r>
    </w:p>
    <w:p>
      <w:pPr>
        <w:spacing w:after="0" w:line="252" w:lineRule="exact"/>
        <w:rPr>
          <w:sz w:val="20"/>
          <w:szCs w:val="20"/>
          <w:color w:val="auto"/>
        </w:rPr>
      </w:pPr>
    </w:p>
    <w:p>
      <w:pPr>
        <w:ind w:left="200"/>
        <w:spacing w:after="0"/>
        <w:tabs>
          <w:tab w:leader="none" w:pos="5780" w:val="left"/>
        </w:tabs>
        <w:rPr>
          <w:sz w:val="20"/>
          <w:szCs w:val="20"/>
          <w:color w:val="auto"/>
        </w:rPr>
      </w:pPr>
      <w:r>
        <w:rPr>
          <w:rFonts w:ascii="Times New Roman" w:cs="Times New Roman" w:eastAsia="Times New Roman" w:hAnsi="Times New Roman"/>
          <w:sz w:val="14"/>
          <w:szCs w:val="14"/>
          <w:color w:val="auto"/>
        </w:rPr>
        <w:t>Exhibit</w:t>
      </w:r>
      <w:r>
        <w:rPr>
          <w:sz w:val="20"/>
          <w:szCs w:val="20"/>
          <w:color w:val="auto"/>
        </w:rPr>
        <w:tab/>
      </w:r>
      <w:r>
        <w:rPr>
          <w:rFonts w:ascii="Times New Roman" w:cs="Times New Roman" w:eastAsia="Times New Roman" w:hAnsi="Times New Roman"/>
          <w:sz w:val="14"/>
          <w:szCs w:val="14"/>
          <w:color w:val="auto"/>
        </w:rPr>
        <w:t>Description</w:t>
      </w:r>
    </w:p>
    <w:p>
      <w:pPr>
        <w:spacing w:after="0" w:line="100" w:lineRule="exact"/>
        <w:rPr>
          <w:sz w:val="20"/>
          <w:szCs w:val="20"/>
          <w:color w:val="auto"/>
        </w:rPr>
      </w:pPr>
    </w:p>
    <w:p>
      <w:pPr>
        <w:ind w:left="1260" w:right="720" w:hanging="1268"/>
        <w:spacing w:after="0" w:line="282" w:lineRule="auto"/>
        <w:tabs>
          <w:tab w:leader="none" w:pos="1240" w:val="left"/>
        </w:tabs>
        <w:rPr>
          <w:sz w:val="20"/>
          <w:szCs w:val="20"/>
          <w:color w:val="auto"/>
        </w:rPr>
      </w:pPr>
      <w:r>
        <w:rPr>
          <w:rFonts w:ascii="Times New Roman" w:cs="Times New Roman" w:eastAsia="Times New Roman" w:hAnsi="Times New Roman"/>
          <w:sz w:val="18"/>
          <w:szCs w:val="18"/>
          <w:color w:val="auto"/>
        </w:rPr>
        <w:t>Exhibit 4.1</w:t>
      </w:r>
      <w:r>
        <w:rPr>
          <w:sz w:val="20"/>
          <w:szCs w:val="20"/>
          <w:color w:val="auto"/>
        </w:rPr>
        <w:tab/>
      </w:r>
      <w:r>
        <w:rPr>
          <w:rFonts w:ascii="Times New Roman" w:cs="Times New Roman" w:eastAsia="Times New Roman" w:hAnsi="Times New Roman"/>
          <w:sz w:val="18"/>
          <w:szCs w:val="18"/>
          <w:u w:val="single" w:color="auto"/>
          <w:color w:val="0000EE"/>
        </w:rPr>
        <w:t>Indenture, dated as of May 27, 2025, among the Issuer, the Company, the other guarantors party thereto, and U.S. Bank Trust Company, National Association, as Trustee, relating to the $700,000,000 5.875% senior unsecured notes due 2033.</w:t>
      </w:r>
    </w:p>
    <w:p>
      <w:pPr>
        <w:spacing w:after="0" w:line="54" w:lineRule="exact"/>
        <w:rPr>
          <w:sz w:val="20"/>
          <w:szCs w:val="20"/>
          <w:color w:val="auto"/>
        </w:rPr>
      </w:pPr>
    </w:p>
    <w:p>
      <w:pPr>
        <w:ind w:left="1260" w:right="100" w:hanging="1268"/>
        <w:spacing w:after="0" w:line="266" w:lineRule="auto"/>
        <w:tabs>
          <w:tab w:leader="none" w:pos="1240" w:val="left"/>
        </w:tabs>
        <w:rPr>
          <w:sz w:val="20"/>
          <w:szCs w:val="20"/>
          <w:color w:val="auto"/>
        </w:rPr>
      </w:pPr>
      <w:r>
        <w:rPr>
          <w:rFonts w:ascii="Times New Roman" w:cs="Times New Roman" w:eastAsia="Times New Roman" w:hAnsi="Times New Roman"/>
          <w:sz w:val="18"/>
          <w:szCs w:val="18"/>
          <w:color w:val="auto"/>
        </w:rPr>
        <w:t>Exhibit 4.2</w:t>
      </w:r>
      <w:r>
        <w:rPr>
          <w:sz w:val="20"/>
          <w:szCs w:val="20"/>
          <w:color w:val="auto"/>
        </w:rPr>
        <w:tab/>
      </w:r>
      <w:r>
        <w:rPr>
          <w:rFonts w:ascii="Times New Roman" w:cs="Times New Roman" w:eastAsia="Times New Roman" w:hAnsi="Times New Roman"/>
          <w:sz w:val="18"/>
          <w:szCs w:val="18"/>
          <w:u w:val="single" w:color="auto"/>
          <w:color w:val="0000EE"/>
        </w:rPr>
        <w:t>Registration Rights Agreement, dated as of May 27, 2025, by and among the Issuer, the Company, BofA Securities, Inc., as representative of the initial purchasers, and the Guarantors (as defined therein), relating to the $700,000,000 5.875% senior unsecured notes due 2033.</w:t>
      </w:r>
    </w:p>
    <w:p>
      <w:pPr>
        <w:spacing w:after="0" w:line="68"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Exhibit 104</w:t>
      </w:r>
      <w:r>
        <w:rPr>
          <w:sz w:val="20"/>
          <w:szCs w:val="20"/>
          <w:color w:val="auto"/>
        </w:rPr>
        <w:tab/>
      </w:r>
      <w:r>
        <w:rPr>
          <w:rFonts w:ascii="Times New Roman" w:cs="Times New Roman" w:eastAsia="Times New Roman" w:hAnsi="Times New Roman"/>
          <w:sz w:val="17"/>
          <w:szCs w:val="17"/>
          <w:color w:val="auto"/>
        </w:rPr>
        <w:t>Cover Page Interactive Data File (embedded within the Inline XBRL document).</w:t>
      </w:r>
    </w:p>
    <w:p>
      <w:pPr>
        <w:sectPr>
          <w:pgSz w:w="11900" w:h="16838" w:orient="portrait"/>
          <w:cols w:equalWidth="0" w:num="1">
            <w:col w:w="11000"/>
          </w:cols>
          <w:pgMar w:left="440" w:top="297" w:right="459" w:bottom="1440" w:gutter="0" w:footer="0" w:header="0"/>
        </w:sectPr>
      </w:pPr>
    </w:p>
    <w:bookmarkStart w:id="3" w:name="page4"/>
    <w:bookmarkEnd w:id="3"/>
    <w:p>
      <w:pPr>
        <w:jc w:val="center"/>
        <w:ind w:right="-4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Form 8-K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28, 2025</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CROWN HOLDINGS, INC.</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Christy L. Kalaus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Christy L. Kalaus</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Vice President and Corporate Controller</w:t>
      </w:r>
    </w:p>
    <w:p>
      <w:pPr>
        <w:sectPr>
          <w:pgSz w:w="11900" w:h="16838" w:orient="portrait"/>
          <w:cols w:equalWidth="0" w:num="1">
            <w:col w:w="10560"/>
          </w:cols>
          <w:pgMar w:left="440" w:top="293" w:right="89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XECUTION</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4"/>
          <w:szCs w:val="14"/>
          <w:b w:val="1"/>
          <w:bCs w:val="1"/>
          <w:color w:val="auto"/>
        </w:rPr>
        <w:t>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182880</wp:posOffset>
            </wp:positionV>
            <wp:extent cx="6995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225425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0"/>
          <w:szCs w:val="20"/>
          <w:color w:val="auto"/>
        </w:rPr>
      </w:pPr>
    </w:p>
    <w:p>
      <w:pPr>
        <w:spacing w:after="0" w:line="34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CROWN AMERICAS LLC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as Issuer</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the Guarantors named herein</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7"/>
          <w:szCs w:val="17"/>
          <w:color w:val="auto"/>
        </w:rPr>
        <w:t>U.S. BANK TRUST COMPANY, NATIONAL ASSOCIATION</w:t>
      </w:r>
    </w:p>
    <w:p>
      <w:pPr>
        <w:spacing w:after="0" w:line="23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as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248920</wp:posOffset>
            </wp:positionV>
            <wp:extent cx="14744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INDENTURE</w:t>
      </w:r>
    </w:p>
    <w:p>
      <w:pPr>
        <w:spacing w:after="0" w:line="225"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18"/>
          <w:szCs w:val="18"/>
          <w:color w:val="auto"/>
        </w:rPr>
        <w:t>Dated as of May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2122805</wp:posOffset>
            </wp:positionH>
            <wp:positionV relativeFrom="paragraph">
              <wp:posOffset>240030</wp:posOffset>
            </wp:positionV>
            <wp:extent cx="14744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3380"/>
        <w:spacing w:after="0"/>
        <w:rPr>
          <w:sz w:val="20"/>
          <w:szCs w:val="20"/>
          <w:color w:val="auto"/>
        </w:rPr>
      </w:pPr>
      <w:r>
        <w:rPr>
          <w:rFonts w:ascii="Times New Roman" w:cs="Times New Roman" w:eastAsia="Times New Roman" w:hAnsi="Times New Roman"/>
          <w:sz w:val="18"/>
          <w:szCs w:val="18"/>
          <w:color w:val="auto"/>
        </w:rPr>
        <w:t>5.875% Senior Notes due 2033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-636905</wp:posOffset>
            </wp:positionH>
            <wp:positionV relativeFrom="paragraph">
              <wp:posOffset>180340</wp:posOffset>
            </wp:positionV>
            <wp:extent cx="69951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222885</wp:posOffset>
            </wp:positionV>
            <wp:extent cx="69951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20"/>
          </w:cols>
          <w:pgMar w:left="1440" w:top="117" w:right="439" w:bottom="1440" w:gutter="0" w:footer="0" w:header="0"/>
        </w:sectPr>
      </w:pPr>
    </w:p>
    <w:bookmarkStart w:id="5" w:name="page6"/>
    <w:bookmarkEnd w:id="5"/>
    <w:p>
      <w:pPr>
        <w:ind w:left="43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CROSS-REFERENCE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 xml:space="preserve">   </w:t>
            </w:r>
          </w:p>
        </w:tc>
        <w:tc>
          <w:tcPr>
            <w:tcW w:w="48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TIA</w:t>
            </w:r>
          </w:p>
        </w:tc>
        <w:tc>
          <w:tcPr>
            <w:tcW w:w="75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4"/>
                <w:szCs w:val="14"/>
                <w:color w:val="auto"/>
              </w:rPr>
              <w:t> </w:t>
            </w:r>
          </w:p>
        </w:tc>
        <w:tc>
          <w:tcPr>
            <w:tcW w:w="78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w w:val="71"/>
              </w:rPr>
              <w:t> </w:t>
            </w:r>
          </w:p>
        </w:tc>
        <w:tc>
          <w:tcPr>
            <w:tcW w:w="8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color w:val="auto"/>
              </w:rPr>
              <w:t>Indenture</w:t>
            </w:r>
          </w:p>
        </w:tc>
        <w:tc>
          <w:tcPr>
            <w:tcW w:w="0" w:type="dxa"/>
            <w:vAlign w:val="bottom"/>
          </w:tcPr>
          <w:p>
            <w:pPr>
              <w:spacing w:after="0"/>
              <w:rPr>
                <w:sz w:val="1"/>
                <w:szCs w:val="1"/>
                <w:color w:val="auto"/>
              </w:rPr>
            </w:pPr>
          </w:p>
        </w:tc>
      </w:tr>
      <w:tr>
        <w:trPr>
          <w:trHeight w:val="171"/>
        </w:trPr>
        <w:tc>
          <w:tcPr>
            <w:tcW w:w="80" w:type="dxa"/>
            <w:vAlign w:val="bottom"/>
          </w:tcPr>
          <w:p>
            <w:pPr>
              <w:spacing w:after="0"/>
              <w:rPr>
                <w:sz w:val="20"/>
                <w:szCs w:val="20"/>
                <w:color w:val="auto"/>
              </w:rPr>
            </w:pPr>
            <w:r>
              <w:rPr>
                <w:rFonts w:ascii="Times New Roman" w:cs="Times New Roman" w:eastAsia="Times New Roman" w:hAnsi="Times New Roman"/>
                <w:sz w:val="8"/>
                <w:szCs w:val="8"/>
                <w:color w:val="auto"/>
                <w:w w:val="74"/>
              </w:rPr>
              <w:t> </w:t>
            </w:r>
          </w:p>
        </w:tc>
        <w:tc>
          <w:tcPr>
            <w:tcW w:w="200" w:type="dxa"/>
            <w:vAlign w:val="bottom"/>
          </w:tcPr>
          <w:p>
            <w:pPr>
              <w:ind w:left="60"/>
              <w:spacing w:after="0"/>
              <w:rPr>
                <w:sz w:val="20"/>
                <w:szCs w:val="20"/>
                <w:color w:val="auto"/>
              </w:rPr>
            </w:pPr>
            <w:r>
              <w:rPr>
                <w:rFonts w:ascii="Times New Roman" w:cs="Times New Roman" w:eastAsia="Times New Roman" w:hAnsi="Times New Roman"/>
                <w:sz w:val="14"/>
                <w:szCs w:val="14"/>
                <w:color w:val="auto"/>
                <w:w w:val="85"/>
              </w:rPr>
              <w:t> </w:t>
            </w:r>
          </w:p>
        </w:tc>
        <w:tc>
          <w:tcPr>
            <w:tcW w:w="480" w:type="dxa"/>
            <w:vAlign w:val="bottom"/>
          </w:tcPr>
          <w:p>
            <w:pPr>
              <w:spacing w:after="0"/>
              <w:rPr>
                <w:sz w:val="20"/>
                <w:szCs w:val="20"/>
                <w:color w:val="auto"/>
              </w:rPr>
            </w:pPr>
            <w:r>
              <w:rPr>
                <w:rFonts w:ascii="Times New Roman" w:cs="Times New Roman" w:eastAsia="Times New Roman" w:hAnsi="Times New Roman"/>
                <w:sz w:val="14"/>
                <w:szCs w:val="14"/>
                <w:color w:val="auto"/>
                <w:w w:val="82"/>
              </w:rPr>
              <w:t>Section </w:t>
            </w:r>
          </w:p>
        </w:tc>
        <w:tc>
          <w:tcPr>
            <w:tcW w:w="7500" w:type="dxa"/>
            <w:vAlign w:val="bottom"/>
            <w:gridSpan w:val="3"/>
            <w:vMerge w:val="continue"/>
          </w:tcPr>
          <w:p>
            <w:pPr>
              <w:spacing w:after="0"/>
              <w:rPr>
                <w:sz w:val="14"/>
                <w:szCs w:val="14"/>
                <w:color w:val="auto"/>
              </w:rPr>
            </w:pPr>
          </w:p>
        </w:tc>
        <w:tc>
          <w:tcPr>
            <w:tcW w:w="780" w:type="dxa"/>
            <w:vAlign w:val="bottom"/>
            <w:gridSpan w:val="2"/>
          </w:tcPr>
          <w:p>
            <w:pPr>
              <w:ind w:left="660"/>
              <w:spacing w:after="0"/>
              <w:rPr>
                <w:sz w:val="20"/>
                <w:szCs w:val="20"/>
                <w:color w:val="auto"/>
              </w:rPr>
            </w:pPr>
            <w:r>
              <w:rPr>
                <w:rFonts w:ascii="Times New Roman" w:cs="Times New Roman" w:eastAsia="Times New Roman" w:hAnsi="Times New Roman"/>
                <w:sz w:val="14"/>
                <w:szCs w:val="14"/>
                <w:color w:val="auto"/>
              </w:rPr>
              <w:t xml:space="preserve">   </w:t>
            </w:r>
          </w:p>
        </w:tc>
        <w:tc>
          <w:tcPr>
            <w:tcW w:w="82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color w:val="auto"/>
                <w:w w:val="99"/>
              </w:rPr>
              <w:t>Section</w:t>
            </w:r>
          </w:p>
        </w:tc>
        <w:tc>
          <w:tcPr>
            <w:tcW w:w="0" w:type="dxa"/>
            <w:vAlign w:val="bottom"/>
          </w:tcPr>
          <w:p>
            <w:pPr>
              <w:spacing w:after="0"/>
              <w:rPr>
                <w:sz w:val="1"/>
                <w:szCs w:val="1"/>
                <w:color w:val="auto"/>
              </w:rPr>
            </w:pPr>
          </w:p>
        </w:tc>
      </w:tr>
      <w:tr>
        <w:trPr>
          <w:trHeight w:val="191"/>
        </w:trPr>
        <w:tc>
          <w:tcPr>
            <w:tcW w:w="28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w w:val="96"/>
              </w:rPr>
              <w:t>310</w:t>
            </w:r>
          </w:p>
        </w:tc>
        <w:tc>
          <w:tcPr>
            <w:tcW w:w="720" w:type="dxa"/>
            <w:vAlign w:val="bottom"/>
            <w:tcBorders>
              <w:top w:val="single" w:sz="8" w:color="auto"/>
            </w:tcBorders>
            <w:gridSpan w:val="2"/>
          </w:tcPr>
          <w:p>
            <w:pPr>
              <w:ind w:left="180"/>
              <w:spacing w:after="0" w:line="191" w:lineRule="exact"/>
              <w:rPr>
                <w:sz w:val="20"/>
                <w:szCs w:val="20"/>
                <w:color w:val="auto"/>
              </w:rPr>
            </w:pPr>
            <w:r>
              <w:rPr>
                <w:rFonts w:ascii="Times New Roman" w:cs="Times New Roman" w:eastAsia="Times New Roman" w:hAnsi="Times New Roman"/>
                <w:sz w:val="18"/>
                <w:szCs w:val="18"/>
                <w:color w:val="auto"/>
              </w:rPr>
              <w:t>(a)(1)</w:t>
            </w:r>
          </w:p>
        </w:tc>
        <w:tc>
          <w:tcPr>
            <w:tcW w:w="220" w:type="dxa"/>
            <w:vAlign w:val="bottom"/>
          </w:tcPr>
          <w:p>
            <w:pPr>
              <w:spacing w:after="0"/>
              <w:rPr>
                <w:sz w:val="16"/>
                <w:szCs w:val="16"/>
                <w:color w:val="auto"/>
              </w:rPr>
            </w:pPr>
          </w:p>
        </w:tc>
        <w:tc>
          <w:tcPr>
            <w:tcW w:w="70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0" w:type="dxa"/>
            <w:vAlign w:val="bottom"/>
            <w:tcBorders>
              <w:top w:val="single" w:sz="8" w:color="auto"/>
            </w:tcBorders>
            <w:gridSpan w:val="2"/>
          </w:tcPr>
          <w:p>
            <w:pPr>
              <w:spacing w:after="0" w:line="191" w:lineRule="exact"/>
              <w:rPr>
                <w:sz w:val="20"/>
                <w:szCs w:val="20"/>
                <w:color w:val="auto"/>
              </w:rPr>
            </w:pPr>
            <w:r>
              <w:rPr>
                <w:rFonts w:ascii="Times New Roman" w:cs="Times New Roman" w:eastAsia="Times New Roman" w:hAnsi="Times New Roman"/>
                <w:sz w:val="18"/>
                <w:szCs w:val="18"/>
                <w:color w:val="auto"/>
              </w:rPr>
              <w:t>7.10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9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(a)(2)</w:t>
            </w:r>
          </w:p>
        </w:tc>
        <w:tc>
          <w:tcPr>
            <w:tcW w:w="14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7.10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9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(a)(3)</w:t>
            </w:r>
          </w:p>
        </w:tc>
        <w:tc>
          <w:tcPr>
            <w:tcW w:w="16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9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(a)(4)</w:t>
            </w:r>
          </w:p>
        </w:tc>
        <w:tc>
          <w:tcPr>
            <w:tcW w:w="16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9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(a)(5)</w:t>
            </w:r>
          </w:p>
        </w:tc>
        <w:tc>
          <w:tcPr>
            <w:tcW w:w="16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4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7.10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9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(b)(1)</w:t>
            </w:r>
          </w:p>
        </w:tc>
        <w:tc>
          <w:tcPr>
            <w:tcW w:w="14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7.10</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6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311</w:t>
            </w:r>
          </w:p>
        </w:tc>
        <w:tc>
          <w:tcPr>
            <w:tcW w:w="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4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7.11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4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7.11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6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312</w:t>
            </w:r>
          </w:p>
        </w:tc>
        <w:tc>
          <w:tcPr>
            <w:tcW w:w="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6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4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11.03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4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11.03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313</w:t>
            </w:r>
          </w:p>
        </w:tc>
        <w:tc>
          <w:tcPr>
            <w:tcW w:w="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4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7.06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9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(b)(1)</w:t>
            </w:r>
          </w:p>
        </w:tc>
        <w:tc>
          <w:tcPr>
            <w:tcW w:w="16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9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(b)(2)</w:t>
            </w:r>
          </w:p>
        </w:tc>
        <w:tc>
          <w:tcPr>
            <w:tcW w:w="14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7.06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6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7.06; 11.02</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4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7.06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314</w:t>
            </w:r>
          </w:p>
        </w:tc>
        <w:tc>
          <w:tcPr>
            <w:tcW w:w="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6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w w:val="98"/>
              </w:rPr>
              <w:t>4.06; 4.16(b)</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6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9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(c)(1)</w:t>
            </w:r>
          </w:p>
        </w:tc>
        <w:tc>
          <w:tcPr>
            <w:tcW w:w="16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9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(c)(2)</w:t>
            </w:r>
          </w:p>
        </w:tc>
        <w:tc>
          <w:tcPr>
            <w:tcW w:w="16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9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(c)(3)</w:t>
            </w:r>
          </w:p>
        </w:tc>
        <w:tc>
          <w:tcPr>
            <w:tcW w:w="16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6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6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6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315</w:t>
            </w:r>
          </w:p>
        </w:tc>
        <w:tc>
          <w:tcPr>
            <w:tcW w:w="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6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6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6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6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6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316</w:t>
            </w:r>
          </w:p>
        </w:tc>
        <w:tc>
          <w:tcPr>
            <w:tcW w:w="79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 (last sentence)</w:t>
            </w:r>
          </w:p>
        </w:tc>
        <w:tc>
          <w:tcPr>
            <w:tcW w:w="16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9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(a)(1)(A)</w:t>
            </w:r>
          </w:p>
        </w:tc>
        <w:tc>
          <w:tcPr>
            <w:tcW w:w="1460" w:type="dxa"/>
            <w:vAlign w:val="bottom"/>
            <w:gridSpan w:val="3"/>
          </w:tcPr>
          <w:p>
            <w:pPr>
              <w:ind w:left="660"/>
              <w:spacing w:after="0"/>
              <w:rPr>
                <w:sz w:val="20"/>
                <w:szCs w:val="20"/>
                <w:color w:val="auto"/>
              </w:rPr>
            </w:pPr>
            <w:r>
              <w:rPr>
                <w:rFonts w:ascii="Times New Roman" w:cs="Times New Roman" w:eastAsia="Times New Roman" w:hAnsi="Times New Roman"/>
                <w:sz w:val="18"/>
                <w:szCs w:val="18"/>
                <w:color w:val="auto"/>
              </w:rPr>
              <w:t>6.05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9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(a)(1)(B)</w:t>
            </w:r>
          </w:p>
        </w:tc>
        <w:tc>
          <w:tcPr>
            <w:tcW w:w="16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6.04(a)</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9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(a)(2)</w:t>
            </w:r>
          </w:p>
        </w:tc>
        <w:tc>
          <w:tcPr>
            <w:tcW w:w="16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6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6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317</w:t>
            </w:r>
          </w:p>
        </w:tc>
        <w:tc>
          <w:tcPr>
            <w:tcW w:w="79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(a)(1)</w:t>
            </w:r>
          </w:p>
        </w:tc>
        <w:tc>
          <w:tcPr>
            <w:tcW w:w="16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980" w:type="dxa"/>
            <w:vAlign w:val="bottom"/>
            <w:gridSpan w:val="4"/>
          </w:tcPr>
          <w:p>
            <w:pPr>
              <w:ind w:left="180"/>
              <w:spacing w:after="0"/>
              <w:rPr>
                <w:sz w:val="20"/>
                <w:szCs w:val="20"/>
                <w:color w:val="auto"/>
              </w:rPr>
            </w:pPr>
            <w:r>
              <w:rPr>
                <w:rFonts w:ascii="Times New Roman" w:cs="Times New Roman" w:eastAsia="Times New Roman" w:hAnsi="Times New Roman"/>
                <w:sz w:val="18"/>
                <w:szCs w:val="18"/>
                <w:color w:val="auto"/>
              </w:rPr>
              <w:t>(a)(2)</w:t>
            </w:r>
          </w:p>
        </w:tc>
        <w:tc>
          <w:tcPr>
            <w:tcW w:w="16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16"/>
        </w:trPr>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40" w:type="dxa"/>
            <w:vAlign w:val="bottom"/>
          </w:tcPr>
          <w:p>
            <w:pPr>
              <w:spacing w:after="0"/>
              <w:rPr>
                <w:sz w:val="18"/>
                <w:szCs w:val="18"/>
                <w:color w:val="auto"/>
              </w:rPr>
            </w:pPr>
          </w:p>
        </w:tc>
        <w:tc>
          <w:tcPr>
            <w:tcW w:w="16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34"/>
        </w:trPr>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6"/>
              </w:rPr>
              <w:t>318</w:t>
            </w:r>
          </w:p>
        </w:tc>
        <w:tc>
          <w:tcPr>
            <w:tcW w:w="4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40" w:type="dxa"/>
            <w:vAlign w:val="bottom"/>
          </w:tcPr>
          <w:p>
            <w:pPr>
              <w:spacing w:after="0"/>
              <w:rPr>
                <w:sz w:val="20"/>
                <w:szCs w:val="20"/>
                <w:color w:val="auto"/>
              </w:rPr>
            </w:pPr>
          </w:p>
        </w:tc>
        <w:tc>
          <w:tcPr>
            <w:tcW w:w="1600" w:type="dxa"/>
            <w:vAlign w:val="bottom"/>
            <w:gridSpan w:val="4"/>
          </w:tcPr>
          <w:p>
            <w:pPr>
              <w:ind w:left="660"/>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48"/>
        </w:trPr>
        <w:tc>
          <w:tcPr>
            <w:tcW w:w="1220" w:type="dxa"/>
            <w:vAlign w:val="bottom"/>
            <w:tcBorders>
              <w:bottom w:val="single" w:sz="8" w:color="auto"/>
            </w:tcBorders>
            <w:gridSpan w:val="5"/>
          </w:tcPr>
          <w:p>
            <w:pPr>
              <w:spacing w:after="0"/>
              <w:rPr>
                <w:sz w:val="12"/>
                <w:szCs w:val="12"/>
                <w:color w:val="auto"/>
              </w:rPr>
            </w:pPr>
          </w:p>
        </w:tc>
        <w:tc>
          <w:tcPr>
            <w:tcW w:w="70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8"/>
        </w:trPr>
        <w:tc>
          <w:tcPr>
            <w:tcW w:w="82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N.A. means Not Applicable</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Note:</w:t>
            </w:r>
          </w:p>
        </w:tc>
        <w:tc>
          <w:tcPr>
            <w:tcW w:w="75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This Cross-Reference Table shall not, for any purpose, be deemed to be a part of this Indenture</w:t>
            </w: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0019"/>
          </w:cols>
          <w:pgMar w:left="440" w:top="270" w:right="1440"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4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304"/>
        </w:trPr>
        <w:tc>
          <w:tcPr>
            <w:tcW w:w="1340" w:type="dxa"/>
            <w:vAlign w:val="bottom"/>
          </w:tcPr>
          <w:p>
            <w:pPr>
              <w:spacing w:after="0"/>
              <w:rPr>
                <w:sz w:val="24"/>
                <w:szCs w:val="24"/>
                <w:color w:val="auto"/>
              </w:rPr>
            </w:pPr>
          </w:p>
        </w:tc>
        <w:tc>
          <w:tcPr>
            <w:tcW w:w="934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8"/>
              </w:rPr>
              <w:t>ARTICLE ONE</w:t>
            </w:r>
          </w:p>
        </w:tc>
        <w:tc>
          <w:tcPr>
            <w:tcW w:w="280" w:type="dxa"/>
            <w:vAlign w:val="bottom"/>
          </w:tcPr>
          <w:p>
            <w:pPr>
              <w:spacing w:after="0"/>
              <w:rPr>
                <w:sz w:val="24"/>
                <w:szCs w:val="24"/>
                <w:color w:val="auto"/>
              </w:rPr>
            </w:pPr>
          </w:p>
        </w:tc>
      </w:tr>
      <w:tr>
        <w:trPr>
          <w:trHeight w:val="324"/>
        </w:trPr>
        <w:tc>
          <w:tcPr>
            <w:tcW w:w="1340" w:type="dxa"/>
            <w:vAlign w:val="bottom"/>
          </w:tcPr>
          <w:p>
            <w:pPr>
              <w:spacing w:after="0"/>
              <w:rPr>
                <w:sz w:val="24"/>
                <w:szCs w:val="24"/>
                <w:color w:val="auto"/>
              </w:rPr>
            </w:pPr>
          </w:p>
        </w:tc>
        <w:tc>
          <w:tcPr>
            <w:tcW w:w="934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w w:val="99"/>
              </w:rPr>
              <w:t>DEFINITIONS AND INCORPORATION BY REFERENCE</w:t>
            </w:r>
          </w:p>
        </w:tc>
        <w:tc>
          <w:tcPr>
            <w:tcW w:w="280" w:type="dxa"/>
            <w:vAlign w:val="bottom"/>
          </w:tcPr>
          <w:p>
            <w:pPr>
              <w:spacing w:after="0"/>
              <w:rPr>
                <w:sz w:val="24"/>
                <w:szCs w:val="24"/>
                <w:color w:val="auto"/>
              </w:rPr>
            </w:pPr>
          </w:p>
        </w:tc>
      </w:tr>
      <w:tr>
        <w:trPr>
          <w:trHeight w:val="30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1.01.</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Definitions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1.02.</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Incorporation by Reference of Trust Indenture Act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1.03.</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Rules of Construction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324"/>
        </w:trPr>
        <w:tc>
          <w:tcPr>
            <w:tcW w:w="1340" w:type="dxa"/>
            <w:vAlign w:val="bottom"/>
          </w:tcPr>
          <w:p>
            <w:pPr>
              <w:spacing w:after="0"/>
              <w:rPr>
                <w:sz w:val="24"/>
                <w:szCs w:val="24"/>
                <w:color w:val="auto"/>
              </w:rPr>
            </w:pPr>
          </w:p>
        </w:tc>
        <w:tc>
          <w:tcPr>
            <w:tcW w:w="934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8"/>
              </w:rPr>
              <w:t>ARTICLE TWO</w:t>
            </w:r>
          </w:p>
        </w:tc>
        <w:tc>
          <w:tcPr>
            <w:tcW w:w="280" w:type="dxa"/>
            <w:vAlign w:val="bottom"/>
          </w:tcPr>
          <w:p>
            <w:pPr>
              <w:spacing w:after="0"/>
              <w:rPr>
                <w:sz w:val="24"/>
                <w:szCs w:val="24"/>
                <w:color w:val="auto"/>
              </w:rPr>
            </w:pPr>
          </w:p>
        </w:tc>
      </w:tr>
      <w:tr>
        <w:trPr>
          <w:trHeight w:val="324"/>
        </w:trPr>
        <w:tc>
          <w:tcPr>
            <w:tcW w:w="1340" w:type="dxa"/>
            <w:vAlign w:val="bottom"/>
          </w:tcPr>
          <w:p>
            <w:pPr>
              <w:spacing w:after="0"/>
              <w:rPr>
                <w:sz w:val="24"/>
                <w:szCs w:val="24"/>
                <w:color w:val="auto"/>
              </w:rPr>
            </w:pPr>
          </w:p>
        </w:tc>
        <w:tc>
          <w:tcPr>
            <w:tcW w:w="934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rPr>
              <w:t>THE SECURITIES</w:t>
            </w:r>
          </w:p>
        </w:tc>
        <w:tc>
          <w:tcPr>
            <w:tcW w:w="280" w:type="dxa"/>
            <w:vAlign w:val="bottom"/>
          </w:tcPr>
          <w:p>
            <w:pPr>
              <w:spacing w:after="0"/>
              <w:rPr>
                <w:sz w:val="24"/>
                <w:szCs w:val="24"/>
                <w:color w:val="auto"/>
              </w:rPr>
            </w:pPr>
          </w:p>
        </w:tc>
      </w:tr>
      <w:tr>
        <w:trPr>
          <w:trHeight w:val="30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2.01.</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Amount of Notes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2.02.</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Form and Dating; Legends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2.03.</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Execution and Authentication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2.04.</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Registrar and Paying Agent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2.05.</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Paying Agent To Hold Money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2.06.</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Noteholder Lists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2.07.</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Transfer and Exchange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2.08.</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Replacement Notes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2.09.</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Outstanding Notes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2.10.</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Notes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2.11.</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Temporary Notes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2.12.</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Cancellation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2.13.</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Defaulted Interest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2.14.</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CUSIP and ISIN Numbers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2.15.</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 of Moneys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2.16.</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Book-Entry Provisions for Global Notes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2.17.</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Transfer and Exchange of Notes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2.18.</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Computation of Interest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324"/>
        </w:trPr>
        <w:tc>
          <w:tcPr>
            <w:tcW w:w="1340" w:type="dxa"/>
            <w:vAlign w:val="bottom"/>
          </w:tcPr>
          <w:p>
            <w:pPr>
              <w:spacing w:after="0"/>
              <w:rPr>
                <w:sz w:val="24"/>
                <w:szCs w:val="24"/>
                <w:color w:val="auto"/>
              </w:rPr>
            </w:pPr>
          </w:p>
        </w:tc>
        <w:tc>
          <w:tcPr>
            <w:tcW w:w="934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8"/>
              </w:rPr>
              <w:t>ARTICLE THREE</w:t>
            </w:r>
          </w:p>
        </w:tc>
        <w:tc>
          <w:tcPr>
            <w:tcW w:w="280" w:type="dxa"/>
            <w:vAlign w:val="bottom"/>
          </w:tcPr>
          <w:p>
            <w:pPr>
              <w:spacing w:after="0"/>
              <w:rPr>
                <w:sz w:val="24"/>
                <w:szCs w:val="24"/>
                <w:color w:val="auto"/>
              </w:rPr>
            </w:pPr>
          </w:p>
        </w:tc>
      </w:tr>
      <w:tr>
        <w:trPr>
          <w:trHeight w:val="324"/>
        </w:trPr>
        <w:tc>
          <w:tcPr>
            <w:tcW w:w="1340" w:type="dxa"/>
            <w:vAlign w:val="bottom"/>
          </w:tcPr>
          <w:p>
            <w:pPr>
              <w:spacing w:after="0"/>
              <w:rPr>
                <w:sz w:val="24"/>
                <w:szCs w:val="24"/>
                <w:color w:val="auto"/>
              </w:rPr>
            </w:pPr>
          </w:p>
        </w:tc>
        <w:tc>
          <w:tcPr>
            <w:tcW w:w="934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9"/>
              </w:rPr>
              <w:t>REDEMPTION</w:t>
            </w:r>
          </w:p>
        </w:tc>
        <w:tc>
          <w:tcPr>
            <w:tcW w:w="280" w:type="dxa"/>
            <w:vAlign w:val="bottom"/>
          </w:tcPr>
          <w:p>
            <w:pPr>
              <w:spacing w:after="0"/>
              <w:rPr>
                <w:sz w:val="24"/>
                <w:szCs w:val="24"/>
                <w:color w:val="auto"/>
              </w:rPr>
            </w:pPr>
          </w:p>
        </w:tc>
      </w:tr>
      <w:tr>
        <w:trPr>
          <w:trHeight w:val="30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3.01.</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Election To Redeem; Notices to Trustee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3.02.</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Selection by Trustee of Notes To Be Redeemed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3.03.</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 of Redemption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3.04.</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Notice of Redemption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3.05.</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Deposit of Redemption Price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3.06.</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Notes Redeemed in Part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3.07.</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Mandatory Redemption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bl>
    <w:p>
      <w:pPr>
        <w:spacing w:after="0" w:line="13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60"/>
          </w:cols>
          <w:pgMar w:left="440" w:top="270" w:right="49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1"/>
        </w:trPr>
        <w:tc>
          <w:tcPr>
            <w:tcW w:w="134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304"/>
        </w:trPr>
        <w:tc>
          <w:tcPr>
            <w:tcW w:w="1340" w:type="dxa"/>
            <w:vAlign w:val="bottom"/>
          </w:tcPr>
          <w:p>
            <w:pPr>
              <w:spacing w:after="0"/>
              <w:rPr>
                <w:sz w:val="24"/>
                <w:szCs w:val="24"/>
                <w:color w:val="auto"/>
              </w:rPr>
            </w:pPr>
          </w:p>
        </w:tc>
        <w:tc>
          <w:tcPr>
            <w:tcW w:w="934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9"/>
              </w:rPr>
              <w:t>ARTICLE FOUR</w:t>
            </w:r>
          </w:p>
        </w:tc>
        <w:tc>
          <w:tcPr>
            <w:tcW w:w="280" w:type="dxa"/>
            <w:vAlign w:val="bottom"/>
          </w:tcPr>
          <w:p>
            <w:pPr>
              <w:spacing w:after="0"/>
              <w:rPr>
                <w:sz w:val="24"/>
                <w:szCs w:val="24"/>
                <w:color w:val="auto"/>
              </w:rPr>
            </w:pPr>
          </w:p>
        </w:tc>
      </w:tr>
      <w:tr>
        <w:trPr>
          <w:trHeight w:val="324"/>
        </w:trPr>
        <w:tc>
          <w:tcPr>
            <w:tcW w:w="1340" w:type="dxa"/>
            <w:vAlign w:val="bottom"/>
          </w:tcPr>
          <w:p>
            <w:pPr>
              <w:spacing w:after="0"/>
              <w:rPr>
                <w:sz w:val="24"/>
                <w:szCs w:val="24"/>
                <w:color w:val="auto"/>
              </w:rPr>
            </w:pPr>
          </w:p>
        </w:tc>
        <w:tc>
          <w:tcPr>
            <w:tcW w:w="934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9"/>
              </w:rPr>
              <w:t>COVENANTS</w:t>
            </w:r>
          </w:p>
        </w:tc>
        <w:tc>
          <w:tcPr>
            <w:tcW w:w="280" w:type="dxa"/>
            <w:vAlign w:val="bottom"/>
          </w:tcPr>
          <w:p>
            <w:pPr>
              <w:spacing w:after="0"/>
              <w:rPr>
                <w:sz w:val="24"/>
                <w:szCs w:val="24"/>
                <w:color w:val="auto"/>
              </w:rPr>
            </w:pPr>
          </w:p>
        </w:tc>
      </w:tr>
      <w:tr>
        <w:trPr>
          <w:trHeight w:val="30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4.01.</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 of Notes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4.02.</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Maintenance of Office or Agency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4.03.</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Existence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4.04.</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Compliance with Law</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4.05.</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Waiver of Stay, Extension or Usury Laws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4.06.</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Compliance Certificate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4.07.</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Taxes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4.08.</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Repurchase at the Option of Holders upon Change of Control Repurchase Events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4.09.</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4.10.</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4.11.</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Limitation on Liens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4.12.</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4.13.</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4.14.</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[Reserved]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4.15.</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Limitation on Sale and Leaseback Transactions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4.16.</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Reports to Holders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4.17.</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Additional Note Guarantees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324"/>
        </w:trPr>
        <w:tc>
          <w:tcPr>
            <w:tcW w:w="1340" w:type="dxa"/>
            <w:vAlign w:val="bottom"/>
          </w:tcPr>
          <w:p>
            <w:pPr>
              <w:spacing w:after="0"/>
              <w:rPr>
                <w:sz w:val="24"/>
                <w:szCs w:val="24"/>
                <w:color w:val="auto"/>
              </w:rPr>
            </w:pPr>
          </w:p>
        </w:tc>
        <w:tc>
          <w:tcPr>
            <w:tcW w:w="934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9"/>
              </w:rPr>
              <w:t>ARTICLE FIVE</w:t>
            </w:r>
          </w:p>
        </w:tc>
        <w:tc>
          <w:tcPr>
            <w:tcW w:w="280" w:type="dxa"/>
            <w:vAlign w:val="bottom"/>
          </w:tcPr>
          <w:p>
            <w:pPr>
              <w:spacing w:after="0"/>
              <w:rPr>
                <w:sz w:val="24"/>
                <w:szCs w:val="24"/>
                <w:color w:val="auto"/>
              </w:rPr>
            </w:pPr>
          </w:p>
        </w:tc>
      </w:tr>
      <w:tr>
        <w:trPr>
          <w:trHeight w:val="324"/>
        </w:trPr>
        <w:tc>
          <w:tcPr>
            <w:tcW w:w="1340" w:type="dxa"/>
            <w:vAlign w:val="bottom"/>
          </w:tcPr>
          <w:p>
            <w:pPr>
              <w:spacing w:after="0"/>
              <w:rPr>
                <w:sz w:val="24"/>
                <w:szCs w:val="24"/>
                <w:color w:val="auto"/>
              </w:rPr>
            </w:pPr>
          </w:p>
        </w:tc>
        <w:tc>
          <w:tcPr>
            <w:tcW w:w="934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w w:val="99"/>
              </w:rPr>
              <w:t>SUCCESSOR CORPORATION</w:t>
            </w:r>
          </w:p>
        </w:tc>
        <w:tc>
          <w:tcPr>
            <w:tcW w:w="280" w:type="dxa"/>
            <w:vAlign w:val="bottom"/>
          </w:tcPr>
          <w:p>
            <w:pPr>
              <w:spacing w:after="0"/>
              <w:rPr>
                <w:sz w:val="24"/>
                <w:szCs w:val="24"/>
                <w:color w:val="auto"/>
              </w:rPr>
            </w:pPr>
          </w:p>
        </w:tc>
      </w:tr>
      <w:tr>
        <w:trPr>
          <w:trHeight w:val="30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5.01.</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Consolidation, Merger and Sale of Assets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5.02.</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Successor Person Substituted</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324"/>
        </w:trPr>
        <w:tc>
          <w:tcPr>
            <w:tcW w:w="1340" w:type="dxa"/>
            <w:vAlign w:val="bottom"/>
          </w:tcPr>
          <w:p>
            <w:pPr>
              <w:spacing w:after="0"/>
              <w:rPr>
                <w:sz w:val="24"/>
                <w:szCs w:val="24"/>
                <w:color w:val="auto"/>
              </w:rPr>
            </w:pPr>
          </w:p>
        </w:tc>
        <w:tc>
          <w:tcPr>
            <w:tcW w:w="934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8"/>
              </w:rPr>
              <w:t>ARTICLE SIX</w:t>
            </w:r>
          </w:p>
        </w:tc>
        <w:tc>
          <w:tcPr>
            <w:tcW w:w="280" w:type="dxa"/>
            <w:vAlign w:val="bottom"/>
          </w:tcPr>
          <w:p>
            <w:pPr>
              <w:spacing w:after="0"/>
              <w:rPr>
                <w:sz w:val="24"/>
                <w:szCs w:val="24"/>
                <w:color w:val="auto"/>
              </w:rPr>
            </w:pPr>
          </w:p>
        </w:tc>
      </w:tr>
      <w:tr>
        <w:trPr>
          <w:trHeight w:val="324"/>
        </w:trPr>
        <w:tc>
          <w:tcPr>
            <w:tcW w:w="1340" w:type="dxa"/>
            <w:vAlign w:val="bottom"/>
          </w:tcPr>
          <w:p>
            <w:pPr>
              <w:spacing w:after="0"/>
              <w:rPr>
                <w:sz w:val="24"/>
                <w:szCs w:val="24"/>
                <w:color w:val="auto"/>
              </w:rPr>
            </w:pPr>
          </w:p>
        </w:tc>
        <w:tc>
          <w:tcPr>
            <w:tcW w:w="934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9"/>
              </w:rPr>
              <w:t>DEFAULTS AND REMEDIES</w:t>
            </w:r>
          </w:p>
        </w:tc>
        <w:tc>
          <w:tcPr>
            <w:tcW w:w="280" w:type="dxa"/>
            <w:vAlign w:val="bottom"/>
          </w:tcPr>
          <w:p>
            <w:pPr>
              <w:spacing w:after="0"/>
              <w:rPr>
                <w:sz w:val="24"/>
                <w:szCs w:val="24"/>
                <w:color w:val="auto"/>
              </w:rPr>
            </w:pPr>
          </w:p>
        </w:tc>
      </w:tr>
      <w:tr>
        <w:trPr>
          <w:trHeight w:val="30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Events of Default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6.02.</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Acceleration of Maturity; Rescission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6.03.</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Remedies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6.04.</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Waiver of Existing Defaults and Events of Default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6.05.</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Control by Majority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6.06.</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Limitation on Suits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6.07.</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 Personal Liability of Directors, Officers, Employees and Stockholders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60"/>
          </w:cols>
          <w:pgMar w:left="440" w:top="265" w:right="4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1"/>
        </w:trPr>
        <w:tc>
          <w:tcPr>
            <w:tcW w:w="134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95"/>
              </w:rPr>
              <w:t>Page</w:t>
            </w:r>
          </w:p>
        </w:tc>
      </w:tr>
      <w:tr>
        <w:trPr>
          <w:trHeight w:val="28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6.08.</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Rights of Holders To Receive Payment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6.09.</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Collection Suit by Trustee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6.10.</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Trustee May File Proofs of Claim</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6.11.</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Priorities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6.12.</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Undertaking for Costs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w:t>
            </w:r>
          </w:p>
        </w:tc>
      </w:tr>
      <w:tr>
        <w:trPr>
          <w:trHeight w:val="324"/>
        </w:trPr>
        <w:tc>
          <w:tcPr>
            <w:tcW w:w="1340" w:type="dxa"/>
            <w:vAlign w:val="bottom"/>
          </w:tcPr>
          <w:p>
            <w:pPr>
              <w:spacing w:after="0"/>
              <w:rPr>
                <w:sz w:val="24"/>
                <w:szCs w:val="24"/>
                <w:color w:val="auto"/>
              </w:rPr>
            </w:pPr>
          </w:p>
        </w:tc>
        <w:tc>
          <w:tcPr>
            <w:tcW w:w="934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8"/>
              </w:rPr>
              <w:t>ARTICLE SEVEN</w:t>
            </w:r>
          </w:p>
        </w:tc>
        <w:tc>
          <w:tcPr>
            <w:tcW w:w="280" w:type="dxa"/>
            <w:vAlign w:val="bottom"/>
          </w:tcPr>
          <w:p>
            <w:pPr>
              <w:spacing w:after="0"/>
              <w:rPr>
                <w:sz w:val="24"/>
                <w:szCs w:val="24"/>
                <w:color w:val="auto"/>
              </w:rPr>
            </w:pPr>
          </w:p>
        </w:tc>
      </w:tr>
      <w:tr>
        <w:trPr>
          <w:trHeight w:val="324"/>
        </w:trPr>
        <w:tc>
          <w:tcPr>
            <w:tcW w:w="1340" w:type="dxa"/>
            <w:vAlign w:val="bottom"/>
          </w:tcPr>
          <w:p>
            <w:pPr>
              <w:spacing w:after="0"/>
              <w:rPr>
                <w:sz w:val="24"/>
                <w:szCs w:val="24"/>
                <w:color w:val="auto"/>
              </w:rPr>
            </w:pPr>
          </w:p>
        </w:tc>
        <w:tc>
          <w:tcPr>
            <w:tcW w:w="934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rPr>
              <w:t>TRUSTEE</w:t>
            </w:r>
          </w:p>
        </w:tc>
        <w:tc>
          <w:tcPr>
            <w:tcW w:w="280" w:type="dxa"/>
            <w:vAlign w:val="bottom"/>
          </w:tcPr>
          <w:p>
            <w:pPr>
              <w:spacing w:after="0"/>
              <w:rPr>
                <w:sz w:val="24"/>
                <w:szCs w:val="24"/>
                <w:color w:val="auto"/>
              </w:rPr>
            </w:pPr>
          </w:p>
        </w:tc>
      </w:tr>
      <w:tr>
        <w:trPr>
          <w:trHeight w:val="30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Duties of Trustee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7.02.</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Rights of Trustee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7.03.</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Individual Rights of Trustee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7.04.</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Trustee’s Disclaimer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7.05.</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Notice of Defaults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7.06.</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Reports by Trustee to Holders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7.07.</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Compensation and Indemnity</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7.08.</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Replacement of Trustee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7.09.</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Successor Trustee by Consolidation, Merger, etc.</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7.10.</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Eligibility; Disqualification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7.11.</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Preferential Collection of Claims Against Issuer</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7.12.</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Paying Agents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7.13.</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Communications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324"/>
        </w:trPr>
        <w:tc>
          <w:tcPr>
            <w:tcW w:w="1340" w:type="dxa"/>
            <w:vAlign w:val="bottom"/>
          </w:tcPr>
          <w:p>
            <w:pPr>
              <w:spacing w:after="0"/>
              <w:rPr>
                <w:sz w:val="24"/>
                <w:szCs w:val="24"/>
                <w:color w:val="auto"/>
              </w:rPr>
            </w:pPr>
          </w:p>
        </w:tc>
        <w:tc>
          <w:tcPr>
            <w:tcW w:w="934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8"/>
              </w:rPr>
              <w:t>ARTICLE EIGHT</w:t>
            </w:r>
          </w:p>
        </w:tc>
        <w:tc>
          <w:tcPr>
            <w:tcW w:w="280" w:type="dxa"/>
            <w:vAlign w:val="bottom"/>
          </w:tcPr>
          <w:p>
            <w:pPr>
              <w:spacing w:after="0"/>
              <w:rPr>
                <w:sz w:val="24"/>
                <w:szCs w:val="24"/>
                <w:color w:val="auto"/>
              </w:rPr>
            </w:pPr>
          </w:p>
        </w:tc>
      </w:tr>
      <w:tr>
        <w:trPr>
          <w:trHeight w:val="324"/>
        </w:trPr>
        <w:tc>
          <w:tcPr>
            <w:tcW w:w="1340" w:type="dxa"/>
            <w:vAlign w:val="bottom"/>
          </w:tcPr>
          <w:p>
            <w:pPr>
              <w:spacing w:after="0"/>
              <w:rPr>
                <w:sz w:val="24"/>
                <w:szCs w:val="24"/>
                <w:color w:val="auto"/>
              </w:rPr>
            </w:pPr>
          </w:p>
        </w:tc>
        <w:tc>
          <w:tcPr>
            <w:tcW w:w="934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w w:val="98"/>
              </w:rPr>
              <w:t>AMENDMENT, SUPPLEMENT AND WAIVER</w:t>
            </w:r>
          </w:p>
        </w:tc>
        <w:tc>
          <w:tcPr>
            <w:tcW w:w="280" w:type="dxa"/>
            <w:vAlign w:val="bottom"/>
          </w:tcPr>
          <w:p>
            <w:pPr>
              <w:spacing w:after="0"/>
              <w:rPr>
                <w:sz w:val="24"/>
                <w:szCs w:val="24"/>
                <w:color w:val="auto"/>
              </w:rPr>
            </w:pPr>
          </w:p>
        </w:tc>
      </w:tr>
      <w:tr>
        <w:trPr>
          <w:trHeight w:val="30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Without Consent of Noteholders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8.02.</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 Consent of Noteholders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8.03.</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Compliance with Trust Indenture Act</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8.04.</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Revocation and Effect of Consents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8.05.</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Notation on or Exchange of Notes</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8.06.</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Trustee To Sign Amendments, etc.</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r>
      <w:tr>
        <w:trPr>
          <w:trHeight w:val="324"/>
        </w:trPr>
        <w:tc>
          <w:tcPr>
            <w:tcW w:w="1340" w:type="dxa"/>
            <w:vAlign w:val="bottom"/>
          </w:tcPr>
          <w:p>
            <w:pPr>
              <w:spacing w:after="0"/>
              <w:rPr>
                <w:sz w:val="24"/>
                <w:szCs w:val="24"/>
                <w:color w:val="auto"/>
              </w:rPr>
            </w:pPr>
          </w:p>
        </w:tc>
        <w:tc>
          <w:tcPr>
            <w:tcW w:w="934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w w:val="98"/>
              </w:rPr>
              <w:t>ARTICLE NINE</w:t>
            </w:r>
          </w:p>
        </w:tc>
        <w:tc>
          <w:tcPr>
            <w:tcW w:w="280" w:type="dxa"/>
            <w:vAlign w:val="bottom"/>
          </w:tcPr>
          <w:p>
            <w:pPr>
              <w:spacing w:after="0"/>
              <w:rPr>
                <w:sz w:val="24"/>
                <w:szCs w:val="24"/>
                <w:color w:val="auto"/>
              </w:rPr>
            </w:pPr>
          </w:p>
        </w:tc>
      </w:tr>
      <w:tr>
        <w:trPr>
          <w:trHeight w:val="324"/>
        </w:trPr>
        <w:tc>
          <w:tcPr>
            <w:tcW w:w="1340" w:type="dxa"/>
            <w:vAlign w:val="bottom"/>
          </w:tcPr>
          <w:p>
            <w:pPr>
              <w:spacing w:after="0"/>
              <w:rPr>
                <w:sz w:val="24"/>
                <w:szCs w:val="24"/>
                <w:color w:val="auto"/>
              </w:rPr>
            </w:pPr>
          </w:p>
        </w:tc>
        <w:tc>
          <w:tcPr>
            <w:tcW w:w="934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9"/>
              </w:rPr>
              <w:t>DISCHARGE OF INDENTURE; DEFEASANCE</w:t>
            </w:r>
          </w:p>
        </w:tc>
        <w:tc>
          <w:tcPr>
            <w:tcW w:w="280" w:type="dxa"/>
            <w:vAlign w:val="bottom"/>
          </w:tcPr>
          <w:p>
            <w:pPr>
              <w:spacing w:after="0"/>
              <w:rPr>
                <w:sz w:val="24"/>
                <w:szCs w:val="24"/>
                <w:color w:val="auto"/>
              </w:rPr>
            </w:pPr>
          </w:p>
        </w:tc>
      </w:tr>
      <w:tr>
        <w:trPr>
          <w:trHeight w:val="30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Discharge of Indenture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9.02.</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Legal Defeasance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16"/>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9.03.</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Covenant Defeasance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r>
        <w:trPr>
          <w:trHeight w:val="234"/>
        </w:trPr>
        <w:tc>
          <w:tcPr>
            <w:tcW w:w="1340" w:type="dxa"/>
            <w:vAlign w:val="bottom"/>
          </w:tcPr>
          <w:p>
            <w:pPr>
              <w:spacing w:after="0"/>
              <w:rPr>
                <w:sz w:val="20"/>
                <w:szCs w:val="20"/>
                <w:color w:val="auto"/>
              </w:rPr>
            </w:pPr>
            <w:r>
              <w:rPr>
                <w:rFonts w:ascii="Times New Roman" w:cs="Times New Roman" w:eastAsia="Times New Roman" w:hAnsi="Times New Roman"/>
                <w:sz w:val="18"/>
                <w:szCs w:val="18"/>
                <w:color w:val="auto"/>
              </w:rPr>
              <w:t>SECTION 9.04.</w:t>
            </w:r>
          </w:p>
        </w:tc>
        <w:tc>
          <w:tcPr>
            <w:tcW w:w="9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Conditions to Defeasance or Covenant Defeasance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60"/>
          </w:cols>
          <w:pgMar w:left="440" w:top="265" w:right="49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1"/>
        </w:trPr>
        <w:tc>
          <w:tcPr>
            <w:tcW w:w="1380" w:type="dxa"/>
            <w:vAlign w:val="bottom"/>
          </w:tcPr>
          <w:p>
            <w:pPr>
              <w:spacing w:after="0"/>
              <w:rPr>
                <w:sz w:val="14"/>
                <w:szCs w:val="14"/>
                <w:color w:val="auto"/>
              </w:rPr>
            </w:pPr>
          </w:p>
        </w:tc>
        <w:tc>
          <w:tcPr>
            <w:tcW w:w="926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28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SECTION 9.05.</w:t>
            </w:r>
          </w:p>
        </w:tc>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Deposited Money and U.S. Government Obligations To Be Held in Trust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SECTION 9.06.</w:t>
            </w:r>
          </w:p>
        </w:tc>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Reinstatement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SECTION 9.07.</w:t>
            </w:r>
          </w:p>
        </w:tc>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Moneys Held by Paying Agent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3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SECTION 9.08.</w:t>
            </w:r>
          </w:p>
        </w:tc>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Moneys Held by Trustee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324"/>
        </w:trPr>
        <w:tc>
          <w:tcPr>
            <w:tcW w:w="1380" w:type="dxa"/>
            <w:vAlign w:val="bottom"/>
          </w:tcPr>
          <w:p>
            <w:pPr>
              <w:spacing w:after="0"/>
              <w:rPr>
                <w:sz w:val="24"/>
                <w:szCs w:val="24"/>
                <w:color w:val="auto"/>
              </w:rPr>
            </w:pPr>
          </w:p>
        </w:tc>
        <w:tc>
          <w:tcPr>
            <w:tcW w:w="926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w w:val="98"/>
              </w:rPr>
              <w:t>ARTICLE TEN</w:t>
            </w:r>
          </w:p>
        </w:tc>
        <w:tc>
          <w:tcPr>
            <w:tcW w:w="320" w:type="dxa"/>
            <w:vAlign w:val="bottom"/>
          </w:tcPr>
          <w:p>
            <w:pPr>
              <w:spacing w:after="0"/>
              <w:rPr>
                <w:sz w:val="24"/>
                <w:szCs w:val="24"/>
                <w:color w:val="auto"/>
              </w:rPr>
            </w:pPr>
          </w:p>
        </w:tc>
      </w:tr>
      <w:tr>
        <w:trPr>
          <w:trHeight w:val="324"/>
        </w:trPr>
        <w:tc>
          <w:tcPr>
            <w:tcW w:w="1380" w:type="dxa"/>
            <w:vAlign w:val="bottom"/>
          </w:tcPr>
          <w:p>
            <w:pPr>
              <w:spacing w:after="0"/>
              <w:rPr>
                <w:sz w:val="24"/>
                <w:szCs w:val="24"/>
                <w:color w:val="auto"/>
              </w:rPr>
            </w:pPr>
          </w:p>
        </w:tc>
        <w:tc>
          <w:tcPr>
            <w:tcW w:w="92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9"/>
              </w:rPr>
              <w:t>GUARANTEE OF SECURITIES</w:t>
            </w:r>
          </w:p>
        </w:tc>
        <w:tc>
          <w:tcPr>
            <w:tcW w:w="320" w:type="dxa"/>
            <w:vAlign w:val="bottom"/>
          </w:tcPr>
          <w:p>
            <w:pPr>
              <w:spacing w:after="0"/>
              <w:rPr>
                <w:sz w:val="24"/>
                <w:szCs w:val="24"/>
                <w:color w:val="auto"/>
              </w:rPr>
            </w:pPr>
          </w:p>
        </w:tc>
      </w:tr>
      <w:tr>
        <w:trPr>
          <w:trHeight w:val="30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SECTION 10.01.</w:t>
            </w:r>
          </w:p>
        </w:tc>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Guarantee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SECTION 10.02.</w:t>
            </w:r>
          </w:p>
        </w:tc>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Execution and Delivery of Note Guarantee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SECTION 10.03.</w:t>
            </w:r>
          </w:p>
        </w:tc>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Release of Guarantors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SECTION 10.04.</w:t>
            </w:r>
          </w:p>
        </w:tc>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Waiver of Subrogation</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SECTION 10.05.</w:t>
            </w:r>
          </w:p>
        </w:tc>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 to Trustee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3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SECTION 10.06.</w:t>
            </w:r>
          </w:p>
        </w:tc>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Limitation on Guarantor’s Liability</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324"/>
        </w:trPr>
        <w:tc>
          <w:tcPr>
            <w:tcW w:w="1380" w:type="dxa"/>
            <w:vAlign w:val="bottom"/>
          </w:tcPr>
          <w:p>
            <w:pPr>
              <w:spacing w:after="0"/>
              <w:rPr>
                <w:sz w:val="24"/>
                <w:szCs w:val="24"/>
                <w:color w:val="auto"/>
              </w:rPr>
            </w:pPr>
          </w:p>
        </w:tc>
        <w:tc>
          <w:tcPr>
            <w:tcW w:w="9260" w:type="dxa"/>
            <w:vAlign w:val="bottom"/>
          </w:tcPr>
          <w:p>
            <w:pPr>
              <w:jc w:val="center"/>
              <w:ind w:right="970"/>
              <w:spacing w:after="0"/>
              <w:rPr>
                <w:sz w:val="20"/>
                <w:szCs w:val="20"/>
                <w:color w:val="auto"/>
              </w:rPr>
            </w:pPr>
            <w:r>
              <w:rPr>
                <w:rFonts w:ascii="Times New Roman" w:cs="Times New Roman" w:eastAsia="Times New Roman" w:hAnsi="Times New Roman"/>
                <w:sz w:val="18"/>
                <w:szCs w:val="18"/>
                <w:color w:val="auto"/>
                <w:w w:val="98"/>
              </w:rPr>
              <w:t>ARTICLE ELEVEN</w:t>
            </w:r>
          </w:p>
        </w:tc>
        <w:tc>
          <w:tcPr>
            <w:tcW w:w="320" w:type="dxa"/>
            <w:vAlign w:val="bottom"/>
          </w:tcPr>
          <w:p>
            <w:pPr>
              <w:spacing w:after="0"/>
              <w:rPr>
                <w:sz w:val="24"/>
                <w:szCs w:val="24"/>
                <w:color w:val="auto"/>
              </w:rPr>
            </w:pPr>
          </w:p>
        </w:tc>
      </w:tr>
      <w:tr>
        <w:trPr>
          <w:trHeight w:val="324"/>
        </w:trPr>
        <w:tc>
          <w:tcPr>
            <w:tcW w:w="1380" w:type="dxa"/>
            <w:vAlign w:val="bottom"/>
          </w:tcPr>
          <w:p>
            <w:pPr>
              <w:spacing w:after="0"/>
              <w:rPr>
                <w:sz w:val="24"/>
                <w:szCs w:val="24"/>
                <w:color w:val="auto"/>
              </w:rPr>
            </w:pPr>
          </w:p>
        </w:tc>
        <w:tc>
          <w:tcPr>
            <w:tcW w:w="9260" w:type="dxa"/>
            <w:vAlign w:val="bottom"/>
          </w:tcPr>
          <w:p>
            <w:pPr>
              <w:jc w:val="center"/>
              <w:ind w:right="990"/>
              <w:spacing w:after="0"/>
              <w:rPr>
                <w:sz w:val="20"/>
                <w:szCs w:val="20"/>
                <w:color w:val="auto"/>
              </w:rPr>
            </w:pPr>
            <w:r>
              <w:rPr>
                <w:rFonts w:ascii="Times New Roman" w:cs="Times New Roman" w:eastAsia="Times New Roman" w:hAnsi="Times New Roman"/>
                <w:sz w:val="18"/>
                <w:szCs w:val="18"/>
                <w:color w:val="auto"/>
                <w:w w:val="99"/>
              </w:rPr>
              <w:t>MISCELLANEOUS</w:t>
            </w:r>
          </w:p>
        </w:tc>
        <w:tc>
          <w:tcPr>
            <w:tcW w:w="320" w:type="dxa"/>
            <w:vAlign w:val="bottom"/>
          </w:tcPr>
          <w:p>
            <w:pPr>
              <w:spacing w:after="0"/>
              <w:rPr>
                <w:sz w:val="24"/>
                <w:szCs w:val="24"/>
                <w:color w:val="auto"/>
              </w:rPr>
            </w:pPr>
          </w:p>
        </w:tc>
      </w:tr>
      <w:tr>
        <w:trPr>
          <w:trHeight w:val="30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SECTION 11.01.</w:t>
            </w:r>
          </w:p>
        </w:tc>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Trust Indenture Act Controls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SECTION 11.02.</w:t>
            </w:r>
          </w:p>
        </w:tc>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SECTION 11.03.</w:t>
            </w:r>
          </w:p>
        </w:tc>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Communications by Holders with Other Holders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SECTION 11.04.</w:t>
            </w:r>
          </w:p>
        </w:tc>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 and Opinion as to Conditions Precedent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SECTION 11.05.</w:t>
            </w:r>
          </w:p>
        </w:tc>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Statements Required in Certificate and Opinion</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SECTION 11.06.</w:t>
            </w:r>
          </w:p>
        </w:tc>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Rules by Trustee and Agents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SECTION 11.07.</w:t>
            </w:r>
          </w:p>
        </w:tc>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Business Days; Legal Holidays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SECTION 11.08.</w:t>
            </w:r>
          </w:p>
        </w:tc>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Governing Law</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SECTION 11.09.</w:t>
            </w:r>
          </w:p>
        </w:tc>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 Adverse Interpretation of Other Agreements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SECTION 11.10.</w:t>
            </w:r>
          </w:p>
        </w:tc>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Successors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SECTION 11.11.</w:t>
            </w:r>
          </w:p>
        </w:tc>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Multiple Counterparts</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SECTION 11.12.</w:t>
            </w:r>
          </w:p>
        </w:tc>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Table of Contents, Headings, etc.</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SECTION 11.13.</w:t>
            </w:r>
          </w:p>
        </w:tc>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Separability</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SECTION 11.14.</w:t>
            </w:r>
          </w:p>
        </w:tc>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Waiver of Jury Trial</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SECTION 11.15.</w:t>
            </w:r>
          </w:p>
        </w:tc>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Force Majeure</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16"/>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SECTION 11.16.</w:t>
            </w:r>
          </w:p>
        </w:tc>
        <w:tc>
          <w:tcPr>
            <w:tcW w:w="92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Submission to Jurisdiction</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4"/>
        </w:trPr>
        <w:tc>
          <w:tcPr>
            <w:tcW w:w="1380" w:type="dxa"/>
            <w:vAlign w:val="bottom"/>
          </w:tcPr>
          <w:p>
            <w:pPr>
              <w:spacing w:after="0"/>
              <w:rPr>
                <w:sz w:val="20"/>
                <w:szCs w:val="20"/>
                <w:color w:val="auto"/>
              </w:rPr>
            </w:pPr>
            <w:r>
              <w:rPr>
                <w:rFonts w:ascii="Times New Roman" w:cs="Times New Roman" w:eastAsia="Times New Roman" w:hAnsi="Times New Roman"/>
                <w:sz w:val="18"/>
                <w:szCs w:val="18"/>
                <w:color w:val="auto"/>
              </w:rPr>
              <w:t>SIGNATURES</w:t>
            </w:r>
          </w:p>
        </w:tc>
        <w:tc>
          <w:tcPr>
            <w:tcW w:w="92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S-1</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60"/>
          </w:cols>
          <w:pgMar w:left="440" w:top="265" w:right="49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71"/>
        </w:trPr>
        <w:tc>
          <w:tcPr>
            <w:tcW w:w="1200" w:type="dxa"/>
            <w:vAlign w:val="bottom"/>
          </w:tcPr>
          <w:p>
            <w:pPr>
              <w:spacing w:after="0"/>
              <w:rPr>
                <w:sz w:val="14"/>
                <w:szCs w:val="14"/>
                <w:color w:val="auto"/>
              </w:rPr>
            </w:pPr>
          </w:p>
        </w:tc>
        <w:tc>
          <w:tcPr>
            <w:tcW w:w="9280" w:type="dxa"/>
            <w:vAlign w:val="bottom"/>
          </w:tcPr>
          <w:p>
            <w:pPr>
              <w:spacing w:after="0"/>
              <w:rPr>
                <w:sz w:val="14"/>
                <w:szCs w:val="14"/>
                <w:color w:val="auto"/>
              </w:rPr>
            </w:pPr>
          </w:p>
        </w:tc>
        <w:tc>
          <w:tcPr>
            <w:tcW w:w="48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color w:val="auto"/>
              </w:rPr>
              <w:t>Page</w:t>
            </w:r>
          </w:p>
        </w:tc>
      </w:tr>
      <w:tr>
        <w:trPr>
          <w:trHeight w:val="304"/>
        </w:trPr>
        <w:tc>
          <w:tcPr>
            <w:tcW w:w="1200" w:type="dxa"/>
            <w:vAlign w:val="bottom"/>
          </w:tcPr>
          <w:p>
            <w:pPr>
              <w:spacing w:after="0"/>
              <w:rPr>
                <w:sz w:val="24"/>
                <w:szCs w:val="24"/>
                <w:color w:val="auto"/>
              </w:rPr>
            </w:pPr>
          </w:p>
        </w:tc>
        <w:tc>
          <w:tcPr>
            <w:tcW w:w="9280" w:type="dxa"/>
            <w:vAlign w:val="bottom"/>
          </w:tcPr>
          <w:p>
            <w:pPr>
              <w:ind w:left="3860"/>
              <w:spacing w:after="0"/>
              <w:rPr>
                <w:sz w:val="20"/>
                <w:szCs w:val="20"/>
                <w:color w:val="auto"/>
              </w:rPr>
            </w:pPr>
            <w:r>
              <w:rPr>
                <w:rFonts w:ascii="Times New Roman" w:cs="Times New Roman" w:eastAsia="Times New Roman" w:hAnsi="Times New Roman"/>
                <w:sz w:val="18"/>
                <w:szCs w:val="18"/>
                <w:color w:val="auto"/>
              </w:rPr>
              <w:t>EXHIBITS</w:t>
            </w:r>
          </w:p>
        </w:tc>
        <w:tc>
          <w:tcPr>
            <w:tcW w:w="480" w:type="dxa"/>
            <w:vAlign w:val="bottom"/>
          </w:tcPr>
          <w:p>
            <w:pPr>
              <w:spacing w:after="0"/>
              <w:rPr>
                <w:sz w:val="24"/>
                <w:szCs w:val="24"/>
                <w:color w:val="auto"/>
              </w:rPr>
            </w:pPr>
          </w:p>
        </w:tc>
      </w:tr>
      <w:tr>
        <w:trPr>
          <w:trHeight w:val="30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Exhibit A-1.</w:t>
            </w:r>
          </w:p>
        </w:tc>
        <w:tc>
          <w:tcPr>
            <w:tcW w:w="9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 of Restricted Note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A-1-1</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Exhibit A-2.</w:t>
            </w:r>
          </w:p>
        </w:tc>
        <w:tc>
          <w:tcPr>
            <w:tcW w:w="9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 of Unrestricted Note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A-2-1</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Exhibit B.</w:t>
            </w:r>
          </w:p>
        </w:tc>
        <w:tc>
          <w:tcPr>
            <w:tcW w:w="9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 of Private Placement Legend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B-1</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Exhibit C.</w:t>
            </w:r>
          </w:p>
        </w:tc>
        <w:tc>
          <w:tcPr>
            <w:tcW w:w="9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 of Legend for Global Note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C-1</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Exhibit D.</w:t>
            </w:r>
          </w:p>
        </w:tc>
        <w:tc>
          <w:tcPr>
            <w:tcW w:w="9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 of OID Legend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D-1</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Exhibit E.</w:t>
            </w:r>
          </w:p>
        </w:tc>
        <w:tc>
          <w:tcPr>
            <w:tcW w:w="9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 of Temporary Regulation S Legend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E-1</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Exhibit F.</w:t>
            </w:r>
          </w:p>
        </w:tc>
        <w:tc>
          <w:tcPr>
            <w:tcW w:w="9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 of Certificate of Transfer</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F-1</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Exhibit G.</w:t>
            </w:r>
          </w:p>
        </w:tc>
        <w:tc>
          <w:tcPr>
            <w:tcW w:w="9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 of Certificate of Exchange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G-1</w:t>
            </w:r>
          </w:p>
        </w:tc>
      </w:tr>
      <w:tr>
        <w:trPr>
          <w:trHeight w:val="216"/>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Exhibit H.</w:t>
            </w:r>
          </w:p>
        </w:tc>
        <w:tc>
          <w:tcPr>
            <w:tcW w:w="9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 of Certificate from Acquiring Institutional Accredited Investor</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H-1</w:t>
            </w:r>
          </w:p>
        </w:tc>
      </w:tr>
      <w:tr>
        <w:trPr>
          <w:trHeight w:val="234"/>
        </w:trPr>
        <w:tc>
          <w:tcPr>
            <w:tcW w:w="1200" w:type="dxa"/>
            <w:vAlign w:val="bottom"/>
          </w:tcPr>
          <w:p>
            <w:pPr>
              <w:spacing w:after="0"/>
              <w:rPr>
                <w:sz w:val="20"/>
                <w:szCs w:val="20"/>
                <w:color w:val="auto"/>
              </w:rPr>
            </w:pPr>
            <w:r>
              <w:rPr>
                <w:rFonts w:ascii="Times New Roman" w:cs="Times New Roman" w:eastAsia="Times New Roman" w:hAnsi="Times New Roman"/>
                <w:sz w:val="18"/>
                <w:szCs w:val="18"/>
                <w:color w:val="auto"/>
              </w:rPr>
              <w:t>Exhibit I.</w:t>
            </w:r>
          </w:p>
        </w:tc>
        <w:tc>
          <w:tcPr>
            <w:tcW w:w="92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Form of Note Guarantee</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I-1</w:t>
            </w:r>
          </w:p>
        </w:tc>
      </w:tr>
    </w:tbl>
    <w:p>
      <w:pPr>
        <w:spacing w:after="0" w:line="13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ind w:right="-39"/>
        <w:spacing w:after="0"/>
        <w:rPr>
          <w:sz w:val="20"/>
          <w:szCs w:val="20"/>
          <w:color w:val="auto"/>
        </w:rPr>
      </w:pPr>
      <w:r>
        <w:rPr>
          <w:rFonts w:ascii="Times New Roman" w:cs="Times New Roman" w:eastAsia="Times New Roman" w:hAnsi="Times New Roman"/>
          <w:sz w:val="18"/>
          <w:szCs w:val="18"/>
          <w:color w:val="auto"/>
        </w:rPr>
        <w:t>-v-</w:t>
      </w:r>
    </w:p>
    <w:p>
      <w:pPr>
        <w:sectPr>
          <w:pgSz w:w="11900" w:h="16838" w:orient="portrait"/>
          <w:cols w:equalWidth="0" w:num="1">
            <w:col w:w="10960"/>
          </w:cols>
          <w:pgMar w:left="440" w:top="265" w:right="499" w:bottom="1440" w:gutter="0" w:footer="0" w:header="0"/>
        </w:sectPr>
      </w:pPr>
    </w:p>
    <w:bookmarkStart w:id="11" w:name="page12"/>
    <w:bookmarkEnd w:id="11"/>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INDENTURE, dated as of May 27, 2025 among Crown Americas LLC, a Pennsylvania limited liability company, the Guarantors (as defined) and U.S. Bank Trust Company, National Association, as trustee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Each party agrees as follows for the benefit of the other parties and for the equal and ratable benefit of the Holders of the Notes.</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ONE</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DEFINITIONS AND INCORPORATION BY REFERENCE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Interest</w:t>
      </w:r>
      <w:r>
        <w:rPr>
          <w:rFonts w:ascii="Times New Roman" w:cs="Times New Roman" w:eastAsia="Times New Roman" w:hAnsi="Times New Roman"/>
          <w:sz w:val="18"/>
          <w:szCs w:val="18"/>
          <w:color w:val="auto"/>
        </w:rPr>
        <w:t>” has the meaning set forth for such term in the Registration Rights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Notes</w:t>
      </w:r>
      <w:r>
        <w:rPr>
          <w:rFonts w:ascii="Times New Roman" w:cs="Times New Roman" w:eastAsia="Times New Roman" w:hAnsi="Times New Roman"/>
          <w:sz w:val="18"/>
          <w:szCs w:val="18"/>
          <w:color w:val="auto"/>
        </w:rPr>
        <w:t>” has the meaning set forth in Section 2.01.</w:t>
      </w:r>
    </w:p>
    <w:p>
      <w:pPr>
        <w:spacing w:after="0" w:line="225"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any specified Person means any other Person directly or indirectly controlling or controlled by or under direct or indirect common control with such specified Person. For purposes of this definition, “control” (including, with correlative meanings, the terms “controlling,” “controlled by” and “under common control with”), as used with respect to any Person, shall mean the possession, directly or indirectly, of the power to direct or cause the direction of the management or policies of such Person, whether through the ownership of voting securities, by agreement or otherwise.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w:t>
      </w:r>
      <w:r>
        <w:rPr>
          <w:rFonts w:ascii="Times New Roman" w:cs="Times New Roman" w:eastAsia="Times New Roman" w:hAnsi="Times New Roman"/>
          <w:sz w:val="18"/>
          <w:szCs w:val="18"/>
          <w:color w:val="auto"/>
        </w:rPr>
        <w:t>” means any Registrar, Paying Agent, or agent for service or notices and demands.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Agent Members</w:t>
      </w:r>
      <w:r>
        <w:rPr>
          <w:rFonts w:ascii="Times New Roman" w:cs="Times New Roman" w:eastAsia="Times New Roman" w:hAnsi="Times New Roman"/>
          <w:sz w:val="18"/>
          <w:szCs w:val="18"/>
          <w:color w:val="auto"/>
        </w:rPr>
        <w:t>” has the meaning set forth in Section 2.16.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amend</w:t>
      </w:r>
      <w:r>
        <w:rPr>
          <w:rFonts w:ascii="Times New Roman" w:cs="Times New Roman" w:eastAsia="Times New Roman" w:hAnsi="Times New Roman"/>
          <w:sz w:val="18"/>
          <w:szCs w:val="18"/>
          <w:color w:val="auto"/>
        </w:rPr>
        <w:t>” means to amend, supplement, restate, amend and restate or otherwise modify; and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shall have a correlative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meaning.</w:t>
      </w:r>
    </w:p>
    <w:p>
      <w:pPr>
        <w:spacing w:after="0" w:line="207"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Treasury Rate</w:t>
      </w:r>
      <w:r>
        <w:rPr>
          <w:rFonts w:ascii="Times New Roman" w:cs="Times New Roman" w:eastAsia="Times New Roman" w:hAnsi="Times New Roman"/>
          <w:sz w:val="18"/>
          <w:szCs w:val="18"/>
          <w:color w:val="auto"/>
        </w:rPr>
        <w:t xml:space="preserve">” for any Make-Whole Redemption Date means the weekly average rounded to the nearest 1/100th of a percentage point (for the most recently completed week for which such information is available as of the date that is two business days prior to the Make-Whole Redemption Date) of the yield to maturity at the time of computation of United States Treasury securities with a constant maturity (as compiled and published in Federal Reserve Statistical Release H.15 with respect to each applicable day during such week (or, if such Statistical Release is no longer published, any publicly available source of similar market data)) most nearly equal to the period from the Make-Whole Redemption Date to June 1, 2028;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period from the Make-Whole</w:t>
      </w:r>
    </w:p>
    <w:p>
      <w:pPr>
        <w:sectPr>
          <w:pgSz w:w="11900" w:h="16838" w:orient="portrait"/>
          <w:cols w:equalWidth="0" w:num="1">
            <w:col w:w="10960"/>
          </w:cols>
          <w:pgMar w:left="440" w:top="270" w:right="499" w:bottom="1440" w:gutter="0" w:footer="0" w:header="0"/>
        </w:sectPr>
      </w:pPr>
    </w:p>
    <w:bookmarkStart w:id="12" w:name="page13"/>
    <w:bookmarkEnd w:id="12"/>
    <w:p>
      <w:pPr>
        <w:spacing w:after="0" w:line="28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Redemption Date to June 1, 2028 is not equal to the constant maturity of a United States Treasury security for which a weekly average yield is given, the Applicable Treasury Rate shall be obtained by linear interpolation (calculated to the nearest one- twelfth of a year) from the weekly average yields of United States Treasury securities for which such yields are given except that if the period from the Make-Whole Redemption Date to June 1, 2028 is less than one year, the weekly average yield on actively traded United States Treasury securities adjusted to a constant maturity of one year shall be used.</w:t>
      </w:r>
    </w:p>
    <w:p>
      <w:pPr>
        <w:spacing w:after="0" w:line="1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asset</w:t>
      </w:r>
      <w:r>
        <w:rPr>
          <w:rFonts w:ascii="Times New Roman" w:cs="Times New Roman" w:eastAsia="Times New Roman" w:hAnsi="Times New Roman"/>
          <w:sz w:val="18"/>
          <w:szCs w:val="18"/>
          <w:color w:val="auto"/>
        </w:rPr>
        <w:t>” means any asset or property, whether real, personal or mixed, tangible or intangible.</w:t>
      </w:r>
    </w:p>
    <w:p>
      <w:pPr>
        <w:spacing w:after="0" w:line="225" w:lineRule="exact"/>
        <w:rPr>
          <w:sz w:val="20"/>
          <w:szCs w:val="20"/>
          <w:color w:val="auto"/>
        </w:rPr>
      </w:pPr>
    </w:p>
    <w:p>
      <w:pPr>
        <w:ind w:right="100" w:firstLine="991"/>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Attributable Debt</w:t>
      </w:r>
      <w:r>
        <w:rPr>
          <w:rFonts w:ascii="Times New Roman" w:cs="Times New Roman" w:eastAsia="Times New Roman" w:hAnsi="Times New Roman"/>
          <w:sz w:val="18"/>
          <w:szCs w:val="18"/>
          <w:color w:val="auto"/>
        </w:rPr>
        <w:t>” means, with respect to any Sale and Leaseback Transaction, at the time of determination, the lesser of (1) the sale price of the property so leased multiplied by a fraction the numerator of which is the remaining portion of the base term of the lease included in such transaction and the denominator of which is the base term of such lease, and (2) the total obligation (discounted to the present value at the implicit interest factor, determined in accordance with GAAP, included in the rental payments) of the lessee for rental payments (other than amounts required to be paid on account of property taxes as well as maintenance, repairs, insurance, water rates and other items which do not constitute payments for property rights) during the remaining portion of the base term of the lease included in such transaction. Notwithstanding the foregoing, if such Sale and Leaseback Transaction results in a Capital Lease Obligation, the amount of Indebtedness represented thereby will be determined in accordance with the definition of “Capital Lease Obligation.”</w:t>
      </w:r>
    </w:p>
    <w:p>
      <w:pPr>
        <w:spacing w:after="0" w:line="192"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Authorized Person</w:t>
      </w:r>
      <w:r>
        <w:rPr>
          <w:rFonts w:ascii="Times New Roman" w:cs="Times New Roman" w:eastAsia="Times New Roman" w:hAnsi="Times New Roman"/>
          <w:sz w:val="18"/>
          <w:szCs w:val="18"/>
          <w:color w:val="auto"/>
        </w:rPr>
        <w:t>” means any person who is designated in writing by the Issuer from time to time to give Instructions to the Trustee or Agent under the terms of this Indenture.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Bankruptcy Law</w:t>
      </w:r>
      <w:r>
        <w:rPr>
          <w:rFonts w:ascii="Times New Roman" w:cs="Times New Roman" w:eastAsia="Times New Roman" w:hAnsi="Times New Roman"/>
          <w:sz w:val="18"/>
          <w:szCs w:val="18"/>
          <w:color w:val="auto"/>
        </w:rPr>
        <w:t>” means Title 11 of the United States Code, as amended, or any similar federal, state, local or foreign law for the relief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debtors.</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 of Directors</w:t>
      </w:r>
      <w:r>
        <w:rPr>
          <w:rFonts w:ascii="Times New Roman" w:cs="Times New Roman" w:eastAsia="Times New Roman" w:hAnsi="Times New Roman"/>
          <w:sz w:val="18"/>
          <w:szCs w:val="18"/>
          <w:color w:val="auto"/>
        </w:rPr>
        <w:t>” means, with respect to any Person, the board of directors or comparable governing body of such Person.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has the meaning set forth in Section 11.07.</w:t>
      </w:r>
    </w:p>
    <w:p>
      <w:pPr>
        <w:spacing w:after="0" w:line="225"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Lease Obligation</w:t>
      </w:r>
      <w:r>
        <w:rPr>
          <w:rFonts w:ascii="Times New Roman" w:cs="Times New Roman" w:eastAsia="Times New Roman" w:hAnsi="Times New Roman"/>
          <w:sz w:val="18"/>
          <w:szCs w:val="18"/>
          <w:color w:val="auto"/>
        </w:rPr>
        <w:t>” means, at the time any determination thereof is to be made, the amount of the liability in respect of a capital lease that would at such time be so required to be capitalized on the balance sheet in accordance with GAAP.</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Capital Stock</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(1) in the case of a corporation, corporate stock;</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3" w:name="page14"/>
    <w:bookmarkEnd w:id="13"/>
    <w:p>
      <w:pPr>
        <w:ind w:right="740" w:firstLine="419"/>
        <w:spacing w:after="0" w:line="282" w:lineRule="auto"/>
        <w:tabs>
          <w:tab w:leader="none" w:pos="67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an association or business entity, any and all shares, interests, participations, rights or other equivalents (however designated) of corporate stock; and</w:t>
      </w:r>
    </w:p>
    <w:p>
      <w:pPr>
        <w:spacing w:after="0" w:line="53"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partnership or limited liability company, partnership or membership interests (whether general or limited).</w:t>
      </w:r>
    </w:p>
    <w:p>
      <w:pPr>
        <w:spacing w:after="0" w:line="22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means the occurrence of any of the following:</w:t>
      </w:r>
    </w:p>
    <w:p>
      <w:pPr>
        <w:spacing w:after="0" w:line="117" w:lineRule="exact"/>
        <w:rPr>
          <w:sz w:val="20"/>
          <w:szCs w:val="20"/>
          <w:color w:val="auto"/>
        </w:rPr>
      </w:pPr>
    </w:p>
    <w:p>
      <w:pPr>
        <w:ind w:right="80" w:firstLine="419"/>
        <w:spacing w:after="0" w:line="266" w:lineRule="auto"/>
        <w:tabs>
          <w:tab w:leader="none" w:pos="6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(other than by way of merger or consolidation) of all or substantially all of the assets of Parent and its Subsidiaries taken as a whole to any “person” (as defined in Section 13(d) of the Exchange Act) or “group” (as defined in Sections 13(d)(3) and 14(d)(2) of the Exchange Act) other than any Transfer to Parent or one or more Subsidiaries of Parent or any Transfer to one or more Permitted Holders;</w:t>
      </w:r>
    </w:p>
    <w:p>
      <w:pPr>
        <w:spacing w:after="0" w:line="67"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a plan for the liquidation or dissolution of Parent or the Issuer (other than in a transaction that complies with Article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Five);</w:t>
      </w:r>
    </w:p>
    <w:p>
      <w:pPr>
        <w:spacing w:after="0" w:line="98" w:lineRule="exact"/>
        <w:rPr>
          <w:rFonts w:ascii="Times New Roman" w:cs="Times New Roman" w:eastAsia="Times New Roman" w:hAnsi="Times New Roman"/>
          <w:sz w:val="18"/>
          <w:szCs w:val="18"/>
          <w:color w:val="auto"/>
        </w:rPr>
      </w:pPr>
    </w:p>
    <w:p>
      <w:pPr>
        <w:ind w:firstLine="419"/>
        <w:spacing w:after="0" w:line="270" w:lineRule="auto"/>
        <w:tabs>
          <w:tab w:leader="none" w:pos="678"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consummation of any transaction or series of related transactions (including, without limitation, by way of merger or consolidation), the result of which is that any “person” (as defined above) or “group” (as defined above), other than one or more Permitted Holders, becomes, directly or indirectly, the “beneficial owner” (as defined in Rules 13d-3 and 13d-5 under the Exchange Act) of more than 50% of the voting power of the Voting Stock of Parent;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a transaction in which Parent becomes a Wholly Owned Subsidiary of another Person (other than a Person that is an individual) (the “</w:t>
      </w:r>
      <w:r>
        <w:rPr>
          <w:rFonts w:ascii="Times New Roman" w:cs="Times New Roman" w:eastAsia="Times New Roman" w:hAnsi="Times New Roman"/>
          <w:sz w:val="17"/>
          <w:szCs w:val="17"/>
          <w:u w:val="single" w:color="auto"/>
          <w:color w:val="auto"/>
        </w:rPr>
        <w:t>New Parent</w:t>
      </w:r>
      <w:r>
        <w:rPr>
          <w:rFonts w:ascii="Times New Roman" w:cs="Times New Roman" w:eastAsia="Times New Roman" w:hAnsi="Times New Roman"/>
          <w:sz w:val="17"/>
          <w:szCs w:val="17"/>
          <w:color w:val="auto"/>
        </w:rPr>
        <w:t>”) shall not constitute a Change of Control if (a) the shareholders of Parent immediately prior to such transaction “beneficially own” (as such term is defined in Rule 13d-3 under the Exchange Act), directly or indirectly through one or more intermediaries, at least a majority of the total voting power of the outstanding Voting Stock of such New Parent, immediately following the consummation of such transaction, and (b) immediately following the consummation of such transaction, no “person” (as defined above), other than a Permitted Holder or a holding company satisfying the requirements of this clause, “beneficially owns” (as defined above) directly or indirectly through one or more intermediaries, a majority of the total voting power of the outstanding Voting Stock of such New Parent;</w:t>
      </w:r>
    </w:p>
    <w:p>
      <w:pPr>
        <w:spacing w:after="0" w:line="68" w:lineRule="exact"/>
        <w:rPr>
          <w:rFonts w:ascii="Times New Roman" w:cs="Times New Roman" w:eastAsia="Times New Roman" w:hAnsi="Times New Roman"/>
          <w:sz w:val="17"/>
          <w:szCs w:val="17"/>
          <w:color w:val="auto"/>
        </w:rPr>
      </w:pPr>
    </w:p>
    <w:p>
      <w:pPr>
        <w:ind w:right="120" w:firstLine="419"/>
        <w:spacing w:after="0" w:line="282" w:lineRule="auto"/>
        <w:tabs>
          <w:tab w:leader="none" w:pos="67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any consecutive two-year period, the first day on which a majority of the members of the Board of Directors of Parent who were members of the Board of Directors of Parent at the beginning of such period are not Continuing Directors; or</w:t>
      </w:r>
    </w:p>
    <w:p>
      <w:pPr>
        <w:spacing w:after="0" w:line="94"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60"/>
          </w:cols>
          <w:pgMar w:left="880" w:top="270" w:right="459" w:bottom="1440" w:gutter="0" w:footer="0" w:header="0"/>
        </w:sectPr>
      </w:pPr>
    </w:p>
    <w:bookmarkStart w:id="14" w:name="page15"/>
    <w:bookmarkEnd w:id="14"/>
    <w:p>
      <w:pPr>
        <w:ind w:left="440" w:right="320" w:firstLine="419"/>
        <w:spacing w:after="0" w:line="282" w:lineRule="auto"/>
        <w:tabs>
          <w:tab w:leader="none" w:pos="111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first day on which Parent fails to own, either directly or indirectly through one or more Wholly Owned Subsidiaries, 100% of the issued and outstanding Equity Interests of Crown or Crown Americas.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Offer</w:t>
      </w:r>
      <w:r>
        <w:rPr>
          <w:rFonts w:ascii="Times New Roman" w:cs="Times New Roman" w:eastAsia="Times New Roman" w:hAnsi="Times New Roman"/>
          <w:sz w:val="18"/>
          <w:szCs w:val="18"/>
          <w:color w:val="auto"/>
        </w:rPr>
        <w:t>” has the meaning set forth in Section 4.08.</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Payment</w:t>
      </w:r>
      <w:r>
        <w:rPr>
          <w:rFonts w:ascii="Times New Roman" w:cs="Times New Roman" w:eastAsia="Times New Roman" w:hAnsi="Times New Roman"/>
          <w:sz w:val="18"/>
          <w:szCs w:val="18"/>
          <w:color w:val="auto"/>
        </w:rPr>
        <w:t>” has the meaning set forth in Section 4.08.</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Payment Date</w:t>
      </w:r>
      <w:r>
        <w:rPr>
          <w:rFonts w:ascii="Times New Roman" w:cs="Times New Roman" w:eastAsia="Times New Roman" w:hAnsi="Times New Roman"/>
          <w:sz w:val="18"/>
          <w:szCs w:val="18"/>
          <w:color w:val="auto"/>
        </w:rPr>
        <w:t>” has the meaning set forth in Section 4.08.</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of Control Repurchase Event</w:t>
      </w:r>
      <w:r>
        <w:rPr>
          <w:rFonts w:ascii="Times New Roman" w:cs="Times New Roman" w:eastAsia="Times New Roman" w:hAnsi="Times New Roman"/>
          <w:sz w:val="18"/>
          <w:szCs w:val="18"/>
          <w:color w:val="auto"/>
        </w:rPr>
        <w:t>” means the occurrence of both a Change of Control and a Ratings Event.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means the United States Securities and Exchange Commission.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EBITDA</w:t>
      </w:r>
      <w:r>
        <w:rPr>
          <w:rFonts w:ascii="Times New Roman" w:cs="Times New Roman" w:eastAsia="Times New Roman" w:hAnsi="Times New Roman"/>
          <w:sz w:val="18"/>
          <w:szCs w:val="18"/>
          <w:color w:val="auto"/>
        </w:rPr>
        <w:t>” means, with respect to any Person for any period, the Consolidated Net Income of such Person and 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Subsidiaries for such period,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to the extent deducted in computing Consolidated Net Income:</w:t>
      </w:r>
    </w:p>
    <w:p>
      <w:pPr>
        <w:spacing w:after="0" w:line="99" w:lineRule="exact"/>
        <w:rPr>
          <w:sz w:val="20"/>
          <w:szCs w:val="20"/>
          <w:color w:val="auto"/>
        </w:rPr>
      </w:pPr>
    </w:p>
    <w:p>
      <w:pPr>
        <w:ind w:left="1120" w:hanging="261"/>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 for taxes based on income or profits of such Person and its Subsidiaries for such period;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Consolidated Interest Expense of such Person for such period;</w:t>
      </w:r>
    </w:p>
    <w:p>
      <w:pPr>
        <w:spacing w:after="0" w:line="117"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(including amortization of goodwill and other intangibles) and all other non-cash charges (excluding any such non-cash charge to the extent that it represents an accrual of or reserve for cash charges in any future period or amortization of a prepaid cash expense that was paid in a prior period) of such Person and its Subsidiaries for such period; and</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non-recurring restructuring charges or expenses of such Person and its Subsidiaries for such period,</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each case, on a consolidated basis determined in accordance with GAAP. Notwithstanding the foregoing, the provision for taxes based on the income or profits of, and the depreciation and amortization and other non-cash charges and non-recurring restructuring charges or expenses of, a Subsidiary of a Person shall be added to Consolidated Net Income to compute Consolidated EBITDA only to the extent (and in the same proportion) that the net income or loss of such Subsidiary was included in calculating the Consolidated Net Income of such Person.</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80"/>
          </w:cols>
          <w:pgMar w:left="440" w:top="270" w:right="479" w:bottom="1440" w:gutter="0" w:footer="0" w:header="0"/>
        </w:sectPr>
      </w:pPr>
    </w:p>
    <w:bookmarkStart w:id="15" w:name="page16"/>
    <w:bookmarkEnd w:id="15"/>
    <w:p>
      <w:pPr>
        <w:jc w:val="both"/>
        <w:ind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Consolidated Interest Expense</w:t>
      </w:r>
      <w:r>
        <w:rPr>
          <w:rFonts w:ascii="Times New Roman" w:cs="Times New Roman" w:eastAsia="Times New Roman" w:hAnsi="Times New Roman"/>
          <w:sz w:val="18"/>
          <w:szCs w:val="18"/>
          <w:color w:val="auto"/>
        </w:rPr>
        <w:t>” means, with respect to any Person for any period, the interest expense of such Person and its Subsidiaries for such period, on a consolidated basis, determined in accordance with GAAP (including amortization of original issue discount and deferred financing costs, non-cash interest payments, the interest component of all payments associated with Capital Lease Obligations, capitalized interest, net payments, if any, pursuant to Hedging Obligations and imputed interest with respect to Attributable Debt).</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Net Income</w:t>
      </w:r>
      <w:r>
        <w:rPr>
          <w:rFonts w:ascii="Times New Roman" w:cs="Times New Roman" w:eastAsia="Times New Roman" w:hAnsi="Times New Roman"/>
          <w:sz w:val="18"/>
          <w:szCs w:val="18"/>
          <w:color w:val="auto"/>
        </w:rPr>
        <w:t>” means, with respect to any Person for any period, the aggregate of the net income of such Person and 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Subsidiaries for such period, on a consolidated basis, determined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99" w:lineRule="exact"/>
        <w:rPr>
          <w:sz w:val="20"/>
          <w:szCs w:val="20"/>
          <w:color w:val="auto"/>
        </w:rPr>
      </w:pPr>
    </w:p>
    <w:p>
      <w:pPr>
        <w:ind w:left="440" w:right="160" w:firstLine="419"/>
        <w:spacing w:after="0" w:line="266" w:lineRule="auto"/>
        <w:tabs>
          <w:tab w:leader="none" w:pos="11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income (but not loss) of any Person that is not a Subsidiary or that is accounted for by the equity method of accounting shall be included only to the extent of the amount of dividends or distributions paid to the referent Person or (subject to clause (4) below) a Subsidiary thereof in cash;</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cumulative effect of a change in accounting principles shall be excluded;</w:t>
      </w:r>
    </w:p>
    <w:p>
      <w:pPr>
        <w:spacing w:after="0" w:line="117" w:lineRule="exact"/>
        <w:rPr>
          <w:rFonts w:ascii="Times New Roman" w:cs="Times New Roman" w:eastAsia="Times New Roman" w:hAnsi="Times New Roman"/>
          <w:sz w:val="18"/>
          <w:szCs w:val="18"/>
          <w:color w:val="auto"/>
        </w:rPr>
      </w:pPr>
    </w:p>
    <w:p>
      <w:pPr>
        <w:ind w:left="440" w:firstLine="419"/>
        <w:spacing w:after="0" w:line="266" w:lineRule="auto"/>
        <w:tabs>
          <w:tab w:leader="none" w:pos="11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net income of any Subsidiary of such Person shall be excluded to the extent that the declaration or payment of dividends or similar distributions by that Subsidiary of that net income is not permitted, directly or indirectly, by operation of the terms of its charter or any agreement, instrument, judgment, decree, order, law, statute, rule or governmental regulation applicable to that Subsidiary or its stockholders;</w:t>
      </w:r>
    </w:p>
    <w:p>
      <w:pPr>
        <w:spacing w:after="0" w:line="67" w:lineRule="exact"/>
        <w:rPr>
          <w:rFonts w:ascii="Times New Roman" w:cs="Times New Roman" w:eastAsia="Times New Roman" w:hAnsi="Times New Roman"/>
          <w:sz w:val="18"/>
          <w:szCs w:val="18"/>
          <w:color w:val="auto"/>
        </w:rPr>
      </w:pPr>
    </w:p>
    <w:p>
      <w:pPr>
        <w:ind w:left="440" w:right="540" w:firstLine="419"/>
        <w:spacing w:after="0" w:line="282" w:lineRule="auto"/>
        <w:tabs>
          <w:tab w:leader="none" w:pos="11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successor to such Person by consolidation or merger or as a transferee of such Person’s assets, any earnings of the successor corporation prior to such consolidation, merger or transfer of assets shall be excluded;</w:t>
      </w:r>
    </w:p>
    <w:p>
      <w:pPr>
        <w:spacing w:after="0" w:line="53" w:lineRule="exact"/>
        <w:rPr>
          <w:rFonts w:ascii="Times New Roman" w:cs="Times New Roman" w:eastAsia="Times New Roman" w:hAnsi="Times New Roman"/>
          <w:sz w:val="18"/>
          <w:szCs w:val="18"/>
          <w:color w:val="auto"/>
        </w:rPr>
      </w:pPr>
    </w:p>
    <w:p>
      <w:pPr>
        <w:ind w:left="440" w:right="360" w:firstLine="419"/>
        <w:spacing w:after="0" w:line="282" w:lineRule="auto"/>
        <w:tabs>
          <w:tab w:leader="none" w:pos="11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net gain or loss resulting from an asset disposition by the Person in question or any of its Subsidiaries other than in the ordinary course of business shall be excluded;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extraordinary gains and losses shall be excluded;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fees, charges, costs and expenses incurred in connection with the Financing Transaction shall be excluded; and</w:t>
      </w:r>
    </w:p>
    <w:p>
      <w:pPr>
        <w:spacing w:after="0" w:line="117" w:lineRule="exact"/>
        <w:rPr>
          <w:rFonts w:ascii="Times New Roman" w:cs="Times New Roman" w:eastAsia="Times New Roman" w:hAnsi="Times New Roman"/>
          <w:sz w:val="18"/>
          <w:szCs w:val="18"/>
          <w:color w:val="auto"/>
        </w:rPr>
      </w:pPr>
    </w:p>
    <w:p>
      <w:pPr>
        <w:ind w:left="440" w:right="260" w:firstLine="419"/>
        <w:spacing w:after="0" w:line="261" w:lineRule="auto"/>
        <w:tabs>
          <w:tab w:leader="none" w:pos="111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amount of any write-off of deferred financing costs or of indebtedness issuance costs and the amount of charges related to any premium paid in connection with repurchasing or refinancing indebtedness shall be excluded and (b) all non-recurring expenses and charges relating to such repurchase or refinancing of indebtedness or relating to any incurrence of indebtedness, in each case, whether or not such transaction is consummated, shall be excluded.</w:t>
      </w:r>
    </w:p>
    <w:p>
      <w:pPr>
        <w:spacing w:after="0" w:line="1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40" w:top="270" w:right="499" w:bottom="1440" w:gutter="0" w:footer="0" w:header="0"/>
        </w:sectPr>
      </w:pPr>
    </w:p>
    <w:bookmarkStart w:id="16" w:name="page17"/>
    <w:bookmarkEnd w:id="16"/>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Consolidated Net Tangible Assets</w:t>
      </w:r>
      <w:r>
        <w:rPr>
          <w:rFonts w:ascii="Times New Roman" w:cs="Times New Roman" w:eastAsia="Times New Roman" w:hAnsi="Times New Roman"/>
          <w:sz w:val="18"/>
          <w:szCs w:val="18"/>
          <w:color w:val="auto"/>
        </w:rPr>
        <w:t xml:space="preserve">” means, with respect to any specified Person as of any date, the total assets of such Person and its Subsidiaries as of the most recent fiscal quarter end for which a consolidated balance sheet of such Person and its Subsidiaries is available as of that date,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(a) all current liabilities of such Person and its Subsidiaries reflected on such balance sheet (excluding any current liabilities for borrowed money having a maturity of less than 12 months but by its terms being renewable or extendible beyond 12 months from such date at the option of the borrower) and (b) all goodwill, trade names, trademarks, patents, unamortized debt discount and expense and other like intangible assets of such Person and its Subsidiaries reflected on such balance sheet, as determined on a consolidated basis in accordance with GAAP.</w:t>
      </w:r>
    </w:p>
    <w:p>
      <w:pPr>
        <w:spacing w:after="0" w:line="187" w:lineRule="exact"/>
        <w:rPr>
          <w:sz w:val="20"/>
          <w:szCs w:val="20"/>
          <w:color w:val="auto"/>
        </w:rPr>
      </w:pPr>
    </w:p>
    <w:p>
      <w:pPr>
        <w:ind w:right="60" w:firstLine="991"/>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Secured Indebtedness</w:t>
      </w:r>
      <w:r>
        <w:rPr>
          <w:rFonts w:ascii="Times New Roman" w:cs="Times New Roman" w:eastAsia="Times New Roman" w:hAnsi="Times New Roman"/>
          <w:sz w:val="18"/>
          <w:szCs w:val="18"/>
          <w:color w:val="auto"/>
        </w:rPr>
        <w:t xml:space="preserve">” means, with respect to any specified Person as of any date, (a) the total amount of Indebtedness of such Person and its Subsidiaries as of the most recent consolidated balance sheet of such Person and its Subsidiaries that is available as of that date that is secured by a Lien on the assets or property of such specified Person or any of its Subsidiaries or upon shares of Capital Stock or Indebtedness of any of its Subsidiaries, as determined on a consolidated basis in accordance with GAAP,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(b) the total amount of Capital Lease Obligations of such Person and its Subsidiaries as of the most recent consolidated balance sheet of such Person and its Subsidiaries that is available as of that date, as determined on a consolidated basis in accordance with GAAP,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 the total amount of Attributable Debt in respect of Sale and Leaseback Transactions of such Person and its Subsidiaries as of such date.</w:t>
      </w:r>
    </w:p>
    <w:p>
      <w:pPr>
        <w:spacing w:after="0" w:line="189"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Consolidated Secured Leverage Ratio</w:t>
      </w:r>
      <w:r>
        <w:rPr>
          <w:rFonts w:ascii="Times New Roman" w:cs="Times New Roman" w:eastAsia="Times New Roman" w:hAnsi="Times New Roman"/>
          <w:sz w:val="18"/>
          <w:szCs w:val="18"/>
          <w:color w:val="auto"/>
        </w:rPr>
        <w:t>” means, with respect to any specified Person as of any date, the ratio of (a) the Consolidated Secured Indebtedness of such Person as of such date to (b) the Consolidated EBITDA of such Person for the four most recent full fiscal quarters ending immediately prior to such date for which internal financial statements are available. In the event that the specified Person or any of its Subsidiaries incurs, assumes, Guarantees, repays, repurchases, redeems, defeases or otherwise discharges any Indebtedness that is secured by a Lien on the assets or property of such Person or any of its Subsidiaries or upon shares of stock or Indebtedness of any of its Subsidiaries (other than ordinary working capital borrowings) subsequent to the commencement of the period for which such Consolidated EBITDA is being calculated and on or prior to the date on which the event for which the calculation of the Consolidated Secured Leverage Ratio is made (the “</w:t>
      </w:r>
      <w:r>
        <w:rPr>
          <w:rFonts w:ascii="Times New Roman" w:cs="Times New Roman" w:eastAsia="Times New Roman" w:hAnsi="Times New Roman"/>
          <w:sz w:val="18"/>
          <w:szCs w:val="18"/>
          <w:i w:val="1"/>
          <w:iCs w:val="1"/>
          <w:color w:val="auto"/>
        </w:rPr>
        <w:t>Calculation Date</w:t>
      </w:r>
      <w:r>
        <w:rPr>
          <w:rFonts w:ascii="Times New Roman" w:cs="Times New Roman" w:eastAsia="Times New Roman" w:hAnsi="Times New Roman"/>
          <w:sz w:val="18"/>
          <w:szCs w:val="18"/>
          <w:color w:val="auto"/>
        </w:rPr>
        <w:t>”), then the Consolidated Secured Leverage Ratio will be calculated giving pro forma effect to such incurrence, assumption, Guarantee, repayment, repurchase, redemption, defeasance or other discharge of Indebtedness, and the use of the proceeds therefrom, as if the same had occurred at the beginning of the applicable four-quarter reference period.</w:t>
      </w:r>
    </w:p>
    <w:p>
      <w:pPr>
        <w:spacing w:after="0" w:line="12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440" w:top="270" w:right="519" w:bottom="1440" w:gutter="0" w:footer="0" w:header="0"/>
        </w:sectPr>
      </w:pPr>
    </w:p>
    <w:bookmarkStart w:id="17" w:name="page18"/>
    <w:bookmarkEnd w:id="17"/>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for purposes of calculating the Consolidated Secured Leverage Ratio:</w:t>
      </w:r>
    </w:p>
    <w:p>
      <w:pPr>
        <w:spacing w:after="0" w:line="117" w:lineRule="exact"/>
        <w:rPr>
          <w:sz w:val="20"/>
          <w:szCs w:val="20"/>
          <w:color w:val="auto"/>
        </w:rPr>
      </w:pPr>
    </w:p>
    <w:p>
      <w:pPr>
        <w:ind w:left="440" w:firstLine="419"/>
        <w:spacing w:after="0" w:line="256" w:lineRule="auto"/>
        <w:tabs>
          <w:tab w:leader="none" w:pos="111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and dispositions that have been made by the specified Person or any of its Subsidiaries, including through mergers or consolidations, or any Person or any of its Subsidiaries acquired by the specified person or any of its Subsidiaries, and including any related financing transactions and giving effect to the application of proceeds from any dispositions, during the four-quarter reference period or subsequent to such reference period and on or prior to the Calculation Date shall be deemed to have occurred on the first day of the four-quarter reference period and Consolidated EBITDA for such reference period will be calculated without giving effect to clause (4) of the proviso set forth in the definition of Consolidated Net Income; and</w:t>
      </w:r>
    </w:p>
    <w:p>
      <w:pPr>
        <w:spacing w:after="0" w:line="79"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18"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Consolidated EBITDA attributable to discontinued operations, as determined with GAAP, and operations or businesses disposed of prior to the Calculation Date, will be excluded,</w:t>
      </w:r>
    </w:p>
    <w:p>
      <w:pPr>
        <w:spacing w:after="0" w:line="16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to the extent that clause (1) or (2) of this paragraph requires that pro forma effect be given to an acquisition, disposition or discontinued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operations, as applicable, such pro forma calculation shall be made in good faith by a responsible financial or accounting officer of Parent (and may include, for the avoidance of doubt and without duplication, cost savings, synergies and operating expense resulting from such acquisition whether or not such cost savings, synergies or operating expense reductions would be allowed under Regulation S-X promulgated by the Commission or any other regulation or policy of the Commission).</w:t>
      </w:r>
    </w:p>
    <w:p>
      <w:pPr>
        <w:spacing w:after="0" w:line="18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Continuing Directors</w:t>
      </w:r>
      <w:r>
        <w:rPr>
          <w:rFonts w:ascii="Times New Roman" w:cs="Times New Roman" w:eastAsia="Times New Roman" w:hAnsi="Times New Roman"/>
          <w:sz w:val="18"/>
          <w:szCs w:val="18"/>
          <w:color w:val="auto"/>
        </w:rPr>
        <w:t>” means, as of any date of determination, any member of the Board of Directors of the relevant Person who:</w:t>
      </w:r>
    </w:p>
    <w:p>
      <w:pPr>
        <w:spacing w:after="0" w:line="117" w:lineRule="exact"/>
        <w:rPr>
          <w:sz w:val="20"/>
          <w:szCs w:val="20"/>
          <w:color w:val="auto"/>
        </w:rPr>
      </w:pPr>
    </w:p>
    <w:p>
      <w:pPr>
        <w:ind w:left="1120" w:hanging="261"/>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a member of such Board of Directors on the Issue Date; or</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18"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was nominated for election or elected to such Board of Directors with the approval of a majority of the Continuing Directors who were members of such Board of Directors at the time of such nomination or election.</w:t>
      </w:r>
    </w:p>
    <w:p>
      <w:pPr>
        <w:spacing w:after="0" w:line="162"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Corporate Trust Office</w:t>
      </w:r>
      <w:r>
        <w:rPr>
          <w:rFonts w:ascii="Times New Roman" w:cs="Times New Roman" w:eastAsia="Times New Roman" w:hAnsi="Times New Roman"/>
          <w:sz w:val="18"/>
          <w:szCs w:val="18"/>
          <w:color w:val="auto"/>
        </w:rPr>
        <w:t>” means, solely for purposes of presenting the Notes for payment, U.S. Bank Trust Company, National Association, as agent, located at 111 Fillmore Ave E St. Paul, MN 55107 and, for all other purposes the office of the Trustee at which any time its corporate trust business shall be administered, which at the date hereof is located at the address listed in Section 11.02, or such other address as the Trustee may designate from time to time by notice to the Holders and the Issuer, or the principal corporate trust office of any successor Trustee (or such other address as such successor Trustee may designate from time to time by notice to the Holders and the Issuer).</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 has the meaning set forth in Section 9.03.</w:t>
      </w:r>
    </w:p>
    <w:p>
      <w:pPr>
        <w:spacing w:after="0" w:line="158"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940"/>
          </w:cols>
          <w:pgMar w:left="440" w:top="270" w:right="519" w:bottom="1440" w:gutter="0" w:footer="0" w:header="0"/>
        </w:sectPr>
      </w:pPr>
    </w:p>
    <w:bookmarkStart w:id="18" w:name="page19"/>
    <w:bookmarkEnd w:id="18"/>
    <w:p>
      <w:pPr>
        <w:ind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Credit Facilities</w:t>
      </w:r>
      <w:r>
        <w:rPr>
          <w:rFonts w:ascii="Times New Roman" w:cs="Times New Roman" w:eastAsia="Times New Roman" w:hAnsi="Times New Roman"/>
          <w:sz w:val="18"/>
          <w:szCs w:val="18"/>
          <w:color w:val="auto"/>
        </w:rPr>
        <w:t>” means one or more debt facilities (including, without limitation, the Existing Credit Facility) or commercial paper facilities or capital markets financings, in each case with banks or other lenders providing for revolving credit loans, term loans, notes or letters of credit, in each case as any such agreement may be amended or refinanced, including any agreement(s) extending the maturity of or refinancing (including increasing the amount of available borrowings thereunder or adding Parent or Subsidiaries of Parent as borrowers or guarantors thereunder) all or any portion of the Indebtedness under such agreement(s) or any successor or replacement agreement and whether by the same or any other agent, lender or group of lenders or creditor or group of creditors.</w:t>
      </w:r>
    </w:p>
    <w:p>
      <w:pPr>
        <w:spacing w:after="0" w:line="187"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Crown</w:t>
      </w:r>
      <w:r>
        <w:rPr>
          <w:rFonts w:ascii="Times New Roman" w:cs="Times New Roman" w:eastAsia="Times New Roman" w:hAnsi="Times New Roman"/>
          <w:sz w:val="18"/>
          <w:szCs w:val="18"/>
          <w:color w:val="auto"/>
        </w:rPr>
        <w:t>” means Crown Cork &amp; Seal Company, Inc., a Pennsylvania corporation, until a successor replaces such party pursuant to Article Five of this Indenture.</w:t>
      </w:r>
    </w:p>
    <w:p>
      <w:pPr>
        <w:spacing w:after="0" w:line="162"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Crown Americas</w:t>
      </w:r>
      <w:r>
        <w:rPr>
          <w:rFonts w:ascii="Times New Roman" w:cs="Times New Roman" w:eastAsia="Times New Roman" w:hAnsi="Times New Roman"/>
          <w:sz w:val="18"/>
          <w:szCs w:val="18"/>
          <w:color w:val="auto"/>
        </w:rPr>
        <w:t>” means Crown Americas LLC, a Pennsylvania limited liability company, until a successor replaces such party pursuant to Article Five of this Indenture.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Default</w:t>
      </w:r>
      <w:r>
        <w:rPr>
          <w:rFonts w:ascii="Times New Roman" w:cs="Times New Roman" w:eastAsia="Times New Roman" w:hAnsi="Times New Roman"/>
          <w:sz w:val="18"/>
          <w:szCs w:val="18"/>
          <w:color w:val="auto"/>
        </w:rPr>
        <w:t>” means any event that is, or with the passage of time or the giving of notice or both would be, an Event of Default.</w:t>
      </w:r>
    </w:p>
    <w:p>
      <w:pPr>
        <w:spacing w:after="0" w:line="225"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Depository</w:t>
      </w:r>
      <w:r>
        <w:rPr>
          <w:rFonts w:ascii="Times New Roman" w:cs="Times New Roman" w:eastAsia="Times New Roman" w:hAnsi="Times New Roman"/>
          <w:sz w:val="18"/>
          <w:szCs w:val="18"/>
          <w:color w:val="auto"/>
        </w:rPr>
        <w:t>” means, with respect to the Global Notes, The Depository Trust Company or another Person designated as depository by the Issuer, which Person must be a clearing agency registered under the Exchange Act.</w:t>
      </w:r>
    </w:p>
    <w:p>
      <w:pPr>
        <w:spacing w:after="0" w:line="162"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Domestic Subsidiary</w:t>
      </w:r>
      <w:r>
        <w:rPr>
          <w:rFonts w:ascii="Times New Roman" w:cs="Times New Roman" w:eastAsia="Times New Roman" w:hAnsi="Times New Roman"/>
          <w:sz w:val="18"/>
          <w:szCs w:val="18"/>
          <w:color w:val="auto"/>
        </w:rPr>
        <w:t>” means any Subsidiary organized under the laws of the United States, any State thereof or the District of Columbia, other than any such Subsidiary that for U.S. federal income tax purposes is treated as a partnership or disregarded as an entity separate from its sole owner and that is a Subsidiary of a Subsidiary of Parent that is a “controlled foreign corporation” within the meaning of Section 957 of the Internal Revenue Code of 1986, as amended.</w:t>
      </w:r>
    </w:p>
    <w:p>
      <w:pPr>
        <w:spacing w:after="0" w:line="180"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Capital Stock and all warrants, options or other rights to acquire Capital Stock (but excluding any debt security that is convertible into, or exchangeable for, Capital Stock).</w:t>
      </w:r>
    </w:p>
    <w:p>
      <w:pPr>
        <w:spacing w:after="0" w:line="162"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Equity Offering</w:t>
      </w:r>
      <w:r>
        <w:rPr>
          <w:rFonts w:ascii="Times New Roman" w:cs="Times New Roman" w:eastAsia="Times New Roman" w:hAnsi="Times New Roman"/>
          <w:sz w:val="18"/>
          <w:szCs w:val="18"/>
          <w:color w:val="auto"/>
        </w:rPr>
        <w:t>” means any public or private sale of common stock (other than Disqualified Stock) of Parent (other than public offerings pursuant to Form S-8 or otherwise relating to Equity Interests issuable under any employee benefit plan of Parent).</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has the meaning set forth in Section 6.01.</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 and the rules and regulations of the Commission promulgated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thereunder.</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70" w:right="459" w:bottom="1440" w:gutter="0" w:footer="0" w:header="0"/>
        </w:sectPr>
      </w:pPr>
    </w:p>
    <w:bookmarkStart w:id="19" w:name="page20"/>
    <w:bookmarkEnd w:id="19"/>
    <w:p>
      <w:pPr>
        <w:ind w:right="40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Exchange Notes</w:t>
      </w:r>
      <w:r>
        <w:rPr>
          <w:rFonts w:ascii="Times New Roman" w:cs="Times New Roman" w:eastAsia="Times New Roman" w:hAnsi="Times New Roman"/>
          <w:sz w:val="18"/>
          <w:szCs w:val="18"/>
          <w:color w:val="auto"/>
        </w:rPr>
        <w:t>” means debt securities of the Issuer with terms substantially identical to the Notes issued in exchange for an equal principal amount of Notes pursuant to an exchange offer registered under the Securities Act in accordance with the terms of the Registration Rights Agreement.</w:t>
      </w:r>
    </w:p>
    <w:p>
      <w:pPr>
        <w:spacing w:after="0" w:line="176"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Existing Credit Facility</w:t>
      </w:r>
      <w:r>
        <w:rPr>
          <w:rFonts w:ascii="Times New Roman" w:cs="Times New Roman" w:eastAsia="Times New Roman" w:hAnsi="Times New Roman"/>
          <w:sz w:val="18"/>
          <w:szCs w:val="18"/>
          <w:color w:val="auto"/>
        </w:rPr>
        <w:t>” means the Amended and Restated Credit Agreement dated as of April 7, 2017, as amended by the First Amendment to the Amended and Restated Credit Agreement dated as of December 28, 2017, as amended by the Incremental Amendment No. 1 to the Amended and Restated Credit Agreement dated as of January 29, 2018, as amended by the Second Amendment to Amended and Restated Credit Agreement, First Amendment to the U.S. Guarantee Agreement and First Amendment to U.S. Indemnity, Subrogation and Contribution Agreement, dated as of March 23, 2018, as amended by the Incremental Amendment No. 2 and Third Amendment to Amended and Restated Credit Agreement, dated as of December 13, 2019, and as amended by the Fourth Amendment to Amended and Restated Credit Agreement, dated as of October 4, 2021, as amended by the Incremental Amendment No. 3 and Fifth Amendment to Amended and Restated Credit Agreement, dated as of August 8, 2022, as amended by the Sixth Amendment to Amended and Restated Credit Agreement, dated as of June 28, 2024, and as amended by the Seventh Amendment to Amended and Restated Credit Agreement, dated as of November 11, 2024, as such agreement may be further amended or refinanced, including any agreement(s) extending the maturity of or refinancing (including increasing the amount of available borrowings thereunder or adding Parent or Subsidiaries of Parent as borrowers or guarantors thereunder) all or any portion of the Indebtedness under such agreement(s) or any successor or replacement agreement(s) and whether by the same or any other agent, lender or group of lenders or creditor or group of creditors.</w:t>
      </w:r>
    </w:p>
    <w:p>
      <w:pPr>
        <w:spacing w:after="0" w:line="190"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Financing Transaction</w:t>
      </w:r>
      <w:r>
        <w:rPr>
          <w:rFonts w:ascii="Times New Roman" w:cs="Times New Roman" w:eastAsia="Times New Roman" w:hAnsi="Times New Roman"/>
          <w:sz w:val="18"/>
          <w:szCs w:val="18"/>
          <w:color w:val="auto"/>
        </w:rPr>
        <w:t>” means issuance of the Notes issued on the Issue Date and the application of the net proceeds thereof as described in the Offering Memorandum.</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means the fiscal year of the Issuer, which at the date hereof ends on December 31.</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GAAP</w:t>
      </w:r>
      <w:r>
        <w:rPr>
          <w:rFonts w:ascii="Times New Roman" w:cs="Times New Roman" w:eastAsia="Times New Roman" w:hAnsi="Times New Roman"/>
          <w:sz w:val="18"/>
          <w:szCs w:val="18"/>
          <w:color w:val="auto"/>
        </w:rPr>
        <w:t>” means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entity as may be approved by a significant segment of the accounting profession of the United States, as in effect on the Issue Date.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Global Note Legend</w:t>
      </w:r>
      <w:r>
        <w:rPr>
          <w:rFonts w:ascii="Times New Roman" w:cs="Times New Roman" w:eastAsia="Times New Roman" w:hAnsi="Times New Roman"/>
          <w:sz w:val="18"/>
          <w:szCs w:val="18"/>
          <w:color w:val="auto"/>
        </w:rPr>
        <w:t xml:space="preserve">” means the legend substantially in the form set forth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Global Notes</w:t>
      </w:r>
      <w:r>
        <w:rPr>
          <w:rFonts w:ascii="Times New Roman" w:cs="Times New Roman" w:eastAsia="Times New Roman" w:hAnsi="Times New Roman"/>
          <w:sz w:val="18"/>
          <w:szCs w:val="18"/>
          <w:color w:val="auto"/>
        </w:rPr>
        <w:t>” has the meaning set forth in Section 2.16.</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00"/>
          </w:cols>
          <w:pgMar w:left="440" w:top="270" w:right="459" w:bottom="1440" w:gutter="0" w:footer="0" w:header="0"/>
        </w:sectPr>
      </w:pPr>
    </w:p>
    <w:bookmarkStart w:id="20" w:name="page21"/>
    <w:bookmarkEnd w:id="20"/>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 means a guarantee (other than by endorsement of negotiable instruments for collection in the ordinary course of business), direct or indirect, in any manner (including, without limitation, through letters of credit and reimbursement agreements in respect thereof), of all or any part of any Indebtedness. “Guarantee” when used as a verb shall have a corresponding meaning.</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1120" w:hanging="261"/>
        <w:spacing w:after="0"/>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Domestic Subsidiary that executes and delivers a Note Guarantee pursuant to Section 4.17; and</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Subsidiary that otherwise executes and delivers a Note Guarantee,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each case, until such time as such Person is released from its Note Guarantee in accordance with the provisions of this Indenture.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Hedging Obligations</w:t>
      </w:r>
      <w:r>
        <w:rPr>
          <w:rFonts w:ascii="Times New Roman" w:cs="Times New Roman" w:eastAsia="Times New Roman" w:hAnsi="Times New Roman"/>
          <w:sz w:val="18"/>
          <w:szCs w:val="18"/>
          <w:color w:val="auto"/>
        </w:rPr>
        <w:t>” means, with respect to any Person, the obligations of such Person under:</w:t>
      </w:r>
    </w:p>
    <w:p>
      <w:pPr>
        <w:spacing w:after="0" w:line="117" w:lineRule="exact"/>
        <w:rPr>
          <w:sz w:val="20"/>
          <w:szCs w:val="20"/>
          <w:color w:val="auto"/>
        </w:rPr>
      </w:pPr>
    </w:p>
    <w:p>
      <w:pPr>
        <w:ind w:left="440" w:right="300" w:firstLine="419"/>
        <w:spacing w:after="0" w:line="282" w:lineRule="auto"/>
        <w:tabs>
          <w:tab w:leader="none" w:pos="111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rate protection agreements including, without limitation, interest rate swap agreements, interest rate cap agreements and interest rate collar agreements;</w:t>
      </w:r>
    </w:p>
    <w:p>
      <w:pPr>
        <w:spacing w:after="0" w:line="53" w:lineRule="exact"/>
        <w:rPr>
          <w:rFonts w:ascii="Times New Roman" w:cs="Times New Roman" w:eastAsia="Times New Roman" w:hAnsi="Times New Roman"/>
          <w:sz w:val="18"/>
          <w:szCs w:val="18"/>
          <w:color w:val="auto"/>
        </w:rPr>
      </w:pPr>
    </w:p>
    <w:p>
      <w:pPr>
        <w:ind w:left="440" w:firstLine="419"/>
        <w:spacing w:after="0" w:line="282" w:lineRule="auto"/>
        <w:tabs>
          <w:tab w:leader="none" w:pos="111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exchange contracts, currency swap agreements or other agreements or arrangements designed to protect such Person against fluctuations in interest rates or foreign exchange rates;</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1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commodity futures contract, commodity option or other similar arrangement or agreement designed to protect such Person against fluctuations in the prices of commodities; and</w:t>
      </w:r>
    </w:p>
    <w:p>
      <w:pPr>
        <w:spacing w:after="0" w:line="53"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1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indemnity agreements and arrangements entered into in connection with the agreements and arrangements described in clauses (1), (2) and (3) above.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Noteholder</w:t>
      </w:r>
      <w:r>
        <w:rPr>
          <w:rFonts w:ascii="Times New Roman" w:cs="Times New Roman" w:eastAsia="Times New Roman" w:hAnsi="Times New Roman"/>
          <w:sz w:val="18"/>
          <w:szCs w:val="18"/>
          <w:color w:val="auto"/>
        </w:rPr>
        <w:t>” means the Person in whose name a Note is registered on the Registrar’s books.</w:t>
      </w:r>
    </w:p>
    <w:p>
      <w:pPr>
        <w:spacing w:after="0" w:line="225" w:lineRule="exact"/>
        <w:rPr>
          <w:sz w:val="20"/>
          <w:szCs w:val="20"/>
          <w:color w:val="auto"/>
        </w:rPr>
      </w:pPr>
    </w:p>
    <w:p>
      <w:pPr>
        <w:ind w:right="80" w:firstLine="991"/>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means, with respect to any specified Person, any indebtedness of such Person, in respect of borrowed money, whether evidenced by credit agreements, bonds, notes, debentures or similar instruments or letters of credit, or reimbursement agreements in respect thereof. In addition, the term “Indebtedness” includes all Indebtedness of others secured by a Lien on any Principal Property of the specified Person or any of its</w:t>
      </w:r>
    </w:p>
    <w:p>
      <w:pPr>
        <w:spacing w:after="0" w:line="9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920"/>
          </w:cols>
          <w:pgMar w:left="440" w:top="270" w:right="539" w:bottom="1440" w:gutter="0" w:footer="0" w:header="0"/>
        </w:sectPr>
      </w:pPr>
    </w:p>
    <w:bookmarkStart w:id="21" w:name="page22"/>
    <w:bookmarkEnd w:id="21"/>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Subsidiaries or upon the shares of Capital Stock or Indebtedness of any Subsidiary of the specified Person, whether or not such Indebtedness is assumed by the specified Person, and, to the extent not otherwise included, the Guarantee by the specified Person of any Indebtedness of any other Person or any liability of any person, whether or not contingent and whether or not it appears on the balance sheet of such Person.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amount of any Indebtedness outstanding as of any date will be:</w:t>
      </w:r>
    </w:p>
    <w:p>
      <w:pPr>
        <w:spacing w:after="0" w:line="117" w:lineRule="exact"/>
        <w:rPr>
          <w:sz w:val="20"/>
          <w:szCs w:val="20"/>
          <w:color w:val="auto"/>
        </w:rPr>
      </w:pPr>
    </w:p>
    <w:p>
      <w:pPr>
        <w:ind w:left="1240" w:hanging="253"/>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accreted value of the Indebtedness, in the case of any Indebtedness that does not require the current payment of interest;</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of the Indebtedness, in the case of any other Indebtedness; and</w:t>
      </w:r>
    </w:p>
    <w:p>
      <w:pPr>
        <w:spacing w:after="0" w:line="117"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respect of Indebtedness of another Person secured by a Lien on the assets of the specified Person, the lesser of:</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(as determined in good faith by Parent) of such assets at the date of determination; and</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the Indebtedness of the other Person.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For the avoidance of doubt, a letter of credit or analogous instrument will not constitute Indebtedness until it has been drawn upon.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means this Indenture as amended, restated or supplemented from time to time.</w:t>
      </w:r>
    </w:p>
    <w:p>
      <w:pPr>
        <w:spacing w:after="0" w:line="225" w:lineRule="exact"/>
        <w:rPr>
          <w:sz w:val="20"/>
          <w:szCs w:val="20"/>
          <w:color w:val="auto"/>
        </w:rPr>
      </w:pPr>
    </w:p>
    <w:p>
      <w:pPr>
        <w:ind w:right="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Purchasers</w:t>
      </w:r>
      <w:r>
        <w:rPr>
          <w:rFonts w:ascii="Times New Roman" w:cs="Times New Roman" w:eastAsia="Times New Roman" w:hAnsi="Times New Roman"/>
          <w:sz w:val="18"/>
          <w:szCs w:val="18"/>
          <w:color w:val="auto"/>
        </w:rPr>
        <w:t>” BofA Securities, Inc., TD Securities (USA) LLC, Wells Fargo Securities, LLC, BNP Paribas Securities Corp., Citigroup Global Markets Inc., Deutsche Bank Securities Inc., Mizuho Securities USA LLC, PNC Capital Markets LLC, Santander US Capital Markets LLC, Scotia Capital (USA) Inc., UniCredit Capital Markets LLC, Credit Agricole Securities (USA) Inc., Huntington Securities, Inc., ING Financial Markets LLC, MUFG Securities Americas Inc., Rabo Securities USA, Inc. and SMBC Nikko Securities America, Inc.</w:t>
      </w:r>
    </w:p>
    <w:p>
      <w:pPr>
        <w:spacing w:after="0" w:line="180"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Institutional Accredited Investor</w:t>
      </w:r>
      <w:r>
        <w:rPr>
          <w:rFonts w:ascii="Times New Roman" w:cs="Times New Roman" w:eastAsia="Times New Roman" w:hAnsi="Times New Roman"/>
          <w:sz w:val="18"/>
          <w:szCs w:val="18"/>
          <w:color w:val="auto"/>
        </w:rPr>
        <w:t>” means an institution that is an “accredited investor” as defined in Rule 501(a)(1), (2), (3) or (7) under the Securities Act.</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Instructions</w:t>
      </w:r>
      <w:r>
        <w:rPr>
          <w:rFonts w:ascii="Times New Roman" w:cs="Times New Roman" w:eastAsia="Times New Roman" w:hAnsi="Times New Roman"/>
          <w:sz w:val="18"/>
          <w:szCs w:val="18"/>
          <w:color w:val="auto"/>
        </w:rPr>
        <w:t>” means any written notices, written directions or written instructions received by the Trustee or the Agent in accordance with the provisions of this Indenture from an Authorized Person or from a person reasonably believed by the Trustee or the Agent to be an Authorized Person.</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22" w:name="page23"/>
    <w:bookmarkEnd w:id="22"/>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means, with respect to the Notes, interest and Additional Interest, if any.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Interest Payment Date</w:t>
      </w:r>
      <w:r>
        <w:rPr>
          <w:rFonts w:ascii="Times New Roman" w:cs="Times New Roman" w:eastAsia="Times New Roman" w:hAnsi="Times New Roman"/>
          <w:sz w:val="18"/>
          <w:szCs w:val="18"/>
          <w:color w:val="auto"/>
        </w:rPr>
        <w:t>” means the stated maturity of an installment of interest on the Notes.</w:t>
      </w:r>
    </w:p>
    <w:p>
      <w:pPr>
        <w:spacing w:after="0" w:line="225"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Investment Grade</w:t>
      </w:r>
      <w:r>
        <w:rPr>
          <w:rFonts w:ascii="Times New Roman" w:cs="Times New Roman" w:eastAsia="Times New Roman" w:hAnsi="Times New Roman"/>
          <w:sz w:val="18"/>
          <w:szCs w:val="18"/>
          <w:color w:val="auto"/>
        </w:rPr>
        <w:t>” means a rating of Baa3 or better by Moody’s (or its equivalent under any successor rating categories of Moody’s), a rating of BBB- or better by S&amp;P (or its equivalent under any successor rating categories of S&amp;P) and the equivalent Investment Grade credit rating from any additional Rating Agency or Rating Agencies selected by Parent.</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 Date</w:t>
      </w:r>
      <w:r>
        <w:rPr>
          <w:rFonts w:ascii="Times New Roman" w:cs="Times New Roman" w:eastAsia="Times New Roman" w:hAnsi="Times New Roman"/>
          <w:sz w:val="18"/>
          <w:szCs w:val="18"/>
          <w:color w:val="auto"/>
        </w:rPr>
        <w:t>” means May 27, 2025, the date on which Notes were first issued under this Indenture.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means Crown Americas.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Legal Defeasance</w:t>
      </w:r>
      <w:r>
        <w:rPr>
          <w:rFonts w:ascii="Times New Roman" w:cs="Times New Roman" w:eastAsia="Times New Roman" w:hAnsi="Times New Roman"/>
          <w:sz w:val="18"/>
          <w:szCs w:val="18"/>
          <w:color w:val="auto"/>
        </w:rPr>
        <w:t>” has the meaning set forth in Section 9.02.</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Legal Holiday</w:t>
      </w:r>
      <w:r>
        <w:rPr>
          <w:rFonts w:ascii="Times New Roman" w:cs="Times New Roman" w:eastAsia="Times New Roman" w:hAnsi="Times New Roman"/>
          <w:sz w:val="18"/>
          <w:szCs w:val="18"/>
          <w:color w:val="auto"/>
        </w:rPr>
        <w:t>” has the meaning set forth in Section 11.07.</w:t>
      </w:r>
    </w:p>
    <w:p>
      <w:pPr>
        <w:spacing w:after="0" w:line="225" w:lineRule="exact"/>
        <w:rPr>
          <w:sz w:val="20"/>
          <w:szCs w:val="20"/>
          <w:color w:val="auto"/>
        </w:rPr>
      </w:pPr>
    </w:p>
    <w:p>
      <w:pPr>
        <w:ind w:firstLine="991"/>
        <w:spacing w:after="0" w:line="28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Lien</w:t>
      </w:r>
      <w:r>
        <w:rPr>
          <w:rFonts w:ascii="Times New Roman" w:cs="Times New Roman" w:eastAsia="Times New Roman" w:hAnsi="Times New Roman"/>
          <w:sz w:val="17"/>
          <w:szCs w:val="17"/>
          <w:color w:val="auto"/>
        </w:rPr>
        <w:t>” means, with respect to any asset, any mortgage, deed of trust, deed to secure debt, debenture, lien, pledge, charge, security interest, hypothecation or encumbrance of any kind in respect of such asset, whether or not filed, recorded or otherwise perfected under applicable law (including any conditional sale or other title retention agreement, any lease in the nature thereof, any option or other agreement to sell or give a security interest in and any filing of or agreement to give any financing statement under the Uniform Commercial Code (or equivalent statutes) of any jurisdiction).</w:t>
      </w:r>
    </w:p>
    <w:p>
      <w:pPr>
        <w:spacing w:after="0" w:line="164" w:lineRule="exact"/>
        <w:rPr>
          <w:sz w:val="20"/>
          <w:szCs w:val="20"/>
          <w:color w:val="auto"/>
        </w:rPr>
      </w:pPr>
    </w:p>
    <w:p>
      <w:pPr>
        <w:ind w:right="6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means any and all claims, losses, liabilities, damages, costs, expenses and judgments (including legal fees and expenses) sustained by either party.</w:t>
      </w:r>
    </w:p>
    <w:p>
      <w:pPr>
        <w:spacing w:after="0" w:line="162"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Make-Whole Premium</w:t>
      </w:r>
      <w:r>
        <w:rPr>
          <w:rFonts w:ascii="Times New Roman" w:cs="Times New Roman" w:eastAsia="Times New Roman" w:hAnsi="Times New Roman"/>
          <w:sz w:val="18"/>
          <w:szCs w:val="18"/>
          <w:color w:val="auto"/>
        </w:rPr>
        <w:t>” means with respect to a Note at any Make-Whole Redemption Date, an amount equal to the greater of (i) 1.0% of the principal amount of such Note and (ii) the excess, if any, of (x) the present value at such Make-Whole Redemption Date of the sum of the principal amount that would be payable on such Note on June 1, 2028 and all remaining interest payments to and including June 1, 2028 (but excluding any interest accrued to the Make-Whole Redemption Date), discounted on a semi-annual basis (assuming a 360-day year consisting of twelve 30-day months) from June 1, 2028 to the Make-Whole Redemption Date at a per annum interest rate equal to the Applicable Treasury Rate on such Make-Whole Redemption Date plus 0.50%, over (y) the outstanding principal amount of such Note.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70" w:right="459" w:bottom="1440" w:gutter="0" w:footer="0" w:header="0"/>
        </w:sectPr>
      </w:pPr>
    </w:p>
    <w:bookmarkStart w:id="23" w:name="page24"/>
    <w:bookmarkEnd w:id="2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Make-Whole Redemption</w:t>
      </w:r>
      <w:r>
        <w:rPr>
          <w:rFonts w:ascii="Times New Roman" w:cs="Times New Roman" w:eastAsia="Times New Roman" w:hAnsi="Times New Roman"/>
          <w:sz w:val="18"/>
          <w:szCs w:val="18"/>
          <w:color w:val="auto"/>
        </w:rPr>
        <w:t>” has the meaning set forth in paragraph 5 of the Notes.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Make-Whole Redemption Date</w:t>
      </w:r>
      <w:r>
        <w:rPr>
          <w:rFonts w:ascii="Times New Roman" w:cs="Times New Roman" w:eastAsia="Times New Roman" w:hAnsi="Times New Roman"/>
          <w:sz w:val="18"/>
          <w:szCs w:val="18"/>
          <w:color w:val="auto"/>
        </w:rPr>
        <w:t>” means with respect to a Make-Whole Redemption, the date such Make Whole Redemption is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effectuated.</w:t>
      </w:r>
    </w:p>
    <w:p>
      <w:pPr>
        <w:spacing w:after="0" w:line="207"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Maturity Date</w:t>
      </w:r>
      <w:r>
        <w:rPr>
          <w:rFonts w:ascii="Times New Roman" w:cs="Times New Roman" w:eastAsia="Times New Roman" w:hAnsi="Times New Roman"/>
          <w:sz w:val="18"/>
          <w:szCs w:val="18"/>
          <w:color w:val="auto"/>
        </w:rPr>
        <w:t>” when used with respect to any Note, means the date on which the principal amount of such Note becomes due and payable as therein or herein provided.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Moody’s</w:t>
      </w:r>
      <w:r>
        <w:rPr>
          <w:rFonts w:ascii="Times New Roman" w:cs="Times New Roman" w:eastAsia="Times New Roman" w:hAnsi="Times New Roman"/>
          <w:sz w:val="18"/>
          <w:szCs w:val="18"/>
          <w:color w:val="auto"/>
        </w:rPr>
        <w:t>” means Moody’s Investors Services, Inc. and its successors.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Non-U.S. Person</w:t>
      </w:r>
      <w:r>
        <w:rPr>
          <w:rFonts w:ascii="Times New Roman" w:cs="Times New Roman" w:eastAsia="Times New Roman" w:hAnsi="Times New Roman"/>
          <w:sz w:val="18"/>
          <w:szCs w:val="18"/>
          <w:color w:val="auto"/>
        </w:rPr>
        <w:t>” means a Person who is not a U.S. Person.</w:t>
      </w:r>
    </w:p>
    <w:p>
      <w:pPr>
        <w:spacing w:after="0" w:line="225"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 Guarantee</w:t>
      </w:r>
      <w:r>
        <w:rPr>
          <w:rFonts w:ascii="Times New Roman" w:cs="Times New Roman" w:eastAsia="Times New Roman" w:hAnsi="Times New Roman"/>
          <w:sz w:val="18"/>
          <w:szCs w:val="18"/>
          <w:color w:val="auto"/>
        </w:rPr>
        <w:t>” means any Guarantee of the obligations of the Issuer under this Indenture and the Notes by any Person in accordance with the provisions of this Indenture.</w:t>
      </w:r>
    </w:p>
    <w:p>
      <w:pPr>
        <w:spacing w:after="0" w:line="162" w:lineRule="exact"/>
        <w:rPr>
          <w:sz w:val="20"/>
          <w:szCs w:val="20"/>
          <w:color w:val="auto"/>
        </w:rPr>
      </w:pPr>
    </w:p>
    <w:p>
      <w:pPr>
        <w:ind w:righ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means the 5.875% Senior Notes due 2033 issued by the Issuer, including, without limitation, the Exchange Notes issued in exchange therefor and any Additional Notes, treated as a single class of securities, as amended from time to time in accordance with the terms hereof, that are issued pursuant to this Indenture.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Offering Memorandum</w:t>
      </w:r>
      <w:r>
        <w:rPr>
          <w:rFonts w:ascii="Times New Roman" w:cs="Times New Roman" w:eastAsia="Times New Roman" w:hAnsi="Times New Roman"/>
          <w:sz w:val="17"/>
          <w:szCs w:val="17"/>
          <w:color w:val="auto"/>
        </w:rPr>
        <w:t>” means the Offering Memorandum of the Issuer, dated May 12, 2025, relating to the offering of the Notes on the</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 Date.</w:t>
      </w:r>
    </w:p>
    <w:p>
      <w:pPr>
        <w:spacing w:after="0" w:line="207"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Officers</w:t>
      </w:r>
      <w:r>
        <w:rPr>
          <w:rFonts w:ascii="Times New Roman" w:cs="Times New Roman" w:eastAsia="Times New Roman" w:hAnsi="Times New Roman"/>
          <w:sz w:val="18"/>
          <w:szCs w:val="18"/>
          <w:color w:val="auto"/>
        </w:rPr>
        <w:t>” means, with respect to any Person, the Chairman, President, Chief Executive Officer, Chief Financial Officer, Treasurer, Controller, any Senior Vice President, any Vice President of such Person or any other authorized officer or director of such Person.</w:t>
      </w:r>
    </w:p>
    <w:p>
      <w:pPr>
        <w:spacing w:after="0" w:line="162" w:lineRule="exact"/>
        <w:rPr>
          <w:sz w:val="20"/>
          <w:szCs w:val="20"/>
          <w:color w:val="auto"/>
        </w:rPr>
      </w:pPr>
    </w:p>
    <w:p>
      <w:pPr>
        <w:jc w:val="both"/>
        <w:ind w:right="1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Officers’ Certificate</w:t>
      </w:r>
      <w:r>
        <w:rPr>
          <w:rFonts w:ascii="Times New Roman" w:cs="Times New Roman" w:eastAsia="Times New Roman" w:hAnsi="Times New Roman"/>
          <w:sz w:val="18"/>
          <w:szCs w:val="18"/>
          <w:color w:val="auto"/>
        </w:rPr>
        <w:t>” means, with respect to any Person, a certificate signed by the Chairman, President or Chief Executive Officer of such Person, or the equivalent thereof, and the Chief Financial Officer, Controller, Treasurer, any Senior Vice President or any Vice President of such Person, or the equivalent thereof, that shall comply with applicable provisions of this Indenture.</w:t>
      </w:r>
    </w:p>
    <w:p>
      <w:pPr>
        <w:spacing w:after="0" w:line="176" w:lineRule="exact"/>
        <w:rPr>
          <w:sz w:val="20"/>
          <w:szCs w:val="20"/>
          <w:color w:val="auto"/>
        </w:rPr>
      </w:pPr>
    </w:p>
    <w:p>
      <w:pPr>
        <w:jc w:val="both"/>
        <w:ind w:right="1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Opinion of Counsel</w:t>
      </w:r>
      <w:r>
        <w:rPr>
          <w:rFonts w:ascii="Times New Roman" w:cs="Times New Roman" w:eastAsia="Times New Roman" w:hAnsi="Times New Roman"/>
          <w:sz w:val="18"/>
          <w:szCs w:val="18"/>
          <w:color w:val="auto"/>
        </w:rPr>
        <w:t>” means a written opinion from legal counsel who is reasonably acceptable to the Trustee. Such counsel may be an employee of or counsel to Parent or any of its Subsidiaries.</w:t>
      </w:r>
    </w:p>
    <w:p>
      <w:pPr>
        <w:spacing w:after="0" w:line="162" w:lineRule="exact"/>
        <w:rPr>
          <w:sz w:val="20"/>
          <w:szCs w:val="20"/>
          <w:color w:val="auto"/>
        </w:rPr>
      </w:pPr>
    </w:p>
    <w:p>
      <w:pPr>
        <w:jc w:val="both"/>
        <w:ind w:right="1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Crown Holdings, Inc., a Pennsylvania corporation, until a successor replaces such party pursuant to Article Five of this Indenture and thereafter the successor.</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has the meaning set forth in Section 2.04.</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00"/>
          </w:cols>
          <w:pgMar w:left="440" w:top="270" w:right="559" w:bottom="1440" w:gutter="0" w:footer="0" w:header="0"/>
        </w:sectPr>
      </w:pPr>
    </w:p>
    <w:bookmarkStart w:id="24" w:name="page25"/>
    <w:bookmarkEnd w:id="24"/>
    <w:p>
      <w:pPr>
        <w:ind w:left="5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Payment Default</w:t>
      </w:r>
      <w:r>
        <w:rPr>
          <w:rFonts w:ascii="Times New Roman" w:cs="Times New Roman" w:eastAsia="Times New Roman" w:hAnsi="Times New Roman"/>
          <w:sz w:val="18"/>
          <w:szCs w:val="18"/>
          <w:color w:val="auto"/>
        </w:rPr>
        <w:t>” has the meaning set forth in Section 6.01.</w:t>
      </w:r>
    </w:p>
    <w:p>
      <w:pPr>
        <w:spacing w:after="0" w:line="225"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Holders</w:t>
      </w:r>
      <w:r>
        <w:rPr>
          <w:rFonts w:ascii="Times New Roman" w:cs="Times New Roman" w:eastAsia="Times New Roman" w:hAnsi="Times New Roman"/>
          <w:sz w:val="18"/>
          <w:szCs w:val="18"/>
          <w:color w:val="auto"/>
        </w:rPr>
        <w:t>” means collectively, the executive officers of Parent on the Issue Date.</w:t>
      </w:r>
    </w:p>
    <w:p>
      <w:pPr>
        <w:spacing w:after="0" w:line="225" w:lineRule="exact"/>
        <w:rPr>
          <w:sz w:val="20"/>
          <w:szCs w:val="20"/>
          <w:color w:val="auto"/>
        </w:rPr>
      </w:pPr>
    </w:p>
    <w:p>
      <w:pPr>
        <w:ind w:left="5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Permitted Liens</w:t>
      </w:r>
      <w:r>
        <w:rPr>
          <w:rFonts w:ascii="Times New Roman" w:cs="Times New Roman" w:eastAsia="Times New Roman" w:hAnsi="Times New Roman"/>
          <w:sz w:val="18"/>
          <w:szCs w:val="18"/>
          <w:color w:val="auto"/>
        </w:rPr>
        <w:t>” means:</w:t>
      </w:r>
    </w:p>
    <w:p>
      <w:pPr>
        <w:spacing w:after="0" w:line="117" w:lineRule="exact"/>
        <w:rPr>
          <w:sz w:val="20"/>
          <w:szCs w:val="20"/>
          <w:color w:val="auto"/>
        </w:rPr>
      </w:pPr>
    </w:p>
    <w:p>
      <w:pPr>
        <w:ind w:left="4" w:firstLine="419"/>
        <w:spacing w:after="0" w:line="258" w:lineRule="auto"/>
        <w:tabs>
          <w:tab w:leader="none" w:pos="68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on any Principal Property existing at the time of its acquisition and Liens created contemporaneously with or within 360 days after (or created pursuant to firm commitment financing arrangements obtained within that period) the later of (a) the acquisition or completion of construction or completion of substantial reconstruction, renovation, remodeling, expansion or improvement (each, a “</w:t>
      </w:r>
      <w:r>
        <w:rPr>
          <w:rFonts w:ascii="Times New Roman" w:cs="Times New Roman" w:eastAsia="Times New Roman" w:hAnsi="Times New Roman"/>
          <w:sz w:val="18"/>
          <w:szCs w:val="18"/>
          <w:u w:val="single" w:color="auto"/>
          <w:color w:val="auto"/>
        </w:rPr>
        <w:t>substantial improvement</w:t>
      </w:r>
      <w:r>
        <w:rPr>
          <w:rFonts w:ascii="Times New Roman" w:cs="Times New Roman" w:eastAsia="Times New Roman" w:hAnsi="Times New Roman"/>
          <w:sz w:val="18"/>
          <w:szCs w:val="18"/>
          <w:color w:val="auto"/>
        </w:rPr>
        <w:t>”) of such Principal Property or (b) the placing in operation of such Principal Property after the acquisition or completion of any such construction or substantial improvement;</w:t>
      </w:r>
    </w:p>
    <w:p>
      <w:pPr>
        <w:spacing w:after="0" w:line="75" w:lineRule="exact"/>
        <w:rPr>
          <w:rFonts w:ascii="Times New Roman" w:cs="Times New Roman" w:eastAsia="Times New Roman" w:hAnsi="Times New Roman"/>
          <w:sz w:val="18"/>
          <w:szCs w:val="18"/>
          <w:color w:val="auto"/>
        </w:rPr>
      </w:pPr>
    </w:p>
    <w:p>
      <w:pPr>
        <w:ind w:left="4" w:right="40" w:firstLine="419"/>
        <w:spacing w:after="0" w:line="270" w:lineRule="auto"/>
        <w:tabs>
          <w:tab w:leader="none" w:pos="681" w:val="left"/>
        </w:tabs>
        <w:numPr>
          <w:ilvl w:val="1"/>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Liens on property or assets or shares of Capital Stock or Indebtedness of a Person existing at the time it is merged, combined or amalgamated with or into or consolidated with, or its assets or Capital Stock are acquired by, Parent or any of its Subsidiaries or it otherwise becomes a Subsidiary of Parent,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in each case (a) the Indebtedness secured by such Lien was not incurred in contemplation of such merger, combination, amalgamation, consolidation, acquisition or transaction in which Person becomes a Subsidiary of Parent and</w:t>
      </w:r>
    </w:p>
    <w:p>
      <w:pPr>
        <w:spacing w:after="0" w:line="2" w:lineRule="exact"/>
        <w:rPr>
          <w:rFonts w:ascii="Times New Roman" w:cs="Times New Roman" w:eastAsia="Times New Roman" w:hAnsi="Times New Roman"/>
          <w:sz w:val="17"/>
          <w:szCs w:val="17"/>
          <w:color w:val="auto"/>
        </w:rPr>
      </w:pPr>
    </w:p>
    <w:p>
      <w:pPr>
        <w:ind w:left="4" w:right="40" w:hanging="4"/>
        <w:spacing w:after="0" w:line="260" w:lineRule="auto"/>
        <w:tabs>
          <w:tab w:leader="none" w:pos="25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Lien extends only to the Capital Stock and assets of such Person (and Subsidiaries of such Person) and/or to property other than Principal Property or the Capital Stock or Indebtedness of any Subsidiary of Parent;</w:t>
      </w:r>
    </w:p>
    <w:p>
      <w:pPr>
        <w:spacing w:after="0" w:line="73"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in favor of Parent and/or one or more of its Subsidiaries;</w:t>
      </w:r>
    </w:p>
    <w:p>
      <w:pPr>
        <w:spacing w:after="0" w:line="117" w:lineRule="exact"/>
        <w:rPr>
          <w:rFonts w:ascii="Times New Roman" w:cs="Times New Roman" w:eastAsia="Times New Roman" w:hAnsi="Times New Roman"/>
          <w:sz w:val="18"/>
          <w:szCs w:val="18"/>
          <w:color w:val="auto"/>
        </w:rPr>
      </w:pPr>
    </w:p>
    <w:p>
      <w:pPr>
        <w:ind w:left="4" w:right="40" w:firstLine="419"/>
        <w:spacing w:after="0" w:line="266" w:lineRule="auto"/>
        <w:tabs>
          <w:tab w:leader="none" w:pos="681"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favor of or required by a governmental unit in any relevant jurisdiction, including any departments or instrumentality thereof, to secure payments under any contract or statute, or to secure debts incurred in financing the acquisition or construction of or improvements or alterations to property subject thereto;</w:t>
      </w:r>
    </w:p>
    <w:p>
      <w:pPr>
        <w:spacing w:after="0" w:line="67" w:lineRule="exact"/>
        <w:rPr>
          <w:rFonts w:ascii="Times New Roman" w:cs="Times New Roman" w:eastAsia="Times New Roman" w:hAnsi="Times New Roman"/>
          <w:sz w:val="18"/>
          <w:szCs w:val="18"/>
          <w:color w:val="auto"/>
        </w:rPr>
      </w:pPr>
    </w:p>
    <w:p>
      <w:pPr>
        <w:ind w:left="4" w:right="20" w:firstLine="419"/>
        <w:spacing w:after="0" w:line="289" w:lineRule="auto"/>
        <w:tabs>
          <w:tab w:leader="none" w:pos="681" w:val="left"/>
        </w:tabs>
        <w:numPr>
          <w:ilvl w:val="1"/>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Liens in favor of any customer arising in respect of and not exceeding the amount of performance deposits and partial, progress, advance or other payments by that customer for goods produced or services rendered to that customer in the ordinary course of business and consignment arrangements (whether as consignor or as consignee) or similar arrangements for the sale or purchase of goods in the ordinary course of business;</w:t>
      </w:r>
    </w:p>
    <w:p>
      <w:pPr>
        <w:spacing w:after="0" w:line="49" w:lineRule="exact"/>
        <w:rPr>
          <w:rFonts w:ascii="Times New Roman" w:cs="Times New Roman" w:eastAsia="Times New Roman" w:hAnsi="Times New Roman"/>
          <w:sz w:val="17"/>
          <w:szCs w:val="17"/>
          <w:color w:val="auto"/>
        </w:rPr>
      </w:pPr>
    </w:p>
    <w:p>
      <w:pPr>
        <w:ind w:left="684" w:hanging="261"/>
        <w:spacing w:after="0"/>
        <w:tabs>
          <w:tab w:leader="none" w:pos="684"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existing on the date of this Indenture;</w:t>
      </w:r>
    </w:p>
    <w:p>
      <w:pPr>
        <w:spacing w:after="0" w:line="158"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564"/>
          </w:cols>
          <w:pgMar w:left="876" w:top="270" w:right="459" w:bottom="1440" w:gutter="0" w:footer="0" w:header="0"/>
        </w:sectPr>
      </w:pPr>
    </w:p>
    <w:bookmarkStart w:id="25" w:name="page26"/>
    <w:bookmarkEnd w:id="25"/>
    <w:p>
      <w:pPr>
        <w:ind w:left="4" w:right="440" w:firstLine="419"/>
        <w:spacing w:after="0" w:line="276" w:lineRule="auto"/>
        <w:tabs>
          <w:tab w:leader="none" w:pos="681" w:val="left"/>
        </w:tabs>
        <w:numPr>
          <w:ilvl w:val="1"/>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to secure any extension, renewal, refinancing, refunding or replacement (or successive extensions, renewals, refinancings, refundings or replacements), in whole or in part, of any Indebtedness secured by Liens referred to in clauses (1) through (6) above or clauses</w:t>
      </w:r>
    </w:p>
    <w:p>
      <w:pPr>
        <w:ind w:left="4" w:right="100" w:hanging="4"/>
        <w:spacing w:after="0" w:line="253" w:lineRule="auto"/>
        <w:tabs>
          <w:tab w:leader="none" w:pos="348"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(12) below or Liens created in connection with any amendment, consent or waiver relating to such Indebtedness, so long as (a) such Lien is limited to (i) all or part of substantially the same property which secured the Lien extended, renewed, refinanced, refunded or replaced and/or (ii) property other than Principal Property or the Capital Stock or Indebtedness of any Principal Property Subsidiary of Parent and (b) the amount of Indebtedness secured is not increased (other than by the amount equal to any costs, expenses, premiums, fees or prepayment penalties incurred in connection with any extension, renewal, refinancing, refunding or replacement);</w:t>
      </w:r>
    </w:p>
    <w:p>
      <w:pPr>
        <w:spacing w:after="0" w:line="78" w:lineRule="exact"/>
        <w:rPr>
          <w:rFonts w:ascii="Times New Roman" w:cs="Times New Roman" w:eastAsia="Times New Roman" w:hAnsi="Times New Roman"/>
          <w:sz w:val="18"/>
          <w:szCs w:val="18"/>
          <w:color w:val="auto"/>
        </w:rPr>
      </w:pPr>
    </w:p>
    <w:p>
      <w:pPr>
        <w:ind w:left="4" w:firstLine="419"/>
        <w:spacing w:after="0" w:line="266" w:lineRule="auto"/>
        <w:tabs>
          <w:tab w:leader="none" w:pos="68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respect of cash in connection with the operation of cash management programs and Liens associated with the discounting or sale of letters of credit and customary rights of set off, banker’s Lien, revocation, refund or chargeback or similar rights under deposit disbursement, concentration account agreements or under the Uniform Commercial Code or arising by operation of law;</w:t>
      </w:r>
    </w:p>
    <w:p>
      <w:pPr>
        <w:spacing w:after="0" w:line="67" w:lineRule="exact"/>
        <w:rPr>
          <w:rFonts w:ascii="Times New Roman" w:cs="Times New Roman" w:eastAsia="Times New Roman" w:hAnsi="Times New Roman"/>
          <w:sz w:val="18"/>
          <w:szCs w:val="18"/>
          <w:color w:val="auto"/>
        </w:rPr>
      </w:pPr>
    </w:p>
    <w:p>
      <w:pPr>
        <w:ind w:left="4" w:right="20" w:firstLine="419"/>
        <w:spacing w:after="0" w:line="282" w:lineRule="auto"/>
        <w:tabs>
          <w:tab w:leader="none" w:pos="68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resulting from the deposit of funds or evidences of Indebtedness in trust for the purpose of defeasing Indebtedness of Parent or any of its Restricted Subsidiaries, and legal or equitable encumbrances deemed to exist by reason of negative pledges;</w:t>
      </w:r>
    </w:p>
    <w:p>
      <w:pPr>
        <w:spacing w:after="0" w:line="53" w:lineRule="exact"/>
        <w:rPr>
          <w:rFonts w:ascii="Times New Roman" w:cs="Times New Roman" w:eastAsia="Times New Roman" w:hAnsi="Times New Roman"/>
          <w:sz w:val="18"/>
          <w:szCs w:val="18"/>
          <w:color w:val="auto"/>
        </w:rPr>
      </w:pPr>
    </w:p>
    <w:p>
      <w:pPr>
        <w:ind w:left="4" w:right="40" w:firstLine="419"/>
        <w:spacing w:after="0" w:line="282" w:lineRule="auto"/>
        <w:tabs>
          <w:tab w:leader="none" w:pos="77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in an aggregate principal amount not to exceed, as of the date of such Indebtedness is incurred, the amount that would cause the Consolidated Secured Leverage Ratio of Parent to be greater than 3.00 to 1.00 as of such date of incurrence;</w:t>
      </w:r>
    </w:p>
    <w:p>
      <w:pPr>
        <w:spacing w:after="0" w:line="53" w:lineRule="exact"/>
        <w:rPr>
          <w:rFonts w:ascii="Times New Roman" w:cs="Times New Roman" w:eastAsia="Times New Roman" w:hAnsi="Times New Roman"/>
          <w:sz w:val="18"/>
          <w:szCs w:val="18"/>
          <w:color w:val="auto"/>
        </w:rPr>
      </w:pPr>
    </w:p>
    <w:p>
      <w:pPr>
        <w:ind w:left="764" w:hanging="341"/>
        <w:spacing w:after="0"/>
        <w:tabs>
          <w:tab w:leader="none" w:pos="764"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or sales of receivables;</w:t>
      </w:r>
    </w:p>
    <w:p>
      <w:pPr>
        <w:spacing w:after="0" w:line="117" w:lineRule="exact"/>
        <w:rPr>
          <w:rFonts w:ascii="Times New Roman" w:cs="Times New Roman" w:eastAsia="Times New Roman" w:hAnsi="Times New Roman"/>
          <w:sz w:val="18"/>
          <w:szCs w:val="18"/>
          <w:color w:val="auto"/>
        </w:rPr>
      </w:pPr>
    </w:p>
    <w:p>
      <w:pPr>
        <w:ind w:left="4" w:right="40" w:firstLine="419"/>
        <w:spacing w:after="0" w:line="255" w:lineRule="auto"/>
        <w:tabs>
          <w:tab w:leader="none" w:pos="77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Liens, in addition to those permitted in clauses (1) through (11) above, securing Indebtedness having an aggregate principal amount (including all outstanding Indebtedness incurred pursuant to clause (7) above to extend, renew, refund, refinance, replace, defease or discharge any Indebtedness incurred pursuant to this clause (12)), measured as of the date of the incurrence of any such Indebtedness (after giving </w:t>
      </w:r>
      <w:r>
        <w:rPr>
          <w:rFonts w:ascii="Times New Roman" w:cs="Times New Roman" w:eastAsia="Times New Roman" w:hAnsi="Times New Roman"/>
          <w:sz w:val="18"/>
          <w:szCs w:val="18"/>
          <w:i w:val="1"/>
          <w:iCs w:val="1"/>
          <w:color w:val="auto"/>
        </w:rPr>
        <w:t xml:space="preserve">pro forma </w:t>
      </w:r>
      <w:r>
        <w:rPr>
          <w:rFonts w:ascii="Times New Roman" w:cs="Times New Roman" w:eastAsia="Times New Roman" w:hAnsi="Times New Roman"/>
          <w:sz w:val="18"/>
          <w:szCs w:val="18"/>
          <w:color w:val="auto"/>
        </w:rPr>
        <w:t>effect to the application of the proceeds therefrom), taken together with the amount of all Attributable Debt of Parent and its Restricted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Subsidiaries at that time outstanding relating to Sale and Leaseback Transactions permitted under Section 4.15, not to exceed 15% of the Consolidated Net Tangible Assets of Parent measured as of the date any such Indebtedness is incurred (after giving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to the application of the proceeds therefrom and any transaction in connection with which such Indebtedness is being incurred);</w:t>
      </w:r>
    </w:p>
    <w:p>
      <w:pPr>
        <w:spacing w:after="0" w:line="121"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0564"/>
          </w:cols>
          <w:pgMar w:left="876" w:top="270" w:right="459" w:bottom="1440" w:gutter="0" w:footer="0" w:header="0"/>
        </w:sectPr>
      </w:pPr>
    </w:p>
    <w:bookmarkStart w:id="26" w:name="page27"/>
    <w:bookmarkEnd w:id="26"/>
    <w:p>
      <w:pPr>
        <w:ind w:left="440" w:right="200" w:firstLine="419"/>
        <w:spacing w:after="0" w:line="266" w:lineRule="auto"/>
        <w:tabs>
          <w:tab w:leader="none" w:pos="12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landlords’, carriers’, warehousemen’s, mechanics’, suppliers’, materialmen’s or other like Liens, in any case incurred in the ordinary course of business with respect to amounts (a) not yet delinquent or (b) being contested in good faith by appropriate proceedings promptly instituted and diligently conducted;</w:t>
      </w:r>
    </w:p>
    <w:p>
      <w:pPr>
        <w:spacing w:after="0" w:line="67" w:lineRule="exact"/>
        <w:rPr>
          <w:rFonts w:ascii="Times New Roman" w:cs="Times New Roman" w:eastAsia="Times New Roman" w:hAnsi="Times New Roman"/>
          <w:sz w:val="18"/>
          <w:szCs w:val="18"/>
          <w:color w:val="auto"/>
        </w:rPr>
      </w:pPr>
    </w:p>
    <w:p>
      <w:pPr>
        <w:ind w:left="440" w:right="200" w:firstLine="419"/>
        <w:spacing w:after="0" w:line="266" w:lineRule="auto"/>
        <w:tabs>
          <w:tab w:leader="none" w:pos="12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for taxes, assessments or governmental charges or claims or other like statutory Liens, that (a) are not yet delinquent or (b) are being contested in good faith by appropriate proceedings promptly instituted and diligently concluded;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reserve or other appropriate provision as shall be required in conformity with GAAP shall have been made therefor;</w:t>
      </w:r>
    </w:p>
    <w:p>
      <w:pPr>
        <w:spacing w:after="0" w:line="67" w:lineRule="exact"/>
        <w:rPr>
          <w:rFonts w:ascii="Times New Roman" w:cs="Times New Roman" w:eastAsia="Times New Roman" w:hAnsi="Times New Roman"/>
          <w:sz w:val="18"/>
          <w:szCs w:val="18"/>
          <w:color w:val="auto"/>
        </w:rPr>
      </w:pPr>
    </w:p>
    <w:p>
      <w:pPr>
        <w:ind w:left="440" w:right="40" w:firstLine="419"/>
        <w:spacing w:after="0" w:line="256" w:lineRule="auto"/>
        <w:tabs>
          <w:tab w:leader="none" w:pos="12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Liens in the form of zoning restrictions, easements, licenses, reservations, covenants, conditions or other restrictions on the use of real property or other minor irregularities in title (including leasehold title) that do not (i) secure Indebtedness or (ii) in the aggregate materially impair the value or marketability of the real property affected thereby or the occupation, use and enjoyment in the ordinary course of business of Parent and the Restricted Subsidiaries at such real property and (b) with respect to leasehold interests in real property, mortgages, obligations, liens and other encumbrances incurred, created, assumed or permitted to exist and arising by, through or under a landlord or owner of such leased property encumbering the landlord’s or owner’s interest in such leased property;</w:t>
      </w:r>
    </w:p>
    <w:p>
      <w:pPr>
        <w:spacing w:after="0" w:line="79" w:lineRule="exact"/>
        <w:rPr>
          <w:rFonts w:ascii="Times New Roman" w:cs="Times New Roman" w:eastAsia="Times New Roman" w:hAnsi="Times New Roman"/>
          <w:sz w:val="18"/>
          <w:szCs w:val="18"/>
          <w:color w:val="auto"/>
        </w:rPr>
      </w:pPr>
    </w:p>
    <w:p>
      <w:pPr>
        <w:ind w:left="440" w:firstLine="419"/>
        <w:spacing w:after="0" w:line="261" w:lineRule="auto"/>
        <w:tabs>
          <w:tab w:leader="none" w:pos="12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the form of pledges or deposits securing bids, tenders, contracts (other than contracts for the payment of Indebtedness) or leases, warranties, statutory or regulatory obligations or self-insurance arrangements arising in the ordinary course of business, bankers’ acceptances, surety and appeal bonds, performance bonds and other obligations of a similar nature to which Parent or any Restricted Subsidiary is a party, in each case, made in the ordinary course of business;</w:t>
      </w:r>
    </w:p>
    <w:p>
      <w:pPr>
        <w:spacing w:after="0" w:line="71"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2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Hedging Obligations not entered into for speculative purposes or securing letters of credit that support such Hedging Obligations; and</w:t>
      </w:r>
    </w:p>
    <w:p>
      <w:pPr>
        <w:spacing w:after="0" w:line="53" w:lineRule="exact"/>
        <w:rPr>
          <w:rFonts w:ascii="Times New Roman" w:cs="Times New Roman" w:eastAsia="Times New Roman" w:hAnsi="Times New Roman"/>
          <w:sz w:val="18"/>
          <w:szCs w:val="18"/>
          <w:color w:val="auto"/>
        </w:rPr>
      </w:pPr>
    </w:p>
    <w:p>
      <w:pPr>
        <w:ind w:left="440" w:right="340" w:firstLine="419"/>
        <w:spacing w:after="0" w:line="282" w:lineRule="auto"/>
        <w:tabs>
          <w:tab w:leader="none" w:pos="120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resulting from operation of law with respect to any judgments, awards or orders to the extent that such judgments, awards or orders do not cause or constitute a Default under this Indenture.</w:t>
      </w:r>
    </w:p>
    <w:p>
      <w:pPr>
        <w:spacing w:after="0" w:line="162"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For purposes of clauses (10) and (12) above, (a) with respect to any revolving credit facility secured by a Lien, the full amount of Indebtedness that may be borrowed thereunder will deemed to be incurred at the time any revolving credit commitment thereunder is first extended or increased and will not be deemed to be incurred when such revolving credit facility is drawn upon and (b) if a Lien by Parent or any of its Restricted Subsidiaries is granted to secure Indebtedness that was previously unsecured, such Indebtedness will be deemed to be incurred as of the date such Indebtedness is secured.</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0940"/>
          </w:cols>
          <w:pgMar w:left="440" w:top="270" w:right="519" w:bottom="1440" w:gutter="0" w:footer="0" w:header="0"/>
        </w:sectPr>
      </w:pPr>
    </w:p>
    <w:bookmarkStart w:id="27" w:name="page28"/>
    <w:bookmarkEnd w:id="27"/>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means an individual, partnership, corporation, limited liability company, unincorporated organization, trust or joint venture, or a governmental agency or political subdivision thereof.</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Physical Notes</w:t>
      </w:r>
      <w:r>
        <w:rPr>
          <w:rFonts w:ascii="Times New Roman" w:cs="Times New Roman" w:eastAsia="Times New Roman" w:hAnsi="Times New Roman"/>
          <w:sz w:val="18"/>
          <w:szCs w:val="18"/>
          <w:color w:val="auto"/>
        </w:rPr>
        <w:t>” means certificated Notes in registered form.</w:t>
      </w:r>
    </w:p>
    <w:p>
      <w:pPr>
        <w:spacing w:after="0" w:line="225"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w:t>
      </w:r>
      <w:r>
        <w:rPr>
          <w:rFonts w:ascii="Times New Roman" w:cs="Times New Roman" w:eastAsia="Times New Roman" w:hAnsi="Times New Roman"/>
          <w:sz w:val="18"/>
          <w:szCs w:val="18"/>
          <w:color w:val="auto"/>
        </w:rPr>
        <w:t>” of a Note means the principal of the Note plus the premium, if any, payable on the Note which is due or overdue or is to become due at the relevant time.</w:t>
      </w:r>
    </w:p>
    <w:p>
      <w:pPr>
        <w:spacing w:after="0" w:line="162"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Property</w:t>
      </w:r>
      <w:r>
        <w:rPr>
          <w:rFonts w:ascii="Times New Roman" w:cs="Times New Roman" w:eastAsia="Times New Roman" w:hAnsi="Times New Roman"/>
          <w:sz w:val="18"/>
          <w:szCs w:val="18"/>
          <w:color w:val="auto"/>
        </w:rPr>
        <w:t>” means any manufacturing plant or manufacturing facility owned (excluding any equipment or personalty located therein) by Parent or any of its Subsidiaries located within the continental United States that has a net book value in excess of 1.5% of the Consolidated Net Tangible Assets of Parent. For purposes of this definition, net book value will be measured at the time the relevant Lien is being created, at the time the relevant secured Indebtedness is incurred or at the time the relevant Sale and Leaseback Transaction is entered into, as applicable.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Principal Property Subsidiary</w:t>
      </w:r>
      <w:r>
        <w:rPr>
          <w:rFonts w:ascii="Times New Roman" w:cs="Times New Roman" w:eastAsia="Times New Roman" w:hAnsi="Times New Roman"/>
          <w:sz w:val="18"/>
          <w:szCs w:val="18"/>
          <w:color w:val="auto"/>
        </w:rPr>
        <w:t>” means any Subsidiary that owns, operates or leases one or more Principal Properties.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Private Placement Legend</w:t>
      </w:r>
      <w:r>
        <w:rPr>
          <w:rFonts w:ascii="Times New Roman" w:cs="Times New Roman" w:eastAsia="Times New Roman" w:hAnsi="Times New Roman"/>
          <w:sz w:val="18"/>
          <w:szCs w:val="18"/>
          <w:color w:val="auto"/>
        </w:rPr>
        <w:t xml:space="preserve">” means the legend substantially in the form set forth in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Qualified Institutional Buyer</w:t>
      </w:r>
      <w:r>
        <w:rPr>
          <w:rFonts w:ascii="Times New Roman" w:cs="Times New Roman" w:eastAsia="Times New Roman" w:hAnsi="Times New Roman"/>
          <w:sz w:val="18"/>
          <w:szCs w:val="18"/>
          <w:color w:val="auto"/>
        </w:rPr>
        <w:t>” shall have the meaning specified in Rule 144A promulgated under the Securities Act.</w:t>
      </w:r>
    </w:p>
    <w:p>
      <w:pPr>
        <w:spacing w:after="0" w:line="225" w:lineRule="exact"/>
        <w:rPr>
          <w:sz w:val="20"/>
          <w:szCs w:val="20"/>
          <w:color w:val="auto"/>
        </w:rPr>
      </w:pPr>
    </w:p>
    <w:p>
      <w:pPr>
        <w:ind w:right="80" w:firstLine="991"/>
        <w:spacing w:after="0" w:line="289"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Rating Agency</w:t>
      </w:r>
      <w:r>
        <w:rPr>
          <w:rFonts w:ascii="Times New Roman" w:cs="Times New Roman" w:eastAsia="Times New Roman" w:hAnsi="Times New Roman"/>
          <w:sz w:val="17"/>
          <w:szCs w:val="17"/>
          <w:color w:val="auto"/>
        </w:rPr>
        <w:t>” means (1) each of Moody’s and S&amp;P and (2) if either Moody’s or S&amp;P ceases to rate the Notes or fails to make a rating of the Notes publicly available for reasons outside of Parent’s control, a “nationally recognized statistical rating organization” within the meaning of Rule 15c3-1(c)(2)(vi)(F) under the Exchange Act, selected by Parent as a replacement agency for Moody’s or S&amp;P, or both, as the case may be.</w:t>
      </w:r>
    </w:p>
    <w:p>
      <w:pPr>
        <w:spacing w:after="0" w:line="158" w:lineRule="exact"/>
        <w:rPr>
          <w:sz w:val="20"/>
          <w:szCs w:val="20"/>
          <w:color w:val="auto"/>
        </w:rPr>
      </w:pPr>
    </w:p>
    <w:p>
      <w:pPr>
        <w:ind w:right="40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 Date</w:t>
      </w:r>
      <w:r>
        <w:rPr>
          <w:rFonts w:ascii="Times New Roman" w:cs="Times New Roman" w:eastAsia="Times New Roman" w:hAnsi="Times New Roman"/>
          <w:sz w:val="18"/>
          <w:szCs w:val="18"/>
          <w:color w:val="auto"/>
        </w:rPr>
        <w:t>” means the date that is 60 days prior to the earlier of (a) a Change of Control or (b) public notice of the occurrence of a Change of Control or the intention by Parent to effect a Change of Control.</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Ratings Event</w:t>
      </w:r>
      <w:r>
        <w:rPr>
          <w:rFonts w:ascii="Times New Roman" w:cs="Times New Roman" w:eastAsia="Times New Roman" w:hAnsi="Times New Roman"/>
          <w:sz w:val="18"/>
          <w:szCs w:val="18"/>
          <w:color w:val="auto"/>
        </w:rPr>
        <w:t>” means the occurrence of the events described in (1) or (2) of this definition on, or within 60 days of the earlier of, (i) the occurrence of a Change of Control or (ii) public notice of the occurrence of a Change of Control or the intention by Parent to effect a Change of Control (which period shall be extended so long as the rating of the Notes is under publicly announced consideration for a possible downgrade by any of the Rating Agencies):</w:t>
      </w:r>
    </w:p>
    <w:p>
      <w:pPr>
        <w:spacing w:after="0" w:line="72" w:lineRule="exact"/>
        <w:rPr>
          <w:sz w:val="20"/>
          <w:szCs w:val="20"/>
          <w:color w:val="auto"/>
        </w:rPr>
      </w:pPr>
    </w:p>
    <w:p>
      <w:pPr>
        <w:ind w:right="20" w:firstLine="987"/>
        <w:spacing w:after="0" w:line="282" w:lineRule="auto"/>
        <w:tabs>
          <w:tab w:leader="none" w:pos="124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Notes are rated by one or both Rating Agencies on the Rating Date as Investment Grade, the rating of the Notes shall be reduced so that the Notes are rated below Investment Grade by both Rating Agencies; or</w:t>
      </w:r>
    </w:p>
    <w:p>
      <w:pPr>
        <w:spacing w:after="0" w:line="9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0940"/>
          </w:cols>
          <w:pgMar w:left="440" w:top="270" w:right="519" w:bottom="1440" w:gutter="0" w:footer="0" w:header="0"/>
        </w:sectPr>
      </w:pPr>
    </w:p>
    <w:bookmarkStart w:id="28" w:name="page29"/>
    <w:bookmarkEnd w:id="28"/>
    <w:p>
      <w:pPr>
        <w:ind w:right="180" w:firstLine="987"/>
        <w:spacing w:after="0" w:line="282" w:lineRule="auto"/>
        <w:tabs>
          <w:tab w:leader="none" w:pos="124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the Notes are rated below Investment Grade by both Rating Agencies on the Rating Date, the rating of the Notes shall remain rated below Investment Grade by both Rating Agencies.</w:t>
      </w:r>
    </w:p>
    <w:p>
      <w:pPr>
        <w:spacing w:after="0" w:line="162"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Redemption Date</w:t>
      </w:r>
      <w:r>
        <w:rPr>
          <w:rFonts w:ascii="Times New Roman" w:cs="Times New Roman" w:eastAsia="Times New Roman" w:hAnsi="Times New Roman"/>
          <w:sz w:val="18"/>
          <w:szCs w:val="18"/>
          <w:color w:val="auto"/>
        </w:rPr>
        <w:t>” when used with respect to any Note to be redeemed pursuant to paragraph 5 of the Notes means the date fixed for such redemption pursuant to the terms of this Indenture and the Notes.</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Registrar</w:t>
      </w:r>
      <w:r>
        <w:rPr>
          <w:rFonts w:ascii="Times New Roman" w:cs="Times New Roman" w:eastAsia="Times New Roman" w:hAnsi="Times New Roman"/>
          <w:sz w:val="18"/>
          <w:szCs w:val="18"/>
          <w:color w:val="auto"/>
        </w:rPr>
        <w:t>” has the meaning set forth in Section 2.04.</w:t>
      </w:r>
    </w:p>
    <w:p>
      <w:pPr>
        <w:spacing w:after="0" w:line="225" w:lineRule="exact"/>
        <w:rPr>
          <w:sz w:val="20"/>
          <w:szCs w:val="20"/>
          <w:color w:val="auto"/>
        </w:rPr>
      </w:pPr>
    </w:p>
    <w:p>
      <w:pPr>
        <w:ind w:right="2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means the registration rights agreement dated May 27, 2025 among the Issuer, the Guarantors and the representative to the Initial Purchasers party thereto relating to the Notes issued on the Issue Date.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S</w:t>
      </w:r>
      <w:r>
        <w:rPr>
          <w:rFonts w:ascii="Times New Roman" w:cs="Times New Roman" w:eastAsia="Times New Roman" w:hAnsi="Times New Roman"/>
          <w:sz w:val="18"/>
          <w:szCs w:val="18"/>
          <w:color w:val="auto"/>
        </w:rPr>
        <w:t>” means Regulation S promulgated under the Securities Act.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S Global Note</w:t>
      </w:r>
      <w:r>
        <w:rPr>
          <w:rFonts w:ascii="Times New Roman" w:cs="Times New Roman" w:eastAsia="Times New Roman" w:hAnsi="Times New Roman"/>
          <w:sz w:val="18"/>
          <w:szCs w:val="18"/>
          <w:color w:val="auto"/>
        </w:rPr>
        <w:t>” has the meaning set forth in Section 2.16.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S Legend</w:t>
      </w:r>
      <w:r>
        <w:rPr>
          <w:rFonts w:ascii="Times New Roman" w:cs="Times New Roman" w:eastAsia="Times New Roman" w:hAnsi="Times New Roman"/>
          <w:sz w:val="18"/>
          <w:szCs w:val="18"/>
          <w:color w:val="auto"/>
        </w:rPr>
        <w:t>” means the legend substantially in the form set forth in Exhibit 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Regulation S Notes</w:t>
      </w:r>
      <w:r>
        <w:rPr>
          <w:rFonts w:ascii="Times New Roman" w:cs="Times New Roman" w:eastAsia="Times New Roman" w:hAnsi="Times New Roman"/>
          <w:sz w:val="18"/>
          <w:szCs w:val="18"/>
          <w:color w:val="auto"/>
        </w:rPr>
        <w:t>” has the meaning set forth in Section 2.02.</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Responsible Officer</w:t>
      </w:r>
      <w:r>
        <w:rPr>
          <w:rFonts w:ascii="Times New Roman" w:cs="Times New Roman" w:eastAsia="Times New Roman" w:hAnsi="Times New Roman"/>
          <w:sz w:val="18"/>
          <w:szCs w:val="18"/>
          <w:color w:val="auto"/>
        </w:rPr>
        <w:t>” means, when used with respect to the Trustee, any officer in the corporate trust department of the Trustee (or any officer of the Trust Company (as herein defined), if the Trust Company becomes the successor to the Trustee) including any vice president, assistant vice president or any other officer of the Trustee who customarily performs functions similar to those performed by the Persons who at the time shall be such officers, respectively, and to whom any corporate trust matter is referred because of such officer’s knowledge of and familiarity with the particular subject, in each case having direct responsibility for the administration of this Indenture.</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Global Note</w:t>
      </w:r>
      <w:r>
        <w:rPr>
          <w:rFonts w:ascii="Times New Roman" w:cs="Times New Roman" w:eastAsia="Times New Roman" w:hAnsi="Times New Roman"/>
          <w:sz w:val="18"/>
          <w:szCs w:val="18"/>
          <w:color w:val="auto"/>
        </w:rPr>
        <w:t>” means a Global Note that is a Restricted Note.</w:t>
      </w:r>
    </w:p>
    <w:p>
      <w:pPr>
        <w:spacing w:after="0" w:line="223" w:lineRule="exact"/>
        <w:rPr>
          <w:sz w:val="20"/>
          <w:szCs w:val="20"/>
          <w:color w:val="auto"/>
        </w:rPr>
      </w:pPr>
    </w:p>
    <w:p>
      <w:pPr>
        <w:ind w:right="20" w:firstLine="991"/>
        <w:spacing w:after="0" w:line="26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Note</w:t>
      </w:r>
      <w:r>
        <w:rPr>
          <w:rFonts w:ascii="Times New Roman" w:cs="Times New Roman" w:eastAsia="Times New Roman" w:hAnsi="Times New Roman"/>
          <w:sz w:val="18"/>
          <w:szCs w:val="18"/>
          <w:color w:val="auto"/>
        </w:rPr>
        <w:t xml:space="preserve">” has the same meaning as “restricted security” set forth in Rule 144(a)(3) promulgated under the Securities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Trustee shall be entitled to request (at the expense of the Company) and conclusively rely upon an Opinion of Counsel with respect to whether any Note is a Restricted Note.</w:t>
      </w:r>
    </w:p>
    <w:p>
      <w:pPr>
        <w:spacing w:after="0" w:line="17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has the meaning set forth in Section 2.17.</w:t>
      </w:r>
    </w:p>
    <w:p>
      <w:pPr>
        <w:spacing w:after="0" w:line="15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00"/>
          </w:cols>
          <w:pgMar w:left="440" w:top="270" w:right="459" w:bottom="1440" w:gutter="0" w:footer="0" w:header="0"/>
        </w:sectPr>
      </w:pPr>
    </w:p>
    <w:bookmarkStart w:id="29" w:name="page30"/>
    <w:bookmarkEnd w:id="29"/>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Restricted Physical Note</w:t>
      </w:r>
      <w:r>
        <w:rPr>
          <w:rFonts w:ascii="Times New Roman" w:cs="Times New Roman" w:eastAsia="Times New Roman" w:hAnsi="Times New Roman"/>
          <w:sz w:val="18"/>
          <w:szCs w:val="18"/>
          <w:color w:val="auto"/>
        </w:rPr>
        <w:t>” means a Physical Note that is a Restricted Note.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Subsidiary</w:t>
      </w:r>
      <w:r>
        <w:rPr>
          <w:rFonts w:ascii="Times New Roman" w:cs="Times New Roman" w:eastAsia="Times New Roman" w:hAnsi="Times New Roman"/>
          <w:sz w:val="18"/>
          <w:szCs w:val="18"/>
          <w:color w:val="auto"/>
        </w:rPr>
        <w:t>” means a Subsidiary which is organized under the laws of the United States or any State thereof or the District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Columbia.</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w:t>
      </w:r>
      <w:r>
        <w:rPr>
          <w:rFonts w:ascii="Times New Roman" w:cs="Times New Roman" w:eastAsia="Times New Roman" w:hAnsi="Times New Roman"/>
          <w:sz w:val="18"/>
          <w:szCs w:val="18"/>
          <w:color w:val="auto"/>
        </w:rPr>
        <w:t>” means Rule 144 promulgated under the Securities Act.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144A</w:t>
      </w:r>
      <w:r>
        <w:rPr>
          <w:rFonts w:ascii="Times New Roman" w:cs="Times New Roman" w:eastAsia="Times New Roman" w:hAnsi="Times New Roman"/>
          <w:sz w:val="18"/>
          <w:szCs w:val="18"/>
          <w:color w:val="auto"/>
        </w:rPr>
        <w:t>” means Rule 144A promulgated under the Securities Act.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144A Global Note</w:t>
      </w:r>
      <w:r>
        <w:rPr>
          <w:rFonts w:ascii="Times New Roman" w:cs="Times New Roman" w:eastAsia="Times New Roman" w:hAnsi="Times New Roman"/>
          <w:sz w:val="18"/>
          <w:szCs w:val="18"/>
          <w:color w:val="auto"/>
        </w:rPr>
        <w:t>” has the meaning set forth in Section 2.16.</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144A Notes</w:t>
      </w:r>
      <w:r>
        <w:rPr>
          <w:rFonts w:ascii="Times New Roman" w:cs="Times New Roman" w:eastAsia="Times New Roman" w:hAnsi="Times New Roman"/>
          <w:sz w:val="18"/>
          <w:szCs w:val="18"/>
          <w:color w:val="auto"/>
        </w:rPr>
        <w:t>” has the meaning set forth in Section 2.02.</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S&amp;P</w:t>
      </w:r>
      <w:r>
        <w:rPr>
          <w:rFonts w:ascii="Times New Roman" w:cs="Times New Roman" w:eastAsia="Times New Roman" w:hAnsi="Times New Roman"/>
          <w:sz w:val="18"/>
          <w:szCs w:val="18"/>
          <w:color w:val="auto"/>
        </w:rPr>
        <w:t>” means Standard &amp; Poor’s Ratings Services, a division of the McGraw Hill Corporation, Inc., and its successors.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Sale and Leaseback Transaction</w:t>
      </w:r>
      <w:r>
        <w:rPr>
          <w:rFonts w:ascii="Times New Roman" w:cs="Times New Roman" w:eastAsia="Times New Roman" w:hAnsi="Times New Roman"/>
          <w:sz w:val="18"/>
          <w:szCs w:val="18"/>
          <w:color w:val="auto"/>
        </w:rPr>
        <w:t>” has the meaning set forth in Section 4.15.</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Securities Act</w:t>
      </w:r>
      <w:r>
        <w:rPr>
          <w:rFonts w:ascii="Times New Roman" w:cs="Times New Roman" w:eastAsia="Times New Roman" w:hAnsi="Times New Roman"/>
          <w:sz w:val="17"/>
          <w:szCs w:val="17"/>
          <w:color w:val="auto"/>
        </w:rPr>
        <w:t>” means the Securities Act of 1933, as amended, and the rules and regulations of the Commission promulgated thereunder.</w:t>
      </w:r>
    </w:p>
    <w:p>
      <w:pPr>
        <w:spacing w:after="0" w:line="237"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Significant Subsidiary</w:t>
      </w:r>
      <w:r>
        <w:rPr>
          <w:rFonts w:ascii="Times New Roman" w:cs="Times New Roman" w:eastAsia="Times New Roman" w:hAnsi="Times New Roman"/>
          <w:sz w:val="18"/>
          <w:szCs w:val="18"/>
          <w:color w:val="auto"/>
        </w:rPr>
        <w:t>” means any Subsidiary that would be a “significant subsidiary” as defined in Article 1, Rule 1-02 of Regulation S-X, promulgated pursuant to the Securities Act, as such Regulation is in effect on the Issue Date.</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with respect to any Person:</w:t>
      </w:r>
    </w:p>
    <w:p>
      <w:pPr>
        <w:spacing w:after="0" w:line="117" w:lineRule="exact"/>
        <w:rPr>
          <w:sz w:val="20"/>
          <w:szCs w:val="20"/>
          <w:color w:val="auto"/>
        </w:rPr>
      </w:pPr>
    </w:p>
    <w:p>
      <w:pPr>
        <w:ind w:left="440" w:right="40" w:firstLine="419"/>
        <w:spacing w:after="0" w:line="312" w:lineRule="auto"/>
        <w:tabs>
          <w:tab w:leader="none" w:pos="1118" w:val="left"/>
        </w:tabs>
        <w:numPr>
          <w:ilvl w:val="1"/>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corporation, association or other business entity of which more than 50% of the total voting power of Voting Stock is at the time owned or controlled, directly or indirectly, by such Person or one or more of the other Subsidiaries of that Person (or a combination thereof); and</w:t>
      </w:r>
    </w:p>
    <w:p>
      <w:pPr>
        <w:spacing w:after="0" w:line="139" w:lineRule="exact"/>
        <w:rPr>
          <w:rFonts w:ascii="Times New Roman" w:cs="Times New Roman" w:eastAsia="Times New Roman" w:hAnsi="Times New Roman"/>
          <w:sz w:val="17"/>
          <w:szCs w:val="17"/>
          <w:color w:val="auto"/>
        </w:rPr>
      </w:pPr>
    </w:p>
    <w:p>
      <w:pPr>
        <w:ind w:left="1120" w:hanging="261"/>
        <w:spacing w:after="0"/>
        <w:tabs>
          <w:tab w:leader="none" w:pos="112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partnership (a) the sole general partner or the managing general partner of which is such Person or a Subsidiary of such Person or</w:t>
      </w:r>
    </w:p>
    <w:p>
      <w:pPr>
        <w:spacing w:after="0" w:line="2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only general partners of which are such Person or one or more Subsidiaries of such Person (or any combination thereof).</w:t>
      </w:r>
    </w:p>
    <w:p>
      <w:pPr>
        <w:spacing w:after="0" w:line="207"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TIA</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Trust Indenture Act</w:t>
      </w:r>
      <w:r>
        <w:rPr>
          <w:rFonts w:ascii="Times New Roman" w:cs="Times New Roman" w:eastAsia="Times New Roman" w:hAnsi="Times New Roman"/>
          <w:sz w:val="18"/>
          <w:szCs w:val="18"/>
          <w:color w:val="auto"/>
        </w:rPr>
        <w:t>” means the Trust Indenture Act of 1939 (15 U.S. Code §§ 77aaa-77bbbb) as in effect on the date of this Indenture (except as provided in Section 8.03).</w:t>
      </w:r>
    </w:p>
    <w:p>
      <w:pPr>
        <w:spacing w:after="0" w:line="162"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means to sell, assign, transfer, lease (other than pursuant to an operating lease entered into in the ordinary course of business), convey or otherwise dispose of, including by Sale and Leaseback Transaction, consolidation, merger, liquidation, dissolution or otherwise, in one transaction or a series of transactions.</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900"/>
          </w:cols>
          <w:pgMar w:left="440" w:top="270" w:right="559" w:bottom="1440" w:gutter="0" w:footer="0" w:header="0"/>
        </w:sectPr>
      </w:pPr>
    </w:p>
    <w:bookmarkStart w:id="30" w:name="page31"/>
    <w:bookmarkEnd w:id="30"/>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means the party named as such in this Indenture until a successor replaces it pursuant to this Indenture and thereafter means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successor.</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Global Note</w:t>
      </w:r>
      <w:r>
        <w:rPr>
          <w:rFonts w:ascii="Times New Roman" w:cs="Times New Roman" w:eastAsia="Times New Roman" w:hAnsi="Times New Roman"/>
          <w:sz w:val="18"/>
          <w:szCs w:val="18"/>
          <w:color w:val="auto"/>
        </w:rPr>
        <w:t>” means a Global Note that is not a Restricted Note.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Notes</w:t>
      </w:r>
      <w:r>
        <w:rPr>
          <w:rFonts w:ascii="Times New Roman" w:cs="Times New Roman" w:eastAsia="Times New Roman" w:hAnsi="Times New Roman"/>
          <w:sz w:val="18"/>
          <w:szCs w:val="18"/>
          <w:color w:val="auto"/>
        </w:rPr>
        <w:t>” means Notes that are not Restricted Notes.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Physical Note</w:t>
      </w:r>
      <w:r>
        <w:rPr>
          <w:rFonts w:ascii="Times New Roman" w:cs="Times New Roman" w:eastAsia="Times New Roman" w:hAnsi="Times New Roman"/>
          <w:sz w:val="18"/>
          <w:szCs w:val="18"/>
          <w:color w:val="auto"/>
        </w:rPr>
        <w:t>” means a Physical Note that is not a Restricted Note.</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Government Obligations</w:t>
      </w:r>
      <w:r>
        <w:rPr>
          <w:rFonts w:ascii="Times New Roman" w:cs="Times New Roman" w:eastAsia="Times New Roman" w:hAnsi="Times New Roman"/>
          <w:sz w:val="18"/>
          <w:szCs w:val="18"/>
          <w:color w:val="auto"/>
        </w:rPr>
        <w:t>” means marketable direct obligations issued by, or unconditionally guaranteed by, the United States Government or issued by any agency or instrumentality thereof and backed by the full faith and credit of the United States of America that, in each case, mature within one year from the date of acquisition thereof and are not callable or redeemable at the option of the issuer thereof.</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U.S. Person</w:t>
      </w:r>
      <w:r>
        <w:rPr>
          <w:rFonts w:ascii="Times New Roman" w:cs="Times New Roman" w:eastAsia="Times New Roman" w:hAnsi="Times New Roman"/>
          <w:sz w:val="18"/>
          <w:szCs w:val="18"/>
          <w:color w:val="auto"/>
        </w:rPr>
        <w:t>” means a “U.S. person” as defined in Rule 902(k) under the Securities Act.</w:t>
      </w:r>
    </w:p>
    <w:p>
      <w:pPr>
        <w:spacing w:after="0" w:line="225" w:lineRule="exact"/>
        <w:rPr>
          <w:sz w:val="20"/>
          <w:szCs w:val="20"/>
          <w:color w:val="auto"/>
        </w:rPr>
      </w:pPr>
    </w:p>
    <w:p>
      <w:pPr>
        <w:jc w:val="both"/>
        <w:ind w:right="2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Voting Stock</w:t>
      </w:r>
      <w:r>
        <w:rPr>
          <w:rFonts w:ascii="Times New Roman" w:cs="Times New Roman" w:eastAsia="Times New Roman" w:hAnsi="Times New Roman"/>
          <w:sz w:val="18"/>
          <w:szCs w:val="18"/>
          <w:color w:val="auto"/>
        </w:rPr>
        <w:t>” means any class or classes of Capital Stock pursuant to which the holders thereof have power to vote in the election of directors, managers or trustees of any Person (irrespective of whether or not, at the time, stock of any other class or classes shall have, or might have, voting power by reason of the happening of any contingency).</w:t>
      </w:r>
    </w:p>
    <w:p>
      <w:pPr>
        <w:spacing w:after="0" w:line="176"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Wholly Owned Subsidiary</w:t>
      </w:r>
      <w:r>
        <w:rPr>
          <w:rFonts w:ascii="Times New Roman" w:cs="Times New Roman" w:eastAsia="Times New Roman" w:hAnsi="Times New Roman"/>
          <w:sz w:val="18"/>
          <w:szCs w:val="18"/>
          <w:color w:val="auto"/>
        </w:rPr>
        <w:t>” of any Person means a Subsidiary of such Person all of the outstanding Capital Stock or other ownership interests of which (other than directors’ qualifying shares) shall at the time be owned by such Person or by one or more Wholly Owned Subsidiaries of such Person or by such Person and one or more Wholly Owned Subsidiaries of such Person.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Incorporation by Reference of Trust Indenture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80" w:firstLine="991"/>
        <w:spacing w:after="0" w:line="266" w:lineRule="auto"/>
        <w:rPr>
          <w:sz w:val="20"/>
          <w:szCs w:val="20"/>
          <w:color w:val="auto"/>
        </w:rPr>
      </w:pPr>
      <w:r>
        <w:rPr>
          <w:rFonts w:ascii="Times New Roman" w:cs="Times New Roman" w:eastAsia="Times New Roman" w:hAnsi="Times New Roman"/>
          <w:sz w:val="18"/>
          <w:szCs w:val="18"/>
          <w:color w:val="auto"/>
        </w:rPr>
        <w:t>Whenever this Indenture refers to a provision of the TIA, the portion of such provision required to be incorporated herein in order for this Indenture to be qualified under the TIA is incorporated by reference in and made a part of this Indenture. All other terms used in this Indenture that are defined by the TIA, defined in the TIA by reference to another statute or defined by Commission rule have the meanings therein assigned to them.</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0980"/>
          </w:cols>
          <w:pgMar w:left="440" w:top="270" w:right="4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1.03.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Unless the context otherwise requires:</w:t>
      </w:r>
    </w:p>
    <w:p>
      <w:pPr>
        <w:spacing w:after="0" w:line="117" w:lineRule="exact"/>
        <w:rPr>
          <w:sz w:val="20"/>
          <w:szCs w:val="20"/>
          <w:color w:val="auto"/>
        </w:rPr>
      </w:pPr>
    </w:p>
    <w:p>
      <w:pPr>
        <w:ind w:left="1640" w:hanging="252"/>
        <w:spacing w:after="0"/>
        <w:tabs>
          <w:tab w:leader="none" w:pos="1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term has the meaning assigned to it herein, whether defined expressly or by reference;</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 is not exclusive;</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in the singular include the plural, and in the plural include the singular;</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used herein implying any gender shall apply to both genders;</w:t>
      </w:r>
    </w:p>
    <w:p>
      <w:pPr>
        <w:spacing w:after="0" w:line="117" w:lineRule="exact"/>
        <w:rPr>
          <w:rFonts w:ascii="Times New Roman" w:cs="Times New Roman" w:eastAsia="Times New Roman" w:hAnsi="Times New Roman"/>
          <w:sz w:val="18"/>
          <w:szCs w:val="18"/>
          <w:color w:val="auto"/>
        </w:rPr>
      </w:pPr>
    </w:p>
    <w:p>
      <w:pPr>
        <w:ind w:left="980" w:right="160" w:firstLine="408"/>
        <w:spacing w:after="0" w:line="282" w:lineRule="auto"/>
        <w:tabs>
          <w:tab w:leader="none" w:pos="16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“herein,” “hereof” and other words of similar import refer to this Indenture as a whole and not to any particular Article, Section or other subsection;</w:t>
      </w:r>
    </w:p>
    <w:p>
      <w:pPr>
        <w:spacing w:after="0" w:line="53" w:lineRule="exact"/>
        <w:rPr>
          <w:rFonts w:ascii="Times New Roman" w:cs="Times New Roman" w:eastAsia="Times New Roman" w:hAnsi="Times New Roman"/>
          <w:sz w:val="18"/>
          <w:szCs w:val="18"/>
          <w:color w:val="auto"/>
        </w:rPr>
      </w:pPr>
    </w:p>
    <w:p>
      <w:pPr>
        <w:ind w:left="980" w:right="120" w:firstLine="408"/>
        <w:spacing w:after="0" w:line="282" w:lineRule="auto"/>
        <w:tabs>
          <w:tab w:leader="none" w:pos="16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specified herein, all accounting terms used herein shall be interpreted, all accounting determinations hereunder shall be made, and all financial statements required to be delivered hereunder shall be prepared in accordance with GAAP;</w:t>
      </w:r>
    </w:p>
    <w:p>
      <w:pPr>
        <w:spacing w:after="0" w:line="53" w:lineRule="exact"/>
        <w:rPr>
          <w:rFonts w:ascii="Times New Roman" w:cs="Times New Roman" w:eastAsia="Times New Roman" w:hAnsi="Times New Roman"/>
          <w:sz w:val="18"/>
          <w:szCs w:val="18"/>
          <w:color w:val="auto"/>
        </w:rPr>
      </w:pPr>
    </w:p>
    <w:p>
      <w:pPr>
        <w:ind w:left="980" w:firstLine="408"/>
        <w:spacing w:after="0" w:line="282" w:lineRule="auto"/>
        <w:tabs>
          <w:tab w:leader="none" w:pos="163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and “U.S. Dollars” each refer to United States dollars, or such other money of the United States of America that at the time of payment is legal tender for payment of public and private debts;</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“will” shall be interpreted to express a command; and</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means including without limitation.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TWO</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Amount of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991"/>
        <w:spacing w:after="0" w:line="256" w:lineRule="auto"/>
        <w:rPr>
          <w:sz w:val="20"/>
          <w:szCs w:val="20"/>
          <w:color w:val="auto"/>
        </w:rPr>
      </w:pPr>
      <w:r>
        <w:rPr>
          <w:rFonts w:ascii="Times New Roman" w:cs="Times New Roman" w:eastAsia="Times New Roman" w:hAnsi="Times New Roman"/>
          <w:sz w:val="18"/>
          <w:szCs w:val="18"/>
          <w:color w:val="auto"/>
        </w:rPr>
        <w:t>The Trustee shall initially authenticate $700,000,000 aggregate principal amount of Notes for original issue on the Issue Date upon a written order of the Issuer in the form of an Officers’ Certificate of the Issuer (other than as provided in Section 2.08). The Trustee shall authenticate additional Notes (“</w:t>
      </w:r>
      <w:r>
        <w:rPr>
          <w:rFonts w:ascii="Times New Roman" w:cs="Times New Roman" w:eastAsia="Times New Roman" w:hAnsi="Times New Roman"/>
          <w:sz w:val="18"/>
          <w:szCs w:val="18"/>
          <w:u w:val="single" w:color="auto"/>
          <w:color w:val="auto"/>
        </w:rPr>
        <w:t>Additional Notes</w:t>
      </w:r>
      <w:r>
        <w:rPr>
          <w:rFonts w:ascii="Times New Roman" w:cs="Times New Roman" w:eastAsia="Times New Roman" w:hAnsi="Times New Roman"/>
          <w:sz w:val="18"/>
          <w:szCs w:val="18"/>
          <w:color w:val="auto"/>
        </w:rPr>
        <w:t>”) thereafter in unlimited amount (so long as permitted by the terms of this Indenture) for original issue upon a written order of the Issuer in the form of an Officers’ Certificate in aggregate principal amount as specified in such order (other than as provided in Section 2.08). Each such written order shall specify the principal amount of Notes to be authenticated and the date on which the Notes are to be authenticated.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980"/>
          </w:cols>
          <w:pgMar w:left="440" w:top="270"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2.02. </w:t>
      </w:r>
      <w:r>
        <w:rPr>
          <w:rFonts w:ascii="Times New Roman" w:cs="Times New Roman" w:eastAsia="Times New Roman" w:hAnsi="Times New Roman"/>
          <w:sz w:val="18"/>
          <w:szCs w:val="18"/>
          <w:u w:val="single" w:color="auto"/>
          <w:color w:val="auto"/>
        </w:rPr>
        <w:t>Form and Dating; Legends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 xml:space="preserve">The Notes and the Trustee’s certificate of authentication with respect thereto shall be substantially in the form set forth in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(in the case of the Restricted Notes) and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 xml:space="preserve"> (in the case of Unrestricted Notes), each of which is incorporated in and forms a part of this Indenture. Each Note shall be dated the date of its authentication.</w:t>
      </w:r>
    </w:p>
    <w:p>
      <w:pPr>
        <w:spacing w:after="0" w:line="176"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The Notes may have notations, legends or endorsements required by law, rule or usage to which the Issuer is subject. Without limiting the generality of the foregoing, Notes offered and sold to Qualified Institutional Buyers in reliance on Rule 144A (“</w:t>
      </w:r>
      <w:r>
        <w:rPr>
          <w:rFonts w:ascii="Times New Roman" w:cs="Times New Roman" w:eastAsia="Times New Roman" w:hAnsi="Times New Roman"/>
          <w:sz w:val="18"/>
          <w:szCs w:val="18"/>
          <w:u w:val="single" w:color="auto"/>
          <w:color w:val="auto"/>
        </w:rPr>
        <w:t>Rule 144A Notes</w:t>
      </w:r>
      <w:r>
        <w:rPr>
          <w:rFonts w:ascii="Times New Roman" w:cs="Times New Roman" w:eastAsia="Times New Roman" w:hAnsi="Times New Roman"/>
          <w:sz w:val="18"/>
          <w:szCs w:val="18"/>
          <w:color w:val="auto"/>
        </w:rPr>
        <w:t>”), Notes offered and sold in offshore transactions in reliance on Regulation S (“</w:t>
      </w:r>
      <w:r>
        <w:rPr>
          <w:rFonts w:ascii="Times New Roman" w:cs="Times New Roman" w:eastAsia="Times New Roman" w:hAnsi="Times New Roman"/>
          <w:sz w:val="18"/>
          <w:szCs w:val="18"/>
          <w:u w:val="single" w:color="auto"/>
          <w:color w:val="auto"/>
        </w:rPr>
        <w:t>Regulation S Notes</w:t>
      </w:r>
      <w:r>
        <w:rPr>
          <w:rFonts w:ascii="Times New Roman" w:cs="Times New Roman" w:eastAsia="Times New Roman" w:hAnsi="Times New Roman"/>
          <w:sz w:val="18"/>
          <w:szCs w:val="18"/>
          <w:color w:val="auto"/>
        </w:rPr>
        <w:t>”) and all other Restricted Notes shall bear the Private Placement Legend. All Global Notes shall bear the Global Note Legend. Regulation S Notes shall bear the Regulation S Legend.</w:t>
      </w:r>
    </w:p>
    <w:p>
      <w:pPr>
        <w:spacing w:after="0" w:line="180"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 xml:space="preserve">Each Note issued hereunder that has more than a de minimis amount of original issue discount for U.S. Federal Income Tax purposes shall bear a legend substantially in the form set forth on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The terms and provisions contained in the Notes shall constitute, and are expressly made, a part of this Indenture and, to the extent applicable, the Issuer, the Guarantors and the Trustee, by their execution and delivery of this Indenture, expressly agree to such terms and provisions and agree to be bound thereby. If there is a conflict between the terms of the Notes and this Indenture, the terms of this Indenture shall govern.</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Notes may be presented for registration of transfer and exchange at the offices of the Registrar.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Execution and Authentication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82" w:lineRule="auto"/>
        <w:rPr>
          <w:sz w:val="20"/>
          <w:szCs w:val="20"/>
          <w:color w:val="auto"/>
        </w:rPr>
      </w:pPr>
      <w:r>
        <w:rPr>
          <w:rFonts w:ascii="Times New Roman" w:cs="Times New Roman" w:eastAsia="Times New Roman" w:hAnsi="Times New Roman"/>
          <w:sz w:val="18"/>
          <w:szCs w:val="18"/>
          <w:color w:val="auto"/>
        </w:rPr>
        <w:t>The Notes shall be executed on behalf of the Issuer by two Officers of the Issuer. The signature of any of these Officers on the Notes may be manual, facsimile, .pdf attachment or other electronically transmitted signature.</w:t>
      </w:r>
    </w:p>
    <w:p>
      <w:pPr>
        <w:spacing w:after="0" w:line="162" w:lineRule="exact"/>
        <w:rPr>
          <w:sz w:val="20"/>
          <w:szCs w:val="20"/>
          <w:color w:val="auto"/>
        </w:rPr>
      </w:pPr>
    </w:p>
    <w:p>
      <w:pPr>
        <w:ind w:right="480" w:firstLine="991"/>
        <w:spacing w:after="0" w:line="282" w:lineRule="auto"/>
        <w:rPr>
          <w:sz w:val="20"/>
          <w:szCs w:val="20"/>
          <w:color w:val="auto"/>
        </w:rPr>
      </w:pPr>
      <w:r>
        <w:rPr>
          <w:rFonts w:ascii="Times New Roman" w:cs="Times New Roman" w:eastAsia="Times New Roman" w:hAnsi="Times New Roman"/>
          <w:sz w:val="18"/>
          <w:szCs w:val="18"/>
          <w:color w:val="auto"/>
        </w:rPr>
        <w:t>If an Officer whose signature is on a Note was an Officer at the time of such execution but no longer holds that office at the time the Trustee authenticates the Note, the Note shall be valid nevertheless.</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80"/>
          </w:cols>
          <w:pgMar w:left="440" w:top="270" w:right="479" w:bottom="1440" w:gutter="0" w:footer="0" w:header="0"/>
        </w:sectPr>
      </w:pPr>
    </w:p>
    <w:bookmarkStart w:id="33" w:name="page34"/>
    <w:bookmarkEnd w:id="33"/>
    <w:p>
      <w:pPr>
        <w:ind w:right="100" w:firstLine="991"/>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No Note shall be entitled to any benefit under this Indenture or be valid or obligatory for any purpose unless there appears on such Note a certificate of authentication substantially in the form provided for herein executed by the Trustee by manual signature, and such certificate upon any Note shall be conclusive evidence, and the only evidence, that such Note has been duly authenticated and delivered hereunder. Notwithstanding the foregoing, if any Note shall have been authenticated and delivered hereunder but never issued and sold by the Issuer, and the Issuer shall deliver such Note to the Trustee for cancellation as provided in Section 2.12, for all purposes of this Indenture such Note shall be deemed never to have been authenticated and delivered hereunder and shall never be entitled to the benefits of this Indenture.</w:t>
      </w:r>
    </w:p>
    <w:p>
      <w:pPr>
        <w:spacing w:after="0" w:line="187"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The Trustee may appoint one or more authenticating agents reasonably acceptable to the Issuer to authenticate the Notes. Unless otherwise provided in the appointment, an authenticating agent may authenticate the Notes whenever the Trustee may do so. Each reference in this Indenture to authentication by the Trustee includes authentication by such agent. An authenticating agent has the same rights as an Agent to deal with the Issuer and Affiliates of the Issuer. Each Paying Agent is designated as an authenticating agent for purposes of this Indenture.</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Notes shall be issuable only in registered form without coupons in denominations of $2,000 and any integral multiple of $1,000 in excess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thereof.</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Registrar and Paying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Issuer shall maintain (a) an office or agency where Notes may be presented for registration of transfer or for exchange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Registrar</w:t>
      </w:r>
      <w:r>
        <w:rPr>
          <w:rFonts w:ascii="Times New Roman" w:cs="Times New Roman" w:eastAsia="Times New Roman" w:hAnsi="Times New Roman"/>
          <w:sz w:val="18"/>
          <w:szCs w:val="18"/>
          <w:color w:val="auto"/>
        </w:rPr>
        <w:t>”), (b) an office or agency in the Borough of Manhattan, The City of New York, the State of New York or in the city in the United States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which the Trustee’s Corporate Trust Office is located, where Notes may be presented for payment (the “</w:t>
      </w:r>
      <w:r>
        <w:rPr>
          <w:rFonts w:ascii="Times New Roman" w:cs="Times New Roman" w:eastAsia="Times New Roman" w:hAnsi="Times New Roman"/>
          <w:sz w:val="18"/>
          <w:szCs w:val="18"/>
          <w:u w:val="single" w:color="auto"/>
          <w:color w:val="auto"/>
        </w:rPr>
        <w:t>Paying Agent</w:t>
      </w:r>
      <w:r>
        <w:rPr>
          <w:rFonts w:ascii="Times New Roman" w:cs="Times New Roman" w:eastAsia="Times New Roman" w:hAnsi="Times New Roman"/>
          <w:sz w:val="18"/>
          <w:szCs w:val="18"/>
          <w:color w:val="auto"/>
        </w:rPr>
        <w:t>”) and (c) an office or agency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where notices and demands to or upon the Issuer, if any, in respect of the Notes and this Indenture may be served. The Registrar shall keep a register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Notes and of their transfer and exchange. The Registrar shall provide a copy of such register from time to time upon request of the Issuer. The Issuer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may have one or more co-registrars and one or more additional Paying Agents. The term “Registrar” includes any co-registrars. The term “Paying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Agents” means the Paying Agent and any additional Paying Agents. The Issuer or any Affiliate thereof may act as Registrar or a Paying Agent.</w:t>
      </w:r>
    </w:p>
    <w:p>
      <w:pPr>
        <w:spacing w:after="0" w:line="207"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The Issuer shall enter into an appropriate agency agreement, which shall incorporate the provisions of the TIA, with any Agent that is not a party to this Indenture. The agreement shall implement the provisions of this Indenture that relate to such Agent. The Issuer shall notify the Trustee of the name and address of any such Agent. If the Issuer fails to maintain a Registrar or any required co-registrar or Paying Agent, or fails to give the foregoing notice, the Trustee shall act as such and shall be entitled to appropriate compensation in accordance with Section 7.07.</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00"/>
          </w:cols>
          <w:pgMar w:left="440" w:top="270" w:right="459" w:bottom="1440" w:gutter="0" w:footer="0" w:header="0"/>
        </w:sectPr>
      </w:pPr>
    </w:p>
    <w:bookmarkStart w:id="34" w:name="page35"/>
    <w:bookmarkEnd w:id="3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Issuer initially appoints the Trustee as Registrar and Paying Agent.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Paying Agent To Hold Money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The Paying Agent shall hold for the Noteholders or the Trustee all money held by the Paying Agent for the payment of principal of or premium or interest on the Notes (whether such money has been paid to it by the Issuer, one or more of the Guarantors or any other obligor on the Notes), and the Issuer and the Paying Agent shall notify the Trustee of any default by the Issuer (or any other obligor on the Notes) in making any such payment. Money held by a Paying Agent need not be segregated except as required by law and in no event shall a Paying Agent be liable for any interest on any money received by it hereunder. The Issuer at any time may require a Paying Agent to pay all money held by it to the Trustee and account for any funds disbursed and the Trustee may at any time during the continuance of any Event of Default specified in Section 6.01(1) or (2), upon written request to a Paying Agent, require such Paying Agent to pay forthwith all money so held by it to the Trustee and to account for any funds disbursed. Upon making such payment, such Paying Agent shall have no further liability for the money delivered to the Trustee.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Noteholder Lists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61" w:lineRule="auto"/>
        <w:rPr>
          <w:sz w:val="20"/>
          <w:szCs w:val="20"/>
          <w:color w:val="auto"/>
        </w:rPr>
      </w:pPr>
      <w:r>
        <w:rPr>
          <w:rFonts w:ascii="Times New Roman" w:cs="Times New Roman" w:eastAsia="Times New Roman" w:hAnsi="Times New Roman"/>
          <w:sz w:val="18"/>
          <w:szCs w:val="18"/>
          <w:color w:val="auto"/>
        </w:rPr>
        <w:t>The Trustee shall preserve in as current a form as is reasonably practicable the most recent list available to it of the names and addresses of the Noteholders. If the Trustee is not the Registrar, the Issuer shall furnish to the Trustee at least five Business Days before each Interest Payment Date, and at such other times as the Trustee may request in writing, a list in such form and as of such date as the Trustee may reasonably require of the names and addresses of the Noteholders.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Transfer and Exchange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Subject to Sections 2.16 and 2.17, when Notes are presented to the Registrar with a request from the Holder of such Notes to register a transfer or to exchange them for an equal principal amount of Notes of other authorized denominations, the Registrar shall register the transfer as requested. Every Note presented or surrendered for registration of transfer or exchange shall be duly endorsed or be accompanied by a written instrument of transfer in form satisfactory to the Issuer and the Registrar, duly executed by the Holder thereof or his attorneys duly authorized in writing. To permit registrations of transfers and exchanges, the Issuer shall issue and execute and, upon receipt of a written order of the Issuer in the form of an Officers’ Certificate in accordance with Section 2.01, the Trustee shall authenticate new Notes (and the Guarantors shall execute the Guarantees thereon) evidencing such transfer or exchange at the Registrar’s request. No service charge shall be made to the Noteholder for any registration of transfer or exchange. The Issuer may require from the Noteholder payment of a sum sufficient to cover any transfer taxes or other governmental charge that may be imposed in relation to a transfer or exchange, but this provision shall not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00"/>
          </w:cols>
          <w:pgMar w:left="440" w:top="270" w:right="459" w:bottom="1440" w:gutter="0" w:footer="0" w:header="0"/>
        </w:sectPr>
      </w:pPr>
    </w:p>
    <w:bookmarkStart w:id="35" w:name="page36"/>
    <w:bookmarkEnd w:id="35"/>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apply to any exchange pursuant to Section 2.11, 3.06, 4.08 or 8.05 (in which events the Issuer shall be responsible for the payment of such taxes). The Issuer shall not be required to transfer or exchange any Note selected for redemption. The Registrar shall not be required to exchange or register a transfer of any Note for a period of 15 days immediately preceding the mailing of notice of redemption of Notes to be redeemed or of any Note selected, called or being called for redemption except the unredeemed portion of any Note being redeemed in part.</w:t>
      </w:r>
    </w:p>
    <w:p>
      <w:pPr>
        <w:spacing w:after="0" w:line="180"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Any Holder of a Global Note shall, by acceptance of such Global Note, agree that transfers of the beneficial interests in such Global Note may be effected only through a book entry system maintained by the Holder of such Global Note (or its agent), and that ownership of a beneficial interest in the Global Note shall be required to be reflected in a book entry. By its acceptance of any Note bearing the Private Placement Legend, each Holder of such Note acknowledges the restrictions on transfer of such Note set forth in this Indenture and in the Private Placement Legend and agrees that it will transfer such Note only as provided in this Indenture.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Replacement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If a mutilated Note is surrendered to the Registrar or the Trustee, or if the Holder of a Note claims that the Note has been lost, destroyed or wrongfully taken, the Issuer shall issue and, upon receipt of a written order of the Issuer in the form of an Officers’ Certificate in accordance with Section 2.01, the Trustee shall authenticate a replacement Note (and the Guarantors shall execute the Guarantees thereon) if the Holder of such Note furnishes to the Issuer and the Trustee evidence reasonably acceptable to them of the ownership and the destruction, loss or theft of such Note and if the requirements of Section 8-405 of the New York Uniform Commercial Code as in effect on the date of this Indenture are met. If required by the Trustee or the Issuer, an indemnity bond shall be posted, sufficient in the judgment of all to protect the Issuer, the Guarantors, the Trustee, the Registrar and any Paying Agent from any loss that any of them may suffer if such Note is replaced. The Issuer may charge such Holder for the Issuer’s reasonable out-of-pocket expenses in replacing such Note and the Trustee may charge the Issuer for the Trustee’s out-of-pocket expenses (including, without limitation, attorneys’ fees and disbursements) in replacing such Note. Every replacement Note shall constitute a contractual obligation of the Issuer.</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Outstanding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The Notes outstanding at any time are all Notes that have been authenticated by the Trustee except for (a) those canceled by or on behalf of the Trustee, (b) those accepted by the Trustee for cancellation, (c) to the extent set forth in Sections 9.01 and 9.02, on or after the date on which the conditions set forth in Section 9.01 or 9.02 have been satisfied, those Notes theretofore authenticated by the Trustee hereunder and (d) those described in this Section 2.09 as not outstanding. Subject to Section 2.10, a Note does not cease to be outstanding because the Issuer or one of its Affiliates holds the Note.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00"/>
          </w:cols>
          <w:pgMar w:left="440" w:top="270" w:right="459" w:bottom="1440" w:gutter="0" w:footer="0" w:header="0"/>
        </w:sectPr>
      </w:pPr>
    </w:p>
    <w:bookmarkStart w:id="36" w:name="page37"/>
    <w:bookmarkEnd w:id="36"/>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If a Note is replaced pursuant to Section 2.08, it ceases to be outstanding unless the Trustee receives proof satisfactory to the Trustee that the replaced Note is held by a bona fide purchaser in whose hands such Note is a legal, valid and binding obligation of the Issuer.</w:t>
      </w:r>
    </w:p>
    <w:p>
      <w:pPr>
        <w:spacing w:after="0" w:line="162"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If a Paying Agent holds, in its capacity as such, on any Maturity Date, U.S. Dollars sufficient to pay all accrued interest and principal with respect to the Notes payable on that date and is not prohibited from paying such money to the Holders thereof pursuant to the terms of this Indenture, then on and after that date such Notes shall cease to be outstanding and interest on them shall cease to accrue.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Treasury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In determining whether the Holders of the required principal amount of Notes have concurred in any declaration of acceleration or notice of default or direction, waiver or consent or any amendment, modification or other change to this Indenture, Notes owned by the Issuer or any other Affiliate of the Issuer shall be disregarded as though they were not outstanding, except that for the purposes of determining whether the Trustee shall be protected in relying on any such direction, waiver or consent or any amendment, modification or other change to this Indenture, only Notes as to which a Responsible Officer of the Trustee has actually received an Officers’ Certificate stating that such Notes are so owned shall be so disregarded. Notes so owned which have been pledged in good faith shall not be disregarded if the pledgee established to the satisfaction of the Trustee the pledgee’s right so to act with respect to the Notes and that the pledgee is not the Issuer, a Guarantor, any other obligor on the Notes or any of their respective Affiliates.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2.11. </w:t>
      </w:r>
      <w:r>
        <w:rPr>
          <w:rFonts w:ascii="Times New Roman" w:cs="Times New Roman" w:eastAsia="Times New Roman" w:hAnsi="Times New Roman"/>
          <w:sz w:val="18"/>
          <w:szCs w:val="18"/>
          <w:u w:val="single" w:color="auto"/>
          <w:color w:val="auto"/>
        </w:rPr>
        <w:t>Temporary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6" w:lineRule="auto"/>
        <w:rPr>
          <w:sz w:val="20"/>
          <w:szCs w:val="20"/>
          <w:color w:val="auto"/>
        </w:rPr>
      </w:pPr>
      <w:r>
        <w:rPr>
          <w:rFonts w:ascii="Times New Roman" w:cs="Times New Roman" w:eastAsia="Times New Roman" w:hAnsi="Times New Roman"/>
          <w:sz w:val="18"/>
          <w:szCs w:val="18"/>
          <w:color w:val="auto"/>
        </w:rPr>
        <w:t>Until definitive Notes are prepared and ready for delivery, the Issuer may prepare and, upon receipt of a written order of the Issuer in the form of an Officers’ Certificate in accordance with Section 2.01, the Trustee shall authenticate temporary Notes. Temporary Notes shall be substantially in the form of definitive Notes but may have variations that the Issuer considers appropriate for temporary Notes. Without unreasonable delay, the Issuer shall prepare and, upon receipt of a written order of the Issuer in the form of an Officers’ Certificate in accordance with Section 2.01, the Trustee shall authenticate definitive Notes in exchange for temporary Notes. Until such exchange, temporary Notes shall be entitled to the same rights, benefits and privileges as definitive Notes.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2.12. </w:t>
      </w: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81" w:lineRule="auto"/>
        <w:rPr>
          <w:sz w:val="20"/>
          <w:szCs w:val="20"/>
          <w:color w:val="auto"/>
        </w:rPr>
      </w:pPr>
      <w:r>
        <w:rPr>
          <w:rFonts w:ascii="Times New Roman" w:cs="Times New Roman" w:eastAsia="Times New Roman" w:hAnsi="Times New Roman"/>
          <w:sz w:val="17"/>
          <w:szCs w:val="17"/>
          <w:color w:val="auto"/>
        </w:rPr>
        <w:t>The Issuer at any time may deliver Notes to the Trustee for cancellation. The Registrar and the Paying Agent shall forward to the Trustee any Notes surrendered to them for registration of transfer, exchange or payment. The Trustee shall cancel all Notes surrendered for registration of transfer, exchange, payment, replacement or cancellation and shall dispose of such canceled Notes in its customary manner. The Issuer may not reissue or resell or issue new Notes to replace Notes that the Issuer has redeemed or paid, or that have been delivered to the Trustee for cancellation.</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2.13. </w:t>
      </w:r>
      <w:r>
        <w:rPr>
          <w:rFonts w:ascii="Times New Roman" w:cs="Times New Roman" w:eastAsia="Times New Roman" w:hAnsi="Times New Roman"/>
          <w:sz w:val="18"/>
          <w:szCs w:val="18"/>
          <w:u w:val="single" w:color="auto"/>
          <w:color w:val="auto"/>
        </w:rPr>
        <w:t>Defaulted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4" w:lineRule="auto"/>
        <w:rPr>
          <w:sz w:val="20"/>
          <w:szCs w:val="20"/>
          <w:color w:val="auto"/>
        </w:rPr>
      </w:pPr>
      <w:r>
        <w:rPr>
          <w:rFonts w:ascii="Times New Roman" w:cs="Times New Roman" w:eastAsia="Times New Roman" w:hAnsi="Times New Roman"/>
          <w:sz w:val="18"/>
          <w:szCs w:val="18"/>
          <w:color w:val="auto"/>
        </w:rPr>
        <w:t>If the Issuer defaults on a payment of interest on the Notes, the Issuer shall pay the defaulted interest then borne by the Notes plus (to the extent permitted by law) any interest payable on the defaulted interest, in accordance with the terms hereof, to the Persons who are Holders thereof on a subsequent special record date, which date shall be at least five Business Days prior to the payment date. The Issuer shall fix such special record date and payment date in a manner satisfactory to the Trustee. At least 10 days before such special record date, the Issuer shall mail to each affected Noteholder a notice that states the special record date, the payment date and the amount of defaulted interest, and interest payable on defaulted interest, if any, to be paid. The Issuer may make payment of any defaulted interest in any other lawful manner not inconsistent with the requirements (if applicable) of any securities exchange on which the Notes may be listed and, upon such notice as may be required by such exchange, if, after written notice given by the Issuer to the Trustee of the proposed payment pursuant to this sentence, such manner of payment shall be deemed practicable by the Trustee.</w:t>
      </w:r>
    </w:p>
    <w:p>
      <w:pPr>
        <w:spacing w:after="0" w:line="188"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Notwithstanding the foregoing, any interest which is paid prior to the expiration of the 30-day period set forth in Section 6.01(1) shall be paid to Holders as of the record date for the Interest Payment Date for which interest has not been paid.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CUSIP and ISIN Numbers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The Issuer in issuing the Notes may use “CUSIP” and “ISIN” numbers, and if so used, such CUSIP and ISIN numbers shall be included in notices of redemption or exchange as a convenience to Holders;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notice may state that no representation is made as to the correctness or accuracy of the CUSIP or ISIN numbers printed in the notice or on the Notes, and that reliance may be placed only on the other identification numbers printed on the Notes. The Issuer shall promptly notify the Trustee, in writing, of any such CUSIP or ISIN number used by the Issuer in connection with the issuance of the Notes and of any change in any such CUSIP or ISIN number.</w:t>
      </w:r>
    </w:p>
    <w:p>
      <w:pPr>
        <w:spacing w:after="0" w:line="11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0960"/>
          </w:cols>
          <w:pgMar w:left="440" w:top="270" w:right="499" w:bottom="1440" w:gutter="0" w:footer="0" w:header="0"/>
        </w:sectPr>
      </w:pPr>
    </w:p>
    <w:bookmarkStart w:id="38" w:name="page39"/>
    <w:bookmarkEnd w:id="3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2.15. </w:t>
      </w:r>
      <w:r>
        <w:rPr>
          <w:rFonts w:ascii="Times New Roman" w:cs="Times New Roman" w:eastAsia="Times New Roman" w:hAnsi="Times New Roman"/>
          <w:sz w:val="18"/>
          <w:szCs w:val="18"/>
          <w:u w:val="single" w:color="auto"/>
          <w:color w:val="auto"/>
        </w:rPr>
        <w:t>Deposit of Moneys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91"/>
        <w:spacing w:after="0" w:line="256" w:lineRule="auto"/>
        <w:rPr>
          <w:sz w:val="20"/>
          <w:szCs w:val="20"/>
          <w:color w:val="auto"/>
        </w:rPr>
      </w:pPr>
      <w:r>
        <w:rPr>
          <w:rFonts w:ascii="Times New Roman" w:cs="Times New Roman" w:eastAsia="Times New Roman" w:hAnsi="Times New Roman"/>
          <w:sz w:val="18"/>
          <w:szCs w:val="18"/>
          <w:color w:val="auto"/>
        </w:rPr>
        <w:t>Prior to 10:00 A.M., New York City time, on each Interest Payment Date and Maturity Date, the Issuer shall have deposited with the Paying Agent in immediately available funds U.S. Dollars sufficient to make cash payments, if any, due on such Interest Payment Date or Maturity Date, as the case may be, in a timely manner which permits such Paying Agents, subject to actual receipt of such funds, to remit payment to the Holders on such Interest Payment Date or Maturity Date, as the case may be. The principal and interest on Global Notes shall be payable to the Depository or its nominee, as the case may be, as the sole registered owner and the sole Holder of the Global Notes represented thereby. The principal and interest on Physical Notes shall be payable, either in person, by wire transfer or by mail, at the office of the Paying Agent.</w:t>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Book-Entry Provisions for Global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00" w:firstLine="987"/>
        <w:spacing w:after="0" w:line="269" w:lineRule="auto"/>
        <w:tabs>
          <w:tab w:leader="none" w:pos="124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Rule 144A Notes initially shall be represented by one or more Notes in registered, global form without interest coupons (collectively, the “</w:t>
      </w:r>
      <w:r>
        <w:rPr>
          <w:rFonts w:ascii="Times New Roman" w:cs="Times New Roman" w:eastAsia="Times New Roman" w:hAnsi="Times New Roman"/>
          <w:sz w:val="17"/>
          <w:szCs w:val="17"/>
          <w:u w:val="single" w:color="auto"/>
          <w:color w:val="auto"/>
        </w:rPr>
        <w:t>Rule 144A Global Note</w:t>
      </w:r>
      <w:r>
        <w:rPr>
          <w:rFonts w:ascii="Times New Roman" w:cs="Times New Roman" w:eastAsia="Times New Roman" w:hAnsi="Times New Roman"/>
          <w:sz w:val="17"/>
          <w:szCs w:val="17"/>
          <w:color w:val="auto"/>
        </w:rPr>
        <w:t>”). Regulation S Notes initially shall be represented by one or more Notes in registered, global form without interest coupons (collectively, the “</w:t>
      </w:r>
      <w:r>
        <w:rPr>
          <w:rFonts w:ascii="Times New Roman" w:cs="Times New Roman" w:eastAsia="Times New Roman" w:hAnsi="Times New Roman"/>
          <w:sz w:val="17"/>
          <w:szCs w:val="17"/>
          <w:u w:val="single" w:color="auto"/>
          <w:color w:val="auto"/>
        </w:rPr>
        <w:t>Regulation S Global Note</w:t>
      </w:r>
      <w:r>
        <w:rPr>
          <w:rFonts w:ascii="Times New Roman" w:cs="Times New Roman" w:eastAsia="Times New Roman" w:hAnsi="Times New Roman"/>
          <w:sz w:val="17"/>
          <w:szCs w:val="17"/>
          <w:color w:val="auto"/>
        </w:rPr>
        <w:t>”). The term “</w:t>
      </w:r>
      <w:r>
        <w:rPr>
          <w:rFonts w:ascii="Times New Roman" w:cs="Times New Roman" w:eastAsia="Times New Roman" w:hAnsi="Times New Roman"/>
          <w:sz w:val="17"/>
          <w:szCs w:val="17"/>
          <w:u w:val="single" w:color="auto"/>
          <w:color w:val="auto"/>
        </w:rPr>
        <w:t>Global Notes</w:t>
      </w:r>
      <w:r>
        <w:rPr>
          <w:rFonts w:ascii="Times New Roman" w:cs="Times New Roman" w:eastAsia="Times New Roman" w:hAnsi="Times New Roman"/>
          <w:sz w:val="17"/>
          <w:szCs w:val="17"/>
          <w:color w:val="auto"/>
        </w:rPr>
        <w:t>” means the Rule 144A Global Note and the Regulation S Global Note. The Global Notes shall bear the Global Note Legend. The Global Notes initially shall (i) be registered in the name of the Depository or the nominee of such Depository, in each case for credit to an account of an Agent Member, (ii) be delivered to the Trustee as custodian for such Depository and</w:t>
      </w:r>
    </w:p>
    <w:p>
      <w:pPr>
        <w:spacing w:after="0" w:line="2" w:lineRule="exact"/>
        <w:rPr>
          <w:rFonts w:ascii="Times New Roman" w:cs="Times New Roman" w:eastAsia="Times New Roman" w:hAnsi="Times New Roman"/>
          <w:sz w:val="17"/>
          <w:szCs w:val="17"/>
          <w:color w:val="auto"/>
        </w:rPr>
      </w:pPr>
    </w:p>
    <w:p>
      <w:pPr>
        <w:ind w:left="324" w:hanging="324"/>
        <w:spacing w:after="0"/>
        <w:tabs>
          <w:tab w:leader="none" w:pos="32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bear the Private Placement Legend.</w:t>
      </w:r>
    </w:p>
    <w:p>
      <w:pPr>
        <w:spacing w:after="0" w:line="207" w:lineRule="exact"/>
        <w:rPr>
          <w:sz w:val="20"/>
          <w:szCs w:val="20"/>
          <w:color w:val="auto"/>
        </w:rPr>
      </w:pPr>
    </w:p>
    <w:p>
      <w:pPr>
        <w:ind w:left="4" w:firstLine="991"/>
        <w:spacing w:after="0" w:line="254" w:lineRule="auto"/>
        <w:rPr>
          <w:sz w:val="20"/>
          <w:szCs w:val="20"/>
          <w:color w:val="auto"/>
        </w:rPr>
      </w:pPr>
      <w:r>
        <w:rPr>
          <w:rFonts w:ascii="Times New Roman" w:cs="Times New Roman" w:eastAsia="Times New Roman" w:hAnsi="Times New Roman"/>
          <w:sz w:val="18"/>
          <w:szCs w:val="18"/>
          <w:color w:val="auto"/>
        </w:rPr>
        <w:t>Members of, or direct or indirect participants in, the Depository (“</w:t>
      </w:r>
      <w:r>
        <w:rPr>
          <w:rFonts w:ascii="Times New Roman" w:cs="Times New Roman" w:eastAsia="Times New Roman" w:hAnsi="Times New Roman"/>
          <w:sz w:val="18"/>
          <w:szCs w:val="18"/>
          <w:u w:val="single" w:color="auto"/>
          <w:color w:val="auto"/>
        </w:rPr>
        <w:t>Agent Members</w:t>
      </w:r>
      <w:r>
        <w:rPr>
          <w:rFonts w:ascii="Times New Roman" w:cs="Times New Roman" w:eastAsia="Times New Roman" w:hAnsi="Times New Roman"/>
          <w:sz w:val="18"/>
          <w:szCs w:val="18"/>
          <w:color w:val="auto"/>
        </w:rPr>
        <w:t>”) shall have no rights under this Indenture with respect to any Global Note held on their behalf by the Depository or under the Global Notes. The Depository may be treated by the Issuer, the Trustee and any agent of the Issuer or the Trustee as the absolute owner of the Global Notes for all purposes whatsoever. Notwithstanding the foregoing, nothing herein shall prevent the Issuer, the Trustee or any agent of the Issuer or the Trustee from giving effect to any written certification, proxy or other authorization furnished by the Depository or impair, as between the Depository and its Agent Members, the operation of customary practices governing the exercise of the rights of a Holder of any Note. None of the Issuer, the Trustee, the Paying Agent nor the Registrar shall have any responsibility or liability for any acts or omissions of the Depository with respect to such Global Note, for the records of the Depository, including records in respect of the beneficial owners of any such Global Note, for any transactions between the Depository and any Agent Member or between or among the Depository, any such Agent Member and/or any Holder or beneficial owner of such Global Note, or for any transfers of beneficial interests in any such Global Note.</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024"/>
          </w:cols>
          <w:pgMar w:left="436" w:top="270" w:right="439" w:bottom="1440" w:gutter="0" w:footer="0" w:header="0"/>
        </w:sectPr>
      </w:pPr>
    </w:p>
    <w:bookmarkStart w:id="39" w:name="page40"/>
    <w:bookmarkEnd w:id="39"/>
    <w:p>
      <w:pPr>
        <w:ind w:left="4" w:firstLine="987"/>
        <w:spacing w:after="0" w:line="268" w:lineRule="auto"/>
        <w:tabs>
          <w:tab w:leader="none" w:pos="1250" w:val="left"/>
        </w:tabs>
        <w:numPr>
          <w:ilvl w:val="1"/>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Transfers of Global Notes shall be limited to transfer in whole, but not in part, to the Depository, its successors or their respective nominees. Interests of beneficial owners in the Global Notes may be transferred or exchanged for Physical Notes only in accordance with the applicable rules and procedures of the Depository and the provisions of Section 2.17. In addition, a Global Note shall be exchangeable for Physical Notes (i) if requested by a holder of such interests upon receipt by the Trustee of written instructions from the Depository or its nominee on behalf of any beneficial owner and in accordance with the rules and procedures of the Depository and provisions of Section 2.16 or (ii) if the Depository notifies the Issuer that it is unwilling or unable to continue as depository for such Global Note and the Issuer thereupon fails to appoint a successor depository within 90 days or</w:t>
      </w:r>
    </w:p>
    <w:p>
      <w:pPr>
        <w:spacing w:after="0" w:line="4" w:lineRule="exact"/>
        <w:rPr>
          <w:rFonts w:ascii="Times New Roman" w:cs="Times New Roman" w:eastAsia="Times New Roman" w:hAnsi="Times New Roman"/>
          <w:sz w:val="17"/>
          <w:szCs w:val="17"/>
          <w:color w:val="auto"/>
        </w:rPr>
      </w:pPr>
    </w:p>
    <w:p>
      <w:pPr>
        <w:ind w:left="4" w:right="120" w:hanging="4"/>
        <w:spacing w:after="0" w:line="253" w:lineRule="auto"/>
        <w:tabs>
          <w:tab w:leader="none" w:pos="319"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ceased to be a clearing agency registered under the Exchange Act or there shall have occurred and be continuing an Event of Default with respect to such Global Note and the Depository has requested such exchange. In all cases, Physical Notes delivered in exchange for any Global Note or beneficial interests therein shall be registered in the names, and issued in any approved denominations, requested by or on behalf of the Depository in accordance with its customary procedures.</w:t>
      </w:r>
    </w:p>
    <w:p>
      <w:pPr>
        <w:spacing w:after="0" w:line="188" w:lineRule="exact"/>
        <w:rPr>
          <w:rFonts w:ascii="Times New Roman" w:cs="Times New Roman" w:eastAsia="Times New Roman" w:hAnsi="Times New Roman"/>
          <w:sz w:val="18"/>
          <w:szCs w:val="18"/>
          <w:color w:val="auto"/>
        </w:rPr>
      </w:pPr>
    </w:p>
    <w:p>
      <w:pPr>
        <w:ind w:left="4" w:right="20" w:firstLine="987"/>
        <w:spacing w:after="0" w:line="258" w:lineRule="auto"/>
        <w:tabs>
          <w:tab w:leader="none" w:pos="12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transfer of a Global Note as an entirety to beneficial owners pursuant to subsection (b) of this Section 2.16, such Global Note shall be deemed to be surrendered to the Trustee for cancellation, and the Issuer shall execute and, upon receipt of a written order of the Issuer in the form of an Officers’ Certificate in accordance with Section 2.01, the Trustee shall authenticate and deliver, to each beneficial owner identified by the Depository in writing in exchange for its beneficial interest in such Global Note, an equal aggregate principal amount of Physical Notes of authorized denominations.</w:t>
      </w:r>
    </w:p>
    <w:p>
      <w:pPr>
        <w:spacing w:after="0" w:line="183" w:lineRule="exact"/>
        <w:rPr>
          <w:rFonts w:ascii="Times New Roman" w:cs="Times New Roman" w:eastAsia="Times New Roman" w:hAnsi="Times New Roman"/>
          <w:sz w:val="18"/>
          <w:szCs w:val="18"/>
          <w:color w:val="auto"/>
        </w:rPr>
      </w:pPr>
    </w:p>
    <w:p>
      <w:pPr>
        <w:ind w:left="4" w:right="40" w:firstLine="987"/>
        <w:spacing w:after="0" w:line="282" w:lineRule="auto"/>
        <w:tabs>
          <w:tab w:leader="none" w:pos="125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Physical Note delivered in exchange for an interest in a Global Note pursuant to Section 2.17 shall, except as otherwise provided in Section 2.17, bear the Private Placement Legend.</w:t>
      </w:r>
    </w:p>
    <w:p>
      <w:pPr>
        <w:spacing w:after="0" w:line="161" w:lineRule="exact"/>
        <w:rPr>
          <w:rFonts w:ascii="Times New Roman" w:cs="Times New Roman" w:eastAsia="Times New Roman" w:hAnsi="Times New Roman"/>
          <w:sz w:val="18"/>
          <w:szCs w:val="18"/>
          <w:color w:val="auto"/>
        </w:rPr>
      </w:pPr>
    </w:p>
    <w:p>
      <w:pPr>
        <w:ind w:left="4" w:firstLine="987"/>
        <w:spacing w:after="0" w:line="282" w:lineRule="auto"/>
        <w:tabs>
          <w:tab w:leader="none" w:pos="1240"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of any Global Note may grant proxies and otherwise authorize any Person, including Agent Members and Persons that may hold interests through Agent Members, to take any action which a Holder is entitled to take under this Indenture or the Notes.</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u w:val="single" w:color="auto"/>
          <w:color w:val="auto"/>
        </w:rPr>
        <w:t>Transfer and Exchange of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87"/>
        <w:spacing w:after="0" w:line="261" w:lineRule="auto"/>
        <w:tabs>
          <w:tab w:leader="none" w:pos="12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 of Global Notes</w:t>
      </w:r>
      <w:r>
        <w:rPr>
          <w:rFonts w:ascii="Times New Roman" w:cs="Times New Roman" w:eastAsia="Times New Roman" w:hAnsi="Times New Roman"/>
          <w:sz w:val="18"/>
          <w:szCs w:val="18"/>
          <w:color w:val="auto"/>
        </w:rPr>
        <w:t>. A Global Note may not be transferred as a whole except as set forth in Section 2.16(b). Global Notes will not be exchanged by the Issuer for Physical Notes except under the circumstances described in Section 2.16(b). Global Notes also may be exchanged or replaced, in whole or in part, as provided in Sections 2.08 and 2.11. Beneficial interests in a Global Note may be transferred and exchanged as provided in Section 2.17(b) or 2.17(f).</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04"/>
          </w:cols>
          <w:pgMar w:left="436" w:top="270" w:right="459" w:bottom="1440" w:gutter="0" w:footer="0" w:header="0"/>
        </w:sectPr>
      </w:pPr>
    </w:p>
    <w:bookmarkStart w:id="40" w:name="page41"/>
    <w:bookmarkEnd w:id="40"/>
    <w:p>
      <w:pPr>
        <w:ind w:left="-20" w:right="140" w:firstLine="987"/>
        <w:spacing w:after="0" w:line="256" w:lineRule="auto"/>
        <w:tabs>
          <w:tab w:leader="none" w:pos="1226"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 and Exchange of Beneficial Interests in Global Notes</w:t>
      </w:r>
      <w:r>
        <w:rPr>
          <w:rFonts w:ascii="Times New Roman" w:cs="Times New Roman" w:eastAsia="Times New Roman" w:hAnsi="Times New Roman"/>
          <w:sz w:val="18"/>
          <w:szCs w:val="18"/>
          <w:color w:val="auto"/>
        </w:rPr>
        <w:t>. The transfer and exchange of beneficial interests in the Global Notes shall be effected through the Depository, in accordance with the provisions of this Indenture and the applicable rules and procedures of the Depository. Beneficial interests in Restricted Global Notes shall be subject to restrictions on transfer comparable to those set forth herein to the extent required by the Securities Act. Beneficial interests in Global Notes shall be transferred or exchanged only for beneficial interests in Global Notes. Transfers and exchanges of beneficial interests in the Global Notes also shall require compliance with either subparagraph (i) or (ii) below, as applicable, as well as one or more of the other following subparagraphs, as applicable:</w:t>
      </w:r>
    </w:p>
    <w:p>
      <w:pPr>
        <w:spacing w:after="0" w:line="79" w:lineRule="exact"/>
        <w:rPr>
          <w:rFonts w:ascii="Times New Roman" w:cs="Times New Roman" w:eastAsia="Times New Roman" w:hAnsi="Times New Roman"/>
          <w:sz w:val="18"/>
          <w:szCs w:val="18"/>
          <w:color w:val="auto"/>
        </w:rPr>
      </w:pPr>
    </w:p>
    <w:p>
      <w:pPr>
        <w:ind w:left="420" w:firstLine="419"/>
        <w:spacing w:after="0" w:line="254" w:lineRule="auto"/>
        <w:tabs>
          <w:tab w:leader="none" w:pos="105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Beneficial Interests in the Same Global Note</w:t>
      </w:r>
      <w:r>
        <w:rPr>
          <w:rFonts w:ascii="Times New Roman" w:cs="Times New Roman" w:eastAsia="Times New Roman" w:hAnsi="Times New Roman"/>
          <w:sz w:val="18"/>
          <w:szCs w:val="18"/>
          <w:color w:val="auto"/>
        </w:rPr>
        <w:t xml:space="preserve">. Beneficial interests in any Restricted Global Note may be transferred to Persons who take delivery thereof in the form of a beneficial interest in the same Restricted Global Note in accordance with the transfer restrictions set forth in the Private Placement Legend;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prior to the 40th day after the later of the commencement of the offering of the Notes represented by a Regulation S Global Note and the issue date of such Notes (such period through and including such 40th day, the “</w:t>
      </w:r>
      <w:r>
        <w:rPr>
          <w:rFonts w:ascii="Times New Roman" w:cs="Times New Roman" w:eastAsia="Times New Roman" w:hAnsi="Times New Roman"/>
          <w:sz w:val="18"/>
          <w:szCs w:val="18"/>
          <w:u w:val="single" w:color="auto"/>
          <w:color w:val="auto"/>
        </w:rPr>
        <w:t>Restricted Period</w:t>
      </w:r>
      <w:r>
        <w:rPr>
          <w:rFonts w:ascii="Times New Roman" w:cs="Times New Roman" w:eastAsia="Times New Roman" w:hAnsi="Times New Roman"/>
          <w:sz w:val="18"/>
          <w:szCs w:val="18"/>
          <w:color w:val="auto"/>
        </w:rPr>
        <w:t>”), transfers of beneficial interests in a Regulation S Global Note may not be made to a U.S. Person or for the account or benefit of a U.S. Person (other than an Initial Purchaser). A beneficial interest in an Unrestricted Global Note may be transferred to Persons who take delivery thereof in the form of a beneficial interest in an Unrestricted Global Note. No written orders or instructions shall be required to be delivered to the Registrar to effect the transfers described in this Section 2.17(b)(i).</w:t>
      </w:r>
    </w:p>
    <w:p>
      <w:pPr>
        <w:spacing w:after="0" w:line="83" w:lineRule="exact"/>
        <w:rPr>
          <w:rFonts w:ascii="Times New Roman" w:cs="Times New Roman" w:eastAsia="Times New Roman" w:hAnsi="Times New Roman"/>
          <w:sz w:val="18"/>
          <w:szCs w:val="18"/>
          <w:color w:val="auto"/>
        </w:rPr>
      </w:pPr>
    </w:p>
    <w:p>
      <w:pPr>
        <w:ind w:left="420" w:right="120" w:firstLine="419"/>
        <w:spacing w:after="0" w:line="254" w:lineRule="auto"/>
        <w:tabs>
          <w:tab w:leader="none" w:pos="110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All Other Transfers and Exchanges of Beneficial Interests in Global Notes</w:t>
      </w:r>
      <w:r>
        <w:rPr>
          <w:rFonts w:ascii="Times New Roman" w:cs="Times New Roman" w:eastAsia="Times New Roman" w:hAnsi="Times New Roman"/>
          <w:sz w:val="18"/>
          <w:szCs w:val="18"/>
          <w:color w:val="auto"/>
        </w:rPr>
        <w:t>. In connection with all transfers and exchanges of beneficial interests in any Global Note that is not subject to Section 2.17(b)(i), the transferor of such beneficial interest must deliver to the Registrar (1) a written order from an Agent Member given to the Depository in accordance with the applicable rules and procedures of the Depository directing the Depository to credit or cause to be credited a beneficial interest in another Global Note in an amount equal to the beneficial interest to be transferred or exchanged and (2) instructions given in accordance with the applicable rules and procedures of the Depository containing information regarding the Agent Member account to be credited with such increase. Upon satisfaction of all of the requirements for transfer or exchange of beneficial interests in Global Notes contained in this Indenture and the Notes, the Trustee shall adjust the principal amount of the relevant Global Note(s) pursuant to Section 2.17(f).</w:t>
      </w:r>
    </w:p>
    <w:p>
      <w:pPr>
        <w:spacing w:after="0" w:line="83" w:lineRule="exact"/>
        <w:rPr>
          <w:rFonts w:ascii="Times New Roman" w:cs="Times New Roman" w:eastAsia="Times New Roman" w:hAnsi="Times New Roman"/>
          <w:sz w:val="18"/>
          <w:szCs w:val="18"/>
          <w:color w:val="auto"/>
        </w:rPr>
      </w:pPr>
    </w:p>
    <w:p>
      <w:pPr>
        <w:ind w:left="420" w:right="80" w:firstLine="419"/>
        <w:spacing w:after="0" w:line="266" w:lineRule="auto"/>
        <w:tabs>
          <w:tab w:leader="none" w:pos="115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of Beneficial Interests to Another Restricted Global Note</w:t>
      </w:r>
      <w:r>
        <w:rPr>
          <w:rFonts w:ascii="Times New Roman" w:cs="Times New Roman" w:eastAsia="Times New Roman" w:hAnsi="Times New Roman"/>
          <w:sz w:val="18"/>
          <w:szCs w:val="18"/>
          <w:color w:val="auto"/>
        </w:rPr>
        <w:t>. A beneficial interest in a Restricted Global Note may be transferred to a Person who takes delivery thereof in the form of a beneficial interest in another Restricted Global Note if the transfer complies with the requirements of Section 2.17(b)(ii) above and the Registrar receives the following:</w:t>
      </w:r>
    </w:p>
    <w:p>
      <w:pPr>
        <w:spacing w:after="0" w:line="67" w:lineRule="exact"/>
        <w:rPr>
          <w:rFonts w:ascii="Times New Roman" w:cs="Times New Roman" w:eastAsia="Times New Roman" w:hAnsi="Times New Roman"/>
          <w:sz w:val="18"/>
          <w:szCs w:val="18"/>
          <w:color w:val="auto"/>
        </w:rPr>
      </w:pPr>
    </w:p>
    <w:p>
      <w:pPr>
        <w:ind w:left="960" w:right="500" w:firstLine="408"/>
        <w:spacing w:after="0" w:line="282" w:lineRule="auto"/>
        <w:tabs>
          <w:tab w:leader="none" w:pos="1656" w:val="left"/>
        </w:tabs>
        <w:numPr>
          <w:ilvl w:val="2"/>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transferee will take delivery in the form of a beneficial interest in a Rule 144A Global Note, then the transferor must deliver a certificate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including the certifications in item (1) thereof; and</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0960"/>
          </w:cols>
          <w:pgMar w:left="460" w:top="270" w:right="479" w:bottom="1440" w:gutter="0" w:footer="0" w:header="0"/>
        </w:sectPr>
      </w:pPr>
    </w:p>
    <w:bookmarkStart w:id="41" w:name="page42"/>
    <w:bookmarkEnd w:id="41"/>
    <w:p>
      <w:pPr>
        <w:ind w:left="540" w:right="280" w:firstLine="408"/>
        <w:spacing w:after="0" w:line="282" w:lineRule="auto"/>
        <w:tabs>
          <w:tab w:leader="none" w:pos="1226"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transferee will take delivery in the form of a beneficial interest in a Regulation S Global Note, then the transferor must deliver a certificate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including the certifications in item (2) thereof.</w:t>
      </w:r>
    </w:p>
    <w:p>
      <w:pPr>
        <w:spacing w:after="0" w:line="53" w:lineRule="exact"/>
        <w:rPr>
          <w:rFonts w:ascii="Times New Roman" w:cs="Times New Roman" w:eastAsia="Times New Roman" w:hAnsi="Times New Roman"/>
          <w:sz w:val="18"/>
          <w:szCs w:val="18"/>
          <w:color w:val="auto"/>
        </w:rPr>
      </w:pPr>
    </w:p>
    <w:p>
      <w:pPr>
        <w:ind w:right="20" w:firstLine="419"/>
        <w:spacing w:after="0" w:line="261" w:lineRule="auto"/>
        <w:tabs>
          <w:tab w:leader="none" w:pos="728"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 of Beneficial Interests in a Restricted Global Note for Beneficial Interests in an Unrestricted Global Note</w:t>
      </w:r>
      <w:r>
        <w:rPr>
          <w:rFonts w:ascii="Times New Roman" w:cs="Times New Roman" w:eastAsia="Times New Roman" w:hAnsi="Times New Roman"/>
          <w:sz w:val="18"/>
          <w:szCs w:val="18"/>
          <w:color w:val="auto"/>
        </w:rPr>
        <w:t>. A beneficial interest in a Restricted Global Note may be exchanged by any holder thereof for a beneficial interest in an Unrestricted Global Note or transferred to a Person who takes delivery thereof in the form of a beneficial interest in an Unrestricted Global Note if the exchange or transfer complies with the requirements of Section 2.17(b)(ii) above and the Registrar receives the following:</w:t>
      </w:r>
    </w:p>
    <w:p>
      <w:pPr>
        <w:spacing w:after="0" w:line="71" w:lineRule="exact"/>
        <w:rPr>
          <w:rFonts w:ascii="Times New Roman" w:cs="Times New Roman" w:eastAsia="Times New Roman" w:hAnsi="Times New Roman"/>
          <w:sz w:val="18"/>
          <w:szCs w:val="18"/>
          <w:color w:val="auto"/>
        </w:rPr>
      </w:pPr>
    </w:p>
    <w:p>
      <w:pPr>
        <w:ind w:left="540" w:firstLine="408"/>
        <w:spacing w:after="0" w:line="266" w:lineRule="auto"/>
        <w:tabs>
          <w:tab w:leader="none" w:pos="123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beneficial interest in a Restricted Global Note proposes to exchange such beneficial interest for a beneficial interest in an Unrestricted Global Note, a certificate from such holder in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including the certifications in item (1)(a) thereof; or</w:t>
      </w:r>
    </w:p>
    <w:p>
      <w:pPr>
        <w:spacing w:after="0" w:line="67" w:lineRule="exact"/>
        <w:rPr>
          <w:rFonts w:ascii="Times New Roman" w:cs="Times New Roman" w:eastAsia="Times New Roman" w:hAnsi="Times New Roman"/>
          <w:sz w:val="18"/>
          <w:szCs w:val="18"/>
          <w:color w:val="auto"/>
        </w:rPr>
      </w:pPr>
    </w:p>
    <w:p>
      <w:pPr>
        <w:jc w:val="both"/>
        <w:ind w:left="540" w:right="40" w:firstLine="408"/>
        <w:spacing w:after="0" w:line="266" w:lineRule="auto"/>
        <w:tabs>
          <w:tab w:leader="none" w:pos="1226"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beneficial interest in a Restricted Global Note proposes to transfer such beneficial interest to a Person who shall take delivery thereof in the form of a beneficial interest in an Unrestricted Global Note, a certificate from such holder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including the certifications in item (4) thereof,</w:t>
      </w:r>
    </w:p>
    <w:p>
      <w:pPr>
        <w:spacing w:after="0" w:line="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and, in each such case,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 If any such transfer or exchange is effected pursuant to this subparagraph (iv) at a time when an Unrestricted Global Note has not yet been issued, the Issuer shall issue and, upon receipt of a written order of the Issuer in the form of an Officers’ Certificate in accordance with Section 2.01, the Trustee shall authenticate one or more Unrestricted Global Notes in an aggregate principal amount equal to the aggregate principal amount of beneficial interests transferred or exchanged pursuant to this subparagraph (iv).</w:t>
      </w:r>
    </w:p>
    <w:p>
      <w:pPr>
        <w:spacing w:after="0" w:line="12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0460"/>
          </w:cols>
          <w:pgMar w:left="880" w:top="270" w:right="559" w:bottom="1440" w:gutter="0" w:footer="0" w:header="0"/>
        </w:sectPr>
      </w:pPr>
    </w:p>
    <w:bookmarkStart w:id="42" w:name="page43"/>
    <w:bookmarkEnd w:id="42"/>
    <w:p>
      <w:pPr>
        <w:ind w:left="400" w:right="140" w:firstLine="419"/>
        <w:spacing w:after="0" w:line="266" w:lineRule="auto"/>
        <w:tabs>
          <w:tab w:leader="none" w:pos="1078"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Transfer and Exchange of Beneficial Interests in an Unrestricted Global Note for Beneficial Interests in a Restricted Global Note</w:t>
      </w:r>
      <w:r>
        <w:rPr>
          <w:rFonts w:ascii="Times New Roman" w:cs="Times New Roman" w:eastAsia="Times New Roman" w:hAnsi="Times New Roman"/>
          <w:sz w:val="18"/>
          <w:szCs w:val="18"/>
          <w:color w:val="auto"/>
        </w:rPr>
        <w:t>. Beneficial interests in an Unrestricted Global Note cannot be exchanged for, or transferred to Persons who take delivery thereof in the form of, a beneficial interest in a Restricted Global Note.</w:t>
      </w:r>
    </w:p>
    <w:p>
      <w:pPr>
        <w:spacing w:after="0" w:line="175" w:lineRule="exact"/>
        <w:rPr>
          <w:rFonts w:ascii="Times New Roman" w:cs="Times New Roman" w:eastAsia="Times New Roman" w:hAnsi="Times New Roman"/>
          <w:sz w:val="18"/>
          <w:szCs w:val="18"/>
          <w:color w:val="auto"/>
        </w:rPr>
      </w:pPr>
    </w:p>
    <w:p>
      <w:pPr>
        <w:ind w:left="-40" w:right="260" w:firstLine="987"/>
        <w:spacing w:after="0" w:line="266" w:lineRule="auto"/>
        <w:tabs>
          <w:tab w:leader="none" w:pos="119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 of Beneficial Interests in Global Notes for Physical Notes</w:t>
      </w:r>
      <w:r>
        <w:rPr>
          <w:rFonts w:ascii="Times New Roman" w:cs="Times New Roman" w:eastAsia="Times New Roman" w:hAnsi="Times New Roman"/>
          <w:sz w:val="18"/>
          <w:szCs w:val="18"/>
          <w:color w:val="auto"/>
        </w:rPr>
        <w:t>. A beneficial interest in a Global Note may not be exchanged for a Physical Note except under the circumstances described in Section 2.16(b). A beneficial interest in a Global Note may not be transferred to a Person who takes delivery thereof in the form of a Physical Note except under the circumstances described in Section 2.16(b).</w:t>
      </w:r>
    </w:p>
    <w:p>
      <w:pPr>
        <w:spacing w:after="0" w:line="175" w:lineRule="exact"/>
        <w:rPr>
          <w:rFonts w:ascii="Times New Roman" w:cs="Times New Roman" w:eastAsia="Times New Roman" w:hAnsi="Times New Roman"/>
          <w:sz w:val="18"/>
          <w:szCs w:val="18"/>
          <w:color w:val="auto"/>
        </w:rPr>
      </w:pPr>
    </w:p>
    <w:p>
      <w:pPr>
        <w:ind w:left="-40" w:right="280" w:firstLine="987"/>
        <w:spacing w:after="0" w:line="282" w:lineRule="auto"/>
        <w:tabs>
          <w:tab w:leader="none" w:pos="1206"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 of Physical Notes for Beneficial Interests in Global Notes</w:t>
      </w:r>
      <w:r>
        <w:rPr>
          <w:rFonts w:ascii="Times New Roman" w:cs="Times New Roman" w:eastAsia="Times New Roman" w:hAnsi="Times New Roman"/>
          <w:sz w:val="18"/>
          <w:szCs w:val="18"/>
          <w:color w:val="auto"/>
        </w:rPr>
        <w:t>. Physical Notes shall be transferred or exchanged only for beneficial interests in Global Notes as described below:</w:t>
      </w:r>
    </w:p>
    <w:p>
      <w:pPr>
        <w:spacing w:after="0" w:line="54" w:lineRule="exact"/>
        <w:rPr>
          <w:sz w:val="20"/>
          <w:szCs w:val="20"/>
          <w:color w:val="auto"/>
        </w:rPr>
      </w:pPr>
    </w:p>
    <w:p>
      <w:pPr>
        <w:jc w:val="both"/>
        <w:ind w:left="400" w:right="400" w:firstLine="419"/>
        <w:spacing w:after="0" w:line="261" w:lineRule="auto"/>
        <w:tabs>
          <w:tab w:leader="none" w:pos="103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Physical Notes to Beneficial Interests in Restricted Global Notes</w:t>
      </w:r>
      <w:r>
        <w:rPr>
          <w:rFonts w:ascii="Times New Roman" w:cs="Times New Roman" w:eastAsia="Times New Roman" w:hAnsi="Times New Roman"/>
          <w:sz w:val="18"/>
          <w:szCs w:val="18"/>
          <w:color w:val="auto"/>
        </w:rPr>
        <w:t>. If any Holder of a Restricted Physical Note proposes to exchange such Restricted Physical Note for a beneficial interest in a Restricted Global Note or to transfer such Restricted Physical Note to a Person who takes delivery thereof in the form of a beneficial interest in a Restricted Global Note, then, upon receipt by the Registrar of the following documentation:</w:t>
      </w:r>
    </w:p>
    <w:p>
      <w:pPr>
        <w:spacing w:after="0" w:line="71" w:lineRule="exact"/>
        <w:rPr>
          <w:rFonts w:ascii="Times New Roman" w:cs="Times New Roman" w:eastAsia="Times New Roman" w:hAnsi="Times New Roman"/>
          <w:sz w:val="18"/>
          <w:szCs w:val="18"/>
          <w:color w:val="auto"/>
        </w:rPr>
      </w:pPr>
    </w:p>
    <w:p>
      <w:pPr>
        <w:ind w:left="940" w:right="180" w:firstLine="408"/>
        <w:spacing w:after="0" w:line="282" w:lineRule="auto"/>
        <w:tabs>
          <w:tab w:leader="none" w:pos="163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Restricted Physical Note proposes to exchange such Restricted Physical Note for a beneficial interest in a Restricted Global Note, a certificate from such Holder in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including the certifications in item (2)(a) thereof;</w:t>
      </w:r>
    </w:p>
    <w:p>
      <w:pPr>
        <w:spacing w:after="0" w:line="53" w:lineRule="exact"/>
        <w:rPr>
          <w:rFonts w:ascii="Times New Roman" w:cs="Times New Roman" w:eastAsia="Times New Roman" w:hAnsi="Times New Roman"/>
          <w:sz w:val="18"/>
          <w:szCs w:val="18"/>
          <w:color w:val="auto"/>
        </w:rPr>
      </w:pPr>
    </w:p>
    <w:p>
      <w:pPr>
        <w:ind w:left="940" w:right="180" w:firstLine="408"/>
        <w:spacing w:after="0" w:line="282" w:lineRule="auto"/>
        <w:tabs>
          <w:tab w:leader="none" w:pos="162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Physical Note is being transferred to a Qualified Institutional Buyer in accordance with Rule 144A under the Securities Act, a certificate to the effect set forth in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including the certifications in item (1) thereof;</w:t>
      </w:r>
    </w:p>
    <w:p>
      <w:pPr>
        <w:spacing w:after="0" w:line="53" w:lineRule="exact"/>
        <w:rPr>
          <w:rFonts w:ascii="Times New Roman" w:cs="Times New Roman" w:eastAsia="Times New Roman" w:hAnsi="Times New Roman"/>
          <w:sz w:val="18"/>
          <w:szCs w:val="18"/>
          <w:color w:val="auto"/>
        </w:rPr>
      </w:pPr>
    </w:p>
    <w:p>
      <w:pPr>
        <w:ind w:left="940" w:firstLine="408"/>
        <w:spacing w:after="0" w:line="282" w:lineRule="auto"/>
        <w:tabs>
          <w:tab w:leader="none" w:pos="162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Physical Note is being transferred to a Non-U.S. Person in an offshore transaction in accordance with Rule 903 or Rule 904 under the Securities Act, a certificate to the effect set forth in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including the certifications in item (2) thereof;</w:t>
      </w:r>
    </w:p>
    <w:p>
      <w:pPr>
        <w:spacing w:after="0" w:line="53" w:lineRule="exact"/>
        <w:rPr>
          <w:rFonts w:ascii="Times New Roman" w:cs="Times New Roman" w:eastAsia="Times New Roman" w:hAnsi="Times New Roman"/>
          <w:sz w:val="18"/>
          <w:szCs w:val="18"/>
          <w:color w:val="auto"/>
        </w:rPr>
      </w:pPr>
    </w:p>
    <w:p>
      <w:pPr>
        <w:jc w:val="both"/>
        <w:ind w:left="940" w:right="680" w:firstLine="408"/>
        <w:spacing w:after="0" w:line="266" w:lineRule="auto"/>
        <w:tabs>
          <w:tab w:leader="none" w:pos="1636"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Physical Note is being transferred pursuant to an exemption from the registration requirements of the Securities Act in accordance with Rule 144 under the Securities Act, a certificate to the effect set forth in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including the certifications in item (3)(a) thereof;</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0940"/>
          </w:cols>
          <w:pgMar w:left="480" w:top="270" w:right="479" w:bottom="1440" w:gutter="0" w:footer="0" w:header="0"/>
        </w:sectPr>
      </w:pPr>
    </w:p>
    <w:bookmarkStart w:id="43" w:name="page44"/>
    <w:bookmarkEnd w:id="43"/>
    <w:p>
      <w:pPr>
        <w:jc w:val="both"/>
        <w:ind w:left="540" w:firstLine="408"/>
        <w:spacing w:after="0" w:line="266" w:lineRule="auto"/>
        <w:tabs>
          <w:tab w:leader="none" w:pos="121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such Restricted Physical Note is being transferred to an Institutional Accredited Investor in reliance on an exemption from the registration requirements of the Securities Act other than those listed in subparagraphs (B) through (D) above, a certificate to the effect set forth in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including the certifications, certificates and Opinion of Counsel required by item (3)(d) thereof, if applicable; or</w:t>
      </w:r>
    </w:p>
    <w:p>
      <w:pPr>
        <w:spacing w:after="0" w:line="67" w:lineRule="exact"/>
        <w:rPr>
          <w:rFonts w:ascii="Times New Roman" w:cs="Times New Roman" w:eastAsia="Times New Roman" w:hAnsi="Times New Roman"/>
          <w:sz w:val="18"/>
          <w:szCs w:val="18"/>
          <w:color w:val="auto"/>
        </w:rPr>
      </w:pPr>
    </w:p>
    <w:p>
      <w:pPr>
        <w:ind w:left="540" w:right="280" w:firstLine="408"/>
        <w:spacing w:after="0" w:line="282" w:lineRule="auto"/>
        <w:tabs>
          <w:tab w:leader="none" w:pos="120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Restricted Physical Note is being transferred to the Issuer or a Subsidiary thereof, a certificate to the effect set forth in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including the certifications in item (3)(b) thereof,</w:t>
      </w:r>
    </w:p>
    <w:p>
      <w:pPr>
        <w:spacing w:after="0" w:line="54"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the Trustee shall cancel the Restricted Physical Note, and increase or cause to be increased the aggregate principal amount of the appropriate Restricted Global Note.</w:t>
      </w:r>
    </w:p>
    <w:p>
      <w:pPr>
        <w:spacing w:after="0" w:line="54" w:lineRule="exact"/>
        <w:rPr>
          <w:sz w:val="20"/>
          <w:szCs w:val="20"/>
          <w:color w:val="auto"/>
        </w:rPr>
      </w:pPr>
    </w:p>
    <w:p>
      <w:pPr>
        <w:jc w:val="both"/>
        <w:ind w:right="200" w:firstLine="419"/>
        <w:spacing w:after="0" w:line="266" w:lineRule="auto"/>
        <w:tabs>
          <w:tab w:leader="none" w:pos="688"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Physical Notes to Beneficial Interests in Unrestricted Global Notes</w:t>
      </w:r>
      <w:r>
        <w:rPr>
          <w:rFonts w:ascii="Times New Roman" w:cs="Times New Roman" w:eastAsia="Times New Roman" w:hAnsi="Times New Roman"/>
          <w:sz w:val="18"/>
          <w:szCs w:val="18"/>
          <w:color w:val="auto"/>
        </w:rPr>
        <w:t>. A Holder of a Restricted Physical Note may exchange such Restricted Physical Note for a beneficial interest in an Unrestricted Global Note or transfer such Restricted Physical Note to a Person who takes delivery thereof in the form of a beneficial interest in an Unrestricted Global Note only if the Registrar receives the following:</w:t>
      </w:r>
    </w:p>
    <w:p>
      <w:pPr>
        <w:spacing w:after="0" w:line="67" w:lineRule="exact"/>
        <w:rPr>
          <w:rFonts w:ascii="Times New Roman" w:cs="Times New Roman" w:eastAsia="Times New Roman" w:hAnsi="Times New Roman"/>
          <w:sz w:val="18"/>
          <w:szCs w:val="18"/>
          <w:color w:val="auto"/>
        </w:rPr>
      </w:pPr>
    </w:p>
    <w:p>
      <w:pPr>
        <w:ind w:left="540" w:right="40" w:firstLine="408"/>
        <w:spacing w:after="0" w:line="282" w:lineRule="auto"/>
        <w:tabs>
          <w:tab w:leader="none" w:pos="123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Restricted Physical Note proposes to exchange such Restricted Physical Note for a beneficial interest in an Unrestricted Global Note, a certificate from such Holder in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including the certifications in item (1)(b) thereof; or</w:t>
      </w:r>
    </w:p>
    <w:p>
      <w:pPr>
        <w:spacing w:after="0" w:line="53" w:lineRule="exact"/>
        <w:rPr>
          <w:rFonts w:ascii="Times New Roman" w:cs="Times New Roman" w:eastAsia="Times New Roman" w:hAnsi="Times New Roman"/>
          <w:sz w:val="18"/>
          <w:szCs w:val="18"/>
          <w:color w:val="auto"/>
        </w:rPr>
      </w:pPr>
    </w:p>
    <w:p>
      <w:pPr>
        <w:ind w:left="540" w:firstLine="408"/>
        <w:spacing w:after="0" w:line="266" w:lineRule="auto"/>
        <w:tabs>
          <w:tab w:leader="none" w:pos="122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Restricted Physical Notes proposes to transfer such Restricted Physical Note to a Person who shall take delivery thereof in the form of a beneficial interest in an Unrestricted Global Note, a certificate from such Holder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including the certifications in item (4) thereof,</w:t>
      </w:r>
    </w:p>
    <w:p>
      <w:pPr>
        <w:spacing w:after="0" w:line="68"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and, in each such case, an Opinion of Counsel in form reasonably acceptable to the Registrar to the effect that such exchange or transfer is in compliance with the Securities Act and that the restrictions on transfer contained herein and in the Private Placement Legend are no longer required in order to maintain compliance with the Securities Act. Upon satisfaction of the conditions of this subparagraph (ii), the Trustee shall cancel the Restricted Physical Notes and increase or cause to be increased the aggregate principal amount of the Unrestricted Global Note. If any such transfer or exchange is effected pursuant to this subparagraph (ii) at a time when an Unrestricted Global Note has not yet been issued, the Issuer shall issue and, upon receipt of a written order of the Issuer in the form of an Officers’ Certificate in accordance with Section 2.01, the Trustee shall authenticate one or more Unrestricted Global Notes in an aggregate principal amount equal to the aggregate principal amount of Restricted Physical Notes transferred or exchanged pursuant to this subparagraph (ii).</w:t>
      </w:r>
    </w:p>
    <w:p>
      <w:pPr>
        <w:spacing w:after="0" w:line="124" w:lineRule="exact"/>
        <w:rPr>
          <w:sz w:val="20"/>
          <w:szCs w:val="20"/>
          <w:color w:val="auto"/>
        </w:rPr>
      </w:pPr>
    </w:p>
    <w:p>
      <w:pPr>
        <w:jc w:val="center"/>
        <w:ind w:right="360"/>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0500"/>
          </w:cols>
          <w:pgMar w:left="880" w:top="270" w:right="519" w:bottom="1440" w:gutter="0" w:footer="0" w:header="0"/>
        </w:sectPr>
      </w:pPr>
    </w:p>
    <w:bookmarkStart w:id="44" w:name="page45"/>
    <w:bookmarkEnd w:id="44"/>
    <w:p>
      <w:pPr>
        <w:ind w:left="440" w:firstLine="419"/>
        <w:spacing w:after="0" w:line="254" w:lineRule="auto"/>
        <w:tabs>
          <w:tab w:leader="none" w:pos="117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Unrestricted Physical Notes to Beneficial Interests in Unrestricted Global Notes</w:t>
      </w:r>
      <w:r>
        <w:rPr>
          <w:rFonts w:ascii="Times New Roman" w:cs="Times New Roman" w:eastAsia="Times New Roman" w:hAnsi="Times New Roman"/>
          <w:sz w:val="18"/>
          <w:szCs w:val="18"/>
          <w:color w:val="auto"/>
        </w:rPr>
        <w:t>. A Holder of an Unrestricted Physical Note may exchange such Unrestricted Physical Note for a beneficial interest in an Unrestricted Global Note or transfer such Unrestricted Physical Note to a Person who takes delivery thereof in the form of a beneficial interest in an Unrestricted Global Note at any time. Upon receipt of a request for such an exchange or transfer, the Trustee shall cancel the applicable Unrestricted Physical Note and increase or cause to be increased the aggregate principal amount of one of the Unrestricted Global Notes. If any such transfer or exchange is effected pursuant to this subparagraph (iii) at a time when an Unrestricted Global Note has not yet been issued, the Issuer shall issue and, upon receipt of a written order of the Issuer in the form of an Officers’ Certificate in accordance with Section 2.01, the Trustee shall authenticate one or more Unrestricted Global Notes in an aggregate principal amount equal to the aggregate principal amount of Unrestricted Physical Notes transferred or exchanged pursuant to this subparagraph (iii).</w:t>
      </w:r>
    </w:p>
    <w:p>
      <w:pPr>
        <w:spacing w:after="0" w:line="80"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68"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Unrestricted Physical Notes to Beneficial Interests in Restricted Global Notes</w:t>
      </w:r>
      <w:r>
        <w:rPr>
          <w:rFonts w:ascii="Times New Roman" w:cs="Times New Roman" w:eastAsia="Times New Roman" w:hAnsi="Times New Roman"/>
          <w:sz w:val="18"/>
          <w:szCs w:val="18"/>
          <w:color w:val="auto"/>
        </w:rPr>
        <w:t>. An Unrestricted Physical Note cannot be exchanged for, or transferred to a Person who takes delivery thereof in the form of, a beneficial interest in a Restricted Global Note.</w:t>
      </w:r>
    </w:p>
    <w:p>
      <w:pPr>
        <w:spacing w:after="0" w:line="161" w:lineRule="exact"/>
        <w:rPr>
          <w:rFonts w:ascii="Times New Roman" w:cs="Times New Roman" w:eastAsia="Times New Roman" w:hAnsi="Times New Roman"/>
          <w:sz w:val="18"/>
          <w:szCs w:val="18"/>
          <w:color w:val="auto"/>
        </w:rPr>
      </w:pPr>
    </w:p>
    <w:p>
      <w:pPr>
        <w:ind w:right="40" w:firstLine="987"/>
        <w:spacing w:after="0" w:line="256" w:lineRule="auto"/>
        <w:tabs>
          <w:tab w:leader="none" w:pos="123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 and Exchange of Physical Notes for Physical Notes</w:t>
      </w:r>
      <w:r>
        <w:rPr>
          <w:rFonts w:ascii="Times New Roman" w:cs="Times New Roman" w:eastAsia="Times New Roman" w:hAnsi="Times New Roman"/>
          <w:sz w:val="18"/>
          <w:szCs w:val="18"/>
          <w:color w:val="auto"/>
        </w:rPr>
        <w:t>. Upon request by a Holder of Physical Notes and such Holder’s compliance with the provisions of this Section 2.17(e), the Registrar shall register the transfer or exchange of Physical Notes. Prior to such registration of transfer or exchange, the requesting Holder shall present or surrender to the Registrar the Physical Notes duly endorsed or accompanied by a written instruction of transfer in form satisfactory to the Registrar duly executed by such Holder or by its attorney, duly authorized in writing. In addition, the requesting Holder shall provide any additional certifications, documents and information, as applicable, required pursuant to the following provisions of this Section 2.17(e).</w:t>
      </w:r>
    </w:p>
    <w:p>
      <w:pPr>
        <w:spacing w:after="0" w:line="79" w:lineRule="exact"/>
        <w:rPr>
          <w:sz w:val="20"/>
          <w:szCs w:val="20"/>
          <w:color w:val="auto"/>
        </w:rPr>
      </w:pPr>
    </w:p>
    <w:p>
      <w:pPr>
        <w:ind w:left="440" w:right="120" w:firstLine="419"/>
        <w:spacing w:after="0" w:line="282" w:lineRule="auto"/>
        <w:tabs>
          <w:tab w:leader="none" w:pos="1078"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Physical Notes to Restricted Physical Notes</w:t>
      </w:r>
      <w:r>
        <w:rPr>
          <w:rFonts w:ascii="Times New Roman" w:cs="Times New Roman" w:eastAsia="Times New Roman" w:hAnsi="Times New Roman"/>
          <w:sz w:val="18"/>
          <w:szCs w:val="18"/>
          <w:color w:val="auto"/>
        </w:rPr>
        <w:t>. A Restricted Physical Note may be transferred to and registered in the name of a Person who takes delivery thereof in the form of a Restricted Physical Note if the Registrar receives the following:</w:t>
      </w:r>
    </w:p>
    <w:p>
      <w:pPr>
        <w:spacing w:after="0" w:line="53" w:lineRule="exact"/>
        <w:rPr>
          <w:rFonts w:ascii="Times New Roman" w:cs="Times New Roman" w:eastAsia="Times New Roman" w:hAnsi="Times New Roman"/>
          <w:sz w:val="18"/>
          <w:szCs w:val="18"/>
          <w:color w:val="auto"/>
        </w:rPr>
      </w:pPr>
    </w:p>
    <w:p>
      <w:pPr>
        <w:ind w:left="980" w:right="220" w:firstLine="408"/>
        <w:spacing w:after="0" w:line="282" w:lineRule="auto"/>
        <w:tabs>
          <w:tab w:leader="none" w:pos="167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 will be made pursuant to Rule 144A under the Securities Act, then the transferor must deliver a certificate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including the certifications in item (1) thereof;</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45" w:name="page46"/>
    <w:bookmarkEnd w:id="45"/>
    <w:p>
      <w:pPr>
        <w:ind w:left="540" w:right="640" w:firstLine="408"/>
        <w:spacing w:after="0" w:line="282" w:lineRule="auto"/>
        <w:tabs>
          <w:tab w:leader="none" w:pos="122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the transfer will be made pursuant to Rule 903 or Rule 904 under the Securities Act, then the transferor must deliver a certificate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including the certifications in item (2) thereof;</w:t>
      </w:r>
    </w:p>
    <w:p>
      <w:pPr>
        <w:spacing w:after="0" w:line="53" w:lineRule="exact"/>
        <w:rPr>
          <w:rFonts w:ascii="Times New Roman" w:cs="Times New Roman" w:eastAsia="Times New Roman" w:hAnsi="Times New Roman"/>
          <w:sz w:val="18"/>
          <w:szCs w:val="18"/>
          <w:color w:val="auto"/>
        </w:rPr>
      </w:pPr>
    </w:p>
    <w:p>
      <w:pPr>
        <w:ind w:left="540" w:right="40" w:firstLine="408"/>
        <w:spacing w:after="0" w:line="282" w:lineRule="auto"/>
        <w:tabs>
          <w:tab w:leader="none" w:pos="122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 will be made pursuant to an exemption from the registration requirements of the Securities Act in accordance with Rule 144 under the Securities Act, a certificate to the effect set forth in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including the certifications in item (3)(a) thereof;</w:t>
      </w:r>
    </w:p>
    <w:p>
      <w:pPr>
        <w:spacing w:after="0" w:line="53" w:lineRule="exact"/>
        <w:rPr>
          <w:rFonts w:ascii="Times New Roman" w:cs="Times New Roman" w:eastAsia="Times New Roman" w:hAnsi="Times New Roman"/>
          <w:sz w:val="18"/>
          <w:szCs w:val="18"/>
          <w:color w:val="auto"/>
        </w:rPr>
      </w:pPr>
    </w:p>
    <w:p>
      <w:pPr>
        <w:ind w:left="540" w:firstLine="408"/>
        <w:spacing w:after="0" w:line="266" w:lineRule="auto"/>
        <w:tabs>
          <w:tab w:leader="none" w:pos="123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transfer will be made to an Institutional Accredited Investor in reliance on an exemption from the registration requirements of the Securities Act other than those listed in subparagraphs (A) through (C) above, a certificate to the effect set forth in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including the certifications, certificates and Opinion of Counsel required by item (3)(d) thereof, if applicable; and</w:t>
      </w:r>
    </w:p>
    <w:p>
      <w:pPr>
        <w:spacing w:after="0" w:line="67" w:lineRule="exact"/>
        <w:rPr>
          <w:rFonts w:ascii="Times New Roman" w:cs="Times New Roman" w:eastAsia="Times New Roman" w:hAnsi="Times New Roman"/>
          <w:sz w:val="18"/>
          <w:szCs w:val="18"/>
          <w:color w:val="auto"/>
        </w:rPr>
      </w:pPr>
    </w:p>
    <w:p>
      <w:pPr>
        <w:ind w:left="540" w:right="220" w:firstLine="408"/>
        <w:spacing w:after="0" w:line="282" w:lineRule="auto"/>
        <w:tabs>
          <w:tab w:leader="none" w:pos="1216"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transfer will be made to the Issuer or a Subsidiary thereof, a certificate to the effect set forth in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including the certifications in item (3)(b) thereof.</w:t>
      </w:r>
    </w:p>
    <w:p>
      <w:pPr>
        <w:spacing w:after="0" w:line="53" w:lineRule="exact"/>
        <w:rPr>
          <w:rFonts w:ascii="Times New Roman" w:cs="Times New Roman" w:eastAsia="Times New Roman" w:hAnsi="Times New Roman"/>
          <w:sz w:val="18"/>
          <w:szCs w:val="18"/>
          <w:color w:val="auto"/>
        </w:rPr>
      </w:pPr>
    </w:p>
    <w:p>
      <w:pPr>
        <w:ind w:right="80" w:firstLine="419"/>
        <w:spacing w:after="0" w:line="266" w:lineRule="auto"/>
        <w:tabs>
          <w:tab w:leader="none" w:pos="68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Physical Notes to Unrestricted Physical Notes</w:t>
      </w:r>
      <w:r>
        <w:rPr>
          <w:rFonts w:ascii="Times New Roman" w:cs="Times New Roman" w:eastAsia="Times New Roman" w:hAnsi="Times New Roman"/>
          <w:sz w:val="18"/>
          <w:szCs w:val="18"/>
          <w:color w:val="auto"/>
        </w:rPr>
        <w:t>. Any Restricted Physical Note may be exchanged by the Holder thereof for an Unrestricted Physical Note or transferred to a Person who takes delivery thereof in the form of an Unrestricted Physical Note if the Registrar receives the following:</w:t>
      </w:r>
    </w:p>
    <w:p>
      <w:pPr>
        <w:spacing w:after="0" w:line="68" w:lineRule="exact"/>
        <w:rPr>
          <w:sz w:val="20"/>
          <w:szCs w:val="20"/>
          <w:color w:val="auto"/>
        </w:rPr>
      </w:pPr>
    </w:p>
    <w:p>
      <w:pPr>
        <w:ind w:left="540" w:right="160" w:firstLine="408"/>
        <w:spacing w:after="0" w:line="282" w:lineRule="auto"/>
        <w:tabs>
          <w:tab w:leader="none" w:pos="119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Restricted Physical Note proposes to exchange such Restricted Physical Note for an Unrestricted Physical Note, a certificate from such Holder in the form of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including the certifications in item (1)(c) thereof; or</w:t>
      </w:r>
    </w:p>
    <w:p>
      <w:pPr>
        <w:spacing w:after="0" w:line="53" w:lineRule="exact"/>
        <w:rPr>
          <w:rFonts w:ascii="Times New Roman" w:cs="Times New Roman" w:eastAsia="Times New Roman" w:hAnsi="Times New Roman"/>
          <w:sz w:val="18"/>
          <w:szCs w:val="18"/>
          <w:color w:val="auto"/>
        </w:rPr>
      </w:pPr>
    </w:p>
    <w:p>
      <w:pPr>
        <w:ind w:left="540" w:right="140" w:firstLine="408"/>
        <w:spacing w:after="0" w:line="261" w:lineRule="auto"/>
        <w:tabs>
          <w:tab w:leader="none" w:pos="1196"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Holder of such Restricted Physical Note proposes to transfer such Notes to a Person who shall take delivery thereof in the form of an Unrestricted Physical Note, a certificate from such Holder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including the certifications in item</w:t>
      </w:r>
    </w:p>
    <w:p>
      <w:pPr>
        <w:ind w:left="800" w:hanging="253"/>
        <w:spacing w:after="0"/>
        <w:tabs>
          <w:tab w:leader="none" w:pos="80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w:t>
      </w:r>
    </w:p>
    <w:p>
      <w:pPr>
        <w:spacing w:after="0" w:line="99"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and, in each such case, an Opinion of Counsel in form reasonably acceptable to the Issuer to the effect that such exchange or transfer is in compliance with the Securities Act and that the restrictions on transfer contained herein and in the Private Placement Legend are no longer required in order to maintain compliance with the Securities Act.</w:t>
      </w:r>
    </w:p>
    <w:p>
      <w:pPr>
        <w:spacing w:after="0" w:line="68" w:lineRule="exact"/>
        <w:rPr>
          <w:sz w:val="20"/>
          <w:szCs w:val="20"/>
          <w:color w:val="auto"/>
        </w:rPr>
      </w:pPr>
    </w:p>
    <w:p>
      <w:pPr>
        <w:ind w:right="120" w:firstLine="419"/>
        <w:spacing w:after="0" w:line="289" w:lineRule="auto"/>
        <w:tabs>
          <w:tab w:leader="none" w:pos="738" w:val="left"/>
        </w:tabs>
        <w:numPr>
          <w:ilvl w:val="0"/>
          <w:numId w:val="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Unrestricted Physical Notes to Unrestricted Physical Notes</w:t>
      </w:r>
      <w:r>
        <w:rPr>
          <w:rFonts w:ascii="Times New Roman" w:cs="Times New Roman" w:eastAsia="Times New Roman" w:hAnsi="Times New Roman"/>
          <w:sz w:val="17"/>
          <w:szCs w:val="17"/>
          <w:color w:val="auto"/>
        </w:rPr>
        <w:t>. A Holder of an Unrestricted Physical Note may transfer such Unrestricted Physical Notes to a Person who takes delivery thereof in the form of an Unrestricted Physical Note at any time. Upon receipt of a request to register such a transfer, the Registrar shall register the Unrestricted Physical Notes pursuant to the instructions from the Holder thereof.</w:t>
      </w:r>
    </w:p>
    <w:p>
      <w:pPr>
        <w:spacing w:after="0" w:line="90"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0520"/>
          </w:cols>
          <w:pgMar w:left="880" w:top="270" w:right="499" w:bottom="1440" w:gutter="0" w:footer="0" w:header="0"/>
        </w:sectPr>
      </w:pPr>
    </w:p>
    <w:bookmarkStart w:id="46" w:name="page47"/>
    <w:bookmarkEnd w:id="46"/>
    <w:p>
      <w:pPr>
        <w:ind w:left="440" w:right="180" w:firstLine="419"/>
        <w:spacing w:after="0" w:line="282" w:lineRule="auto"/>
        <w:tabs>
          <w:tab w:leader="none" w:pos="1168"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Unrestricted Physical Notes to Restricted Physical Notes</w:t>
      </w:r>
      <w:r>
        <w:rPr>
          <w:rFonts w:ascii="Times New Roman" w:cs="Times New Roman" w:eastAsia="Times New Roman" w:hAnsi="Times New Roman"/>
          <w:sz w:val="18"/>
          <w:szCs w:val="18"/>
          <w:color w:val="auto"/>
        </w:rPr>
        <w:t>. An Unrestricted Physical Note cannot be exchanged for, or transferred to a Person who takes delivery thereof in the form of, a Restricted Physical Note.</w:t>
      </w:r>
    </w:p>
    <w:p>
      <w:pPr>
        <w:spacing w:after="0" w:line="161" w:lineRule="exact"/>
        <w:rPr>
          <w:rFonts w:ascii="Times New Roman" w:cs="Times New Roman" w:eastAsia="Times New Roman" w:hAnsi="Times New Roman"/>
          <w:sz w:val="18"/>
          <w:szCs w:val="18"/>
          <w:color w:val="auto"/>
        </w:rPr>
      </w:pPr>
    </w:p>
    <w:p>
      <w:pPr>
        <w:ind w:right="20" w:firstLine="987"/>
        <w:spacing w:after="0" w:line="254" w:lineRule="auto"/>
        <w:tabs>
          <w:tab w:leader="none" w:pos="1216"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 and/or Adjustment of Global Notes</w:t>
      </w:r>
      <w:r>
        <w:rPr>
          <w:rFonts w:ascii="Times New Roman" w:cs="Times New Roman" w:eastAsia="Times New Roman" w:hAnsi="Times New Roman"/>
          <w:sz w:val="18"/>
          <w:szCs w:val="18"/>
          <w:color w:val="auto"/>
        </w:rPr>
        <w:t>. At such time as all beneficial interests in a particular Global Note have been exchanged for Physical Notes or a particular Global Note has been redeemed, repurchased or canceled in whole and not in part, each such Global Note shall be returned to or retained and canceled by the Trustee in accordance with Section 2.12. At any time prior to such cancellation, if any beneficial interest in a Global Note is exchanged for or transferred to a Person who will take delivery thereof in the form of a beneficial interest in another Global Note or for Physical Notes, the principal amount of Notes represented by such Global Note shall be reduced accordingly and an endorsement shall be made on such Global Note by the Trustee or by the Depository at the direction of the Trustee to reflect such reduction; and if the beneficial interest is being exchanged for or transferred to a Person who will take delivery thereof in the form of a beneficial interest in another Global Note, such other Global Note shall be increased accordingly and an endorsement shall be made on such Global Note by the Trustee or by the Depository at the direction of the Trustee to reflect such increase.</w:t>
      </w:r>
    </w:p>
    <w:p>
      <w:pPr>
        <w:spacing w:after="0" w:line="188" w:lineRule="exact"/>
        <w:rPr>
          <w:rFonts w:ascii="Times New Roman" w:cs="Times New Roman" w:eastAsia="Times New Roman" w:hAnsi="Times New Roman"/>
          <w:sz w:val="18"/>
          <w:szCs w:val="18"/>
          <w:color w:val="auto"/>
        </w:rPr>
      </w:pPr>
    </w:p>
    <w:p>
      <w:pPr>
        <w:ind w:firstLine="987"/>
        <w:spacing w:after="0" w:line="256" w:lineRule="auto"/>
        <w:tabs>
          <w:tab w:leader="none" w:pos="1246"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 Placement Legend</w:t>
      </w:r>
      <w:r>
        <w:rPr>
          <w:rFonts w:ascii="Times New Roman" w:cs="Times New Roman" w:eastAsia="Times New Roman" w:hAnsi="Times New Roman"/>
          <w:sz w:val="18"/>
          <w:szCs w:val="18"/>
          <w:color w:val="auto"/>
        </w:rPr>
        <w:t>. Upon the registration of transfer, exchange or replacement of Notes not bearing the Private Placement Legend, the Registrar shall deliver Notes that do not bear the Private Placement Legend. Upon the registration of transfer, exchange or replacement of Notes bearing the Private Placement Legend, the Registrar shall deliver only Notes that bear the Private Placement Legend unless (i) there is delivered to the Registrar an Opinion of Counsel reasonably satisfactory to the Issuer and the Trustee to the effect that neither such legend nor the related restrictions on transfer are required in order to maintain compliance with the provisions of the Securities Act or (ii) such Note has been sold pursuant to an effective registration statement under the Securities Act and the Registrar has received an Officers’ Certificate from the Issuer to such effect.</w:t>
      </w:r>
    </w:p>
    <w:p>
      <w:pPr>
        <w:spacing w:after="0" w:line="187" w:lineRule="exact"/>
        <w:rPr>
          <w:rFonts w:ascii="Times New Roman" w:cs="Times New Roman" w:eastAsia="Times New Roman" w:hAnsi="Times New Roman"/>
          <w:sz w:val="18"/>
          <w:szCs w:val="18"/>
          <w:color w:val="auto"/>
        </w:rPr>
      </w:pPr>
    </w:p>
    <w:p>
      <w:pPr>
        <w:ind w:right="60" w:firstLine="987"/>
        <w:spacing w:after="0" w:line="266" w:lineRule="auto"/>
        <w:tabs>
          <w:tab w:leader="none" w:pos="1246"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All Global Notes and Physical Notes issued upon any registration of transfer or exchange of Global Notes or Physical Notes shall be the valid obligations of the Issuer, evidencing the same debt, and entitled to the same benefits under this Indenture, as the Global Notes or Physical Notes surrendered upon such registration of transfer or exchange.</w:t>
      </w:r>
    </w:p>
    <w:p>
      <w:pPr>
        <w:spacing w:after="0" w:line="176" w:lineRule="exact"/>
        <w:rPr>
          <w:sz w:val="20"/>
          <w:szCs w:val="20"/>
          <w:color w:val="auto"/>
        </w:rPr>
      </w:pPr>
    </w:p>
    <w:p>
      <w:pPr>
        <w:ind w:right="320" w:firstLine="991"/>
        <w:spacing w:after="0" w:line="266" w:lineRule="auto"/>
        <w:rPr>
          <w:sz w:val="20"/>
          <w:szCs w:val="20"/>
          <w:color w:val="auto"/>
        </w:rPr>
      </w:pPr>
      <w:r>
        <w:rPr>
          <w:rFonts w:ascii="Times New Roman" w:cs="Times New Roman" w:eastAsia="Times New Roman" w:hAnsi="Times New Roman"/>
          <w:sz w:val="18"/>
          <w:szCs w:val="18"/>
          <w:color w:val="auto"/>
        </w:rPr>
        <w:t>The Registrar shall retain for a period of two years following receipt copies of all letters, notices and other written communications received pursuant to Section 2.16 or this Section 2.17. The Issuer shall have the right to inspect and make copies of all such letters, notices or other written communications at any reasonable time upon the giving of reasonable notice to the Registrar.</w:t>
      </w:r>
    </w:p>
    <w:p>
      <w:pPr>
        <w:spacing w:after="0" w:line="10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0900"/>
          </w:cols>
          <w:pgMar w:left="440" w:top="270" w:right="559" w:bottom="1440" w:gutter="0" w:footer="0" w:header="0"/>
        </w:sectPr>
      </w:pPr>
    </w:p>
    <w:bookmarkStart w:id="47" w:name="page48"/>
    <w:bookmarkEnd w:id="47"/>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None of the Issuer, the Trustee, Paying Agent nor any Agent of the Issuer shall have any responsibility or liability in any respect of the records relating to or payment made on account of beneficial interests in a Global Note, or for maintaining, supervising or reviewing any records relating to such beneficial ownership interests.</w:t>
      </w:r>
    </w:p>
    <w:p>
      <w:pPr>
        <w:spacing w:after="0" w:line="176"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Neither the Trustee nor the Registrar shall have any obligation or duty to monitor, determine or inquire as to compliance with any restrictions on transfer imposed under this Indenture or under applicable law with respect to any transfer of any interest in any Note (including any transfers between or among Agent Members or beneficial owners of interests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2.18. </w:t>
      </w:r>
      <w:r>
        <w:rPr>
          <w:rFonts w:ascii="Times New Roman" w:cs="Times New Roman" w:eastAsia="Times New Roman" w:hAnsi="Times New Roman"/>
          <w:sz w:val="18"/>
          <w:szCs w:val="18"/>
          <w:u w:val="single" w:color="auto"/>
          <w:color w:val="auto"/>
        </w:rPr>
        <w:t>Computation of 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Interest on the Notes shall be computed on the basis of a 360-day year of twelve 30-day months and actual days elapsed.</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ARTICLE THREE</w:t>
      </w:r>
    </w:p>
    <w:p>
      <w:pPr>
        <w:spacing w:after="0" w:line="1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REDEMPTION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Election To Redeem; Notices to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If the Issuer elects to redeem Notes pursuant to paragraph 5 of the Notes at least 45 days prior to the Redemption Date (unless a shorter notice shall be agreed to in writing by the Trustee) but not more than 65 days before the Redemption Date, the Issuer shall notify the Trustee in writing of the Redemption Date, the principal amount of Notes to be redeemed and the redemption price(s), and deliver to the Trustee an Officers’ Certificate stating that such redemption will comply with the conditions contained in paragraph 5 of the Notes. Except as provided in Section 3.04, notice given to the Trustee pursuant to this Section 3.01 may not be revoked after the time that notice is given to Noteholders pursuant to Section 3.03.</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0880"/>
          </w:cols>
          <w:pgMar w:left="440" w:top="270" w:right="57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3.02. </w:t>
      </w:r>
      <w:r>
        <w:rPr>
          <w:rFonts w:ascii="Times New Roman" w:cs="Times New Roman" w:eastAsia="Times New Roman" w:hAnsi="Times New Roman"/>
          <w:sz w:val="18"/>
          <w:szCs w:val="18"/>
          <w:u w:val="single" w:color="auto"/>
          <w:color w:val="auto"/>
        </w:rPr>
        <w:t>Selection by Trustee of Notes To Be Redeemed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If less than all of the Notes are to be redeemed at any time, selection of such Notes for redemption will be made by the Trustee in compliance with the requirements of the principal national securities exchange, if any, on which the Notes to be redeemed are listed or, if such Notes are not so listed,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(or if the Notes are held through DTC and if the procedures of DTC at such time do not permit pro rata redemptions, then by lot or by such other method consistent with the procedures of DTC that the Trustee in its sole discretion deems fair and reasonable);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Notes with a principal amount of $2,000 or less shall be redeemed in part. For all purposes of this Indenture unless the context otherwise requires, provisions of this Indenture that apply to Notes called for redemption also apply to portions of Notes called for redemption. Redemption amounts shall only be paid upon presentation and surrender of any such Notes to be redeemed to the Trustee at its Corporate Trust Office.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Notice of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991"/>
        <w:spacing w:after="0" w:line="266" w:lineRule="auto"/>
        <w:rPr>
          <w:sz w:val="20"/>
          <w:szCs w:val="20"/>
          <w:color w:val="auto"/>
        </w:rPr>
      </w:pPr>
      <w:r>
        <w:rPr>
          <w:rFonts w:ascii="Times New Roman" w:cs="Times New Roman" w:eastAsia="Times New Roman" w:hAnsi="Times New Roman"/>
          <w:sz w:val="18"/>
          <w:szCs w:val="18"/>
          <w:color w:val="auto"/>
        </w:rPr>
        <w:t>At least 30 days, and no more than 60 days, before a Redemption Date, the Issuer shall send, or cause to be sent, a notice of redemption electronically or by first-class mail to each Holder of Notes to be redeemed at his or her last address as the same appears on the registry books maintained by the Registrar pursuant to Section 2.06.</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notice shall identify the Notes to be redeemed (including the CUSIP and/or ISIN numbers thereof) and shall state:</w:t>
      </w:r>
    </w:p>
    <w:p>
      <w:pPr>
        <w:spacing w:after="0" w:line="117" w:lineRule="exact"/>
        <w:rPr>
          <w:sz w:val="20"/>
          <w:szCs w:val="20"/>
          <w:color w:val="auto"/>
        </w:rPr>
      </w:pPr>
    </w:p>
    <w:p>
      <w:pPr>
        <w:ind w:left="1640" w:hanging="252"/>
        <w:spacing w:after="0"/>
        <w:tabs>
          <w:tab w:leader="none" w:pos="1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Date;</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price and the amount of premium and accrued interest to be paid;</w:t>
      </w:r>
    </w:p>
    <w:p>
      <w:pPr>
        <w:spacing w:after="0" w:line="117" w:lineRule="exact"/>
        <w:rPr>
          <w:rFonts w:ascii="Times New Roman" w:cs="Times New Roman" w:eastAsia="Times New Roman" w:hAnsi="Times New Roman"/>
          <w:sz w:val="18"/>
          <w:szCs w:val="18"/>
          <w:color w:val="auto"/>
        </w:rPr>
      </w:pPr>
    </w:p>
    <w:p>
      <w:pPr>
        <w:ind w:left="980" w:right="380" w:firstLine="408"/>
        <w:spacing w:after="0" w:line="266" w:lineRule="auto"/>
        <w:tabs>
          <w:tab w:leader="none" w:pos="163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Note is being redeemed in part, the portion of the principal amount of such Note to be redeemed and that, after the Redemption Date and upon surrender of such Note, a new Note or Notes in principal amount equal to the unredeemed portion will be issued;</w:t>
      </w:r>
    </w:p>
    <w:p>
      <w:pPr>
        <w:spacing w:after="0" w:line="6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and address of the Paying Agent;</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Notes called for redemption must be surrendered to the Paying Agent to collect the redemption price;</w:t>
      </w:r>
    </w:p>
    <w:p>
      <w:pPr>
        <w:spacing w:after="0" w:line="117" w:lineRule="exact"/>
        <w:rPr>
          <w:rFonts w:ascii="Times New Roman" w:cs="Times New Roman" w:eastAsia="Times New Roman" w:hAnsi="Times New Roman"/>
          <w:sz w:val="18"/>
          <w:szCs w:val="18"/>
          <w:color w:val="auto"/>
        </w:rPr>
      </w:pPr>
    </w:p>
    <w:p>
      <w:pPr>
        <w:ind w:left="980" w:firstLine="408"/>
        <w:spacing w:after="0" w:line="282" w:lineRule="auto"/>
        <w:tabs>
          <w:tab w:leader="none" w:pos="1636"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the Issuer defaults in making the redemption payment, interest on Notes called for redemption ceases to accrue on and after the Redemption Date;</w:t>
      </w:r>
    </w:p>
    <w:p>
      <w:pPr>
        <w:spacing w:after="0" w:line="53"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paragraph 5 of the Notes is the provision of the Notes pursuant to which the redemption is occurring; and</w:t>
      </w:r>
    </w:p>
    <w:p>
      <w:pPr>
        <w:spacing w:after="0" w:line="11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Notes that are being redeemed.</w:t>
      </w:r>
    </w:p>
    <w:p>
      <w:pPr>
        <w:spacing w:after="0" w:line="15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0960"/>
          </w:cols>
          <w:pgMar w:left="440" w:top="270" w:right="499" w:bottom="1440" w:gutter="0" w:footer="0" w:header="0"/>
        </w:sectPr>
      </w:pPr>
    </w:p>
    <w:bookmarkStart w:id="49" w:name="page50"/>
    <w:bookmarkEnd w:id="49"/>
    <w:p>
      <w:pPr>
        <w:ind w:right="340"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At the Issuer’s written request made at least five Business Days prior to the date on which notice is to be given (or such shorter period acceptable to the Trustee), the Trustee shall give the notice of redemption in the Issuer’s name and at the Issuer’s sole expense.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Effect of Notice of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Once the notice of redemption described in Section 3.03 is sent and subject to the proviso to this sentence, Notes called for redemption become due and payable on the Redemption Date and at the redemption price, including any premium, plus interest accrued to the Redemption Date; </w:t>
      </w:r>
      <w:r>
        <w:rPr>
          <w:rFonts w:ascii="Times New Roman" w:cs="Times New Roman" w:eastAsia="Times New Roman" w:hAnsi="Times New Roman"/>
          <w:sz w:val="18"/>
          <w:szCs w:val="18"/>
          <w:i w:val="1"/>
          <w:iCs w:val="1"/>
          <w:color w:val="auto"/>
        </w:rPr>
        <w:t xml:space="preserve">provided, however, </w:t>
      </w:r>
      <w:r>
        <w:rPr>
          <w:rFonts w:ascii="Times New Roman" w:cs="Times New Roman" w:eastAsia="Times New Roman" w:hAnsi="Times New Roman"/>
          <w:sz w:val="18"/>
          <w:szCs w:val="18"/>
          <w:color w:val="auto"/>
        </w:rPr>
        <w:t>that any redemption and notice thereof pursuant to this Indenture may, in the Issuer’s discretion, be subject to the satisfaction of one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or more conditions precedent described in such notice and in which case if and/or to the extent such condition(s) precedent is/are not satisfied the Issuer shall have no obligation to redeem Notes on such Redemption Date. Upon surrender to the Paying Agent, such Notes shall be paid at the redemption price, including any premium, plus interest accrued to but excluding the Redemption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Redemption Date is after a regular record date and on or prior to the Interest Payment Date, the accrued interest shall be payable to the Holder of the redeemed Notes registered on the relevant record date;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if a Redemption Date is a Legal Holiday, payment shall be made on the next succeeding Business Day and no interest shall accrue for the period from such Redemption Date to such succeeding Business Day.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Deposit of Redemption Price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20" w:firstLine="991"/>
        <w:spacing w:after="0" w:line="266" w:lineRule="auto"/>
        <w:rPr>
          <w:sz w:val="20"/>
          <w:szCs w:val="20"/>
          <w:color w:val="auto"/>
        </w:rPr>
      </w:pPr>
      <w:r>
        <w:rPr>
          <w:rFonts w:ascii="Times New Roman" w:cs="Times New Roman" w:eastAsia="Times New Roman" w:hAnsi="Times New Roman"/>
          <w:sz w:val="18"/>
          <w:szCs w:val="18"/>
          <w:color w:val="auto"/>
        </w:rPr>
        <w:t>On or prior to 10:00 A.M., New York City time, on each Redemption Date, the Issuer shall deposit with the Paying Agent U.S. Dollars sufficient to pay the redemption price of, including premium, if any, and accrued interest on any and all Notes to be redeemed on that date (other than Notes or portions thereof called for redemption on that date which have been delivered by the Issuer to the Trustee for cancellation).</w:t>
      </w:r>
    </w:p>
    <w:p>
      <w:pPr>
        <w:spacing w:after="0" w:line="176"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On and after any Redemption Date, if money sufficient to pay the redemption price of, including premium, if any, and accrued interest on all Notes called for redemption shall have been made available in accordance with the immediately preceding paragraph, the Notes called for redemption will cease to accrue interest and the only right of the Holders of such Notes will be to receive payment of the redemption price of and, subject to the second proviso in Section 3.04, accrued and unpaid interest on such Notes to but excluding the Redemption Date. If any Note surrendered for redemption shall not be so paid, interest will be paid, from the Redemption Date until such redemption payment is made, on the unpaid principal of the Note and any interest not paid on such unpaid principal, in each case at the rate and in the manner provided in the Notes.</w:t>
      </w:r>
    </w:p>
    <w:p>
      <w:pPr>
        <w:spacing w:after="0" w:line="12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0980"/>
          </w:cols>
          <w:pgMar w:left="440" w:top="270"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3.06. </w:t>
      </w:r>
      <w:r>
        <w:rPr>
          <w:rFonts w:ascii="Times New Roman" w:cs="Times New Roman" w:eastAsia="Times New Roman" w:hAnsi="Times New Roman"/>
          <w:sz w:val="18"/>
          <w:szCs w:val="18"/>
          <w:u w:val="single" w:color="auto"/>
          <w:color w:val="auto"/>
        </w:rPr>
        <w:t>Notes Redeemed in Part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Upon surrender of a Note that is redeemed in part, the Issuer shall execute and, upon receipt of a written order of the Issuer in the form of an Officers’ Certificate in accordance with Section 2.01, the Trustee shall authenticate for the Holder thereof a new Note equal in principal amount to the unredeemed portion of the Note surrendered.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3.07. </w:t>
      </w:r>
      <w:r>
        <w:rPr>
          <w:rFonts w:ascii="Times New Roman" w:cs="Times New Roman" w:eastAsia="Times New Roman" w:hAnsi="Times New Roman"/>
          <w:sz w:val="18"/>
          <w:szCs w:val="18"/>
          <w:u w:val="single" w:color="auto"/>
          <w:color w:val="auto"/>
        </w:rPr>
        <w:t>Mandatory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82" w:lineRule="auto"/>
        <w:rPr>
          <w:sz w:val="20"/>
          <w:szCs w:val="20"/>
          <w:color w:val="auto"/>
        </w:rPr>
      </w:pPr>
      <w:r>
        <w:rPr>
          <w:rFonts w:ascii="Times New Roman" w:cs="Times New Roman" w:eastAsia="Times New Roman" w:hAnsi="Times New Roman"/>
          <w:sz w:val="18"/>
          <w:szCs w:val="18"/>
          <w:color w:val="auto"/>
        </w:rPr>
        <w:t>Except as provided in Section 4.08 or as contemplated by Article Six, the Issuer is not required to make any mandatory redemption of the Notes or any sinking fund payments with respect to the Notes.</w:t>
      </w:r>
    </w:p>
    <w:p>
      <w:pPr>
        <w:spacing w:after="0" w:line="37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ARTICLE FOUR</w:t>
      </w:r>
    </w:p>
    <w:p>
      <w:pPr>
        <w:spacing w:after="0" w:line="11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COVENANTS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Payment of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The Issuer shall pay the principal of and interest on the Notes on the dates and in the manner provided in the Notes and this Indenture. An installment of principal or interest shall be considered paid on the date it is due if the Trustee or the Paying Agents hold by 10:00 A.M. Eastern Time on that date U.S. Dollars designated for and sufficient to pay such installment.</w:t>
      </w:r>
    </w:p>
    <w:p>
      <w:pPr>
        <w:spacing w:after="0" w:line="176" w:lineRule="exact"/>
        <w:rPr>
          <w:sz w:val="20"/>
          <w:szCs w:val="20"/>
          <w:color w:val="auto"/>
        </w:rPr>
      </w:pPr>
    </w:p>
    <w:p>
      <w:pPr>
        <w:ind w:right="500" w:firstLine="991"/>
        <w:spacing w:after="0" w:line="282" w:lineRule="auto"/>
        <w:rPr>
          <w:sz w:val="20"/>
          <w:szCs w:val="20"/>
          <w:color w:val="auto"/>
        </w:rPr>
      </w:pPr>
      <w:r>
        <w:rPr>
          <w:rFonts w:ascii="Times New Roman" w:cs="Times New Roman" w:eastAsia="Times New Roman" w:hAnsi="Times New Roman"/>
          <w:sz w:val="18"/>
          <w:szCs w:val="18"/>
          <w:color w:val="auto"/>
        </w:rPr>
        <w:t>The Issuer shall pay interest on overdue principal (including post-petition interest in a proceeding under any Bankruptcy Law), and overdue interest, to the extent lawful, at the rate specified in the Notes.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Maintenance of Office or Agency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6" w:lineRule="auto"/>
        <w:tabs>
          <w:tab w:leader="none" w:pos="123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maintain in the Borough of Manhattan, The City of New York, an office or agency (which may be an office of the Trustee or an Affiliate of the Trustee or Registrar) where Notes may be surrendered for registration of transfer or for exchange and where notices and demands to or upon the Issuer in respect of the Notes and this Indenture may be served. The Issuer shall give prompt written notice to the Trustee of the location, and any change in the location, of such office or agency. If at any time the Issuer shall fail to maintain any such required office or agency or shall fail to furnish the Trustee with the address thereof, such presentations, surrenders, notices and demands may be made or served at the Corporate Trust Office of the Trustee.</w:t>
      </w:r>
    </w:p>
    <w:p>
      <w:pPr>
        <w:spacing w:after="0" w:line="12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0920"/>
          </w:cols>
          <w:pgMar w:left="440" w:top="270" w:right="539" w:bottom="1440" w:gutter="0" w:footer="0" w:header="0"/>
        </w:sectPr>
      </w:pPr>
    </w:p>
    <w:bookmarkStart w:id="51" w:name="page52"/>
    <w:bookmarkEnd w:id="51"/>
    <w:p>
      <w:pPr>
        <w:ind w:left="4" w:firstLine="987"/>
        <w:spacing w:after="0" w:line="281" w:lineRule="auto"/>
        <w:tabs>
          <w:tab w:leader="none" w:pos="125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Issuer may also from time to time designate one or more other offices or agencies where the Notes may be presented or surrendered for any or all such purposes and may from time to time rescind such designations;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no such designation or rescission shall in any manner relieve the Issuer of its obligation to maintain an office or agency in the Borough of Manhattan, The City of New York. The Issuer shall give prompt written notice to the Trustee of any such designation or rescission and of any change in the location of any such other office or agency.</w:t>
      </w:r>
    </w:p>
    <w:p>
      <w:pPr>
        <w:spacing w:after="0" w:line="164" w:lineRule="exact"/>
        <w:rPr>
          <w:rFonts w:ascii="Times New Roman" w:cs="Times New Roman" w:eastAsia="Times New Roman" w:hAnsi="Times New Roman"/>
          <w:sz w:val="17"/>
          <w:szCs w:val="17"/>
          <w:color w:val="auto"/>
        </w:rPr>
      </w:pPr>
    </w:p>
    <w:p>
      <w:pPr>
        <w:ind w:left="4" w:right="260" w:firstLine="987"/>
        <w:spacing w:after="0" w:line="282" w:lineRule="auto"/>
        <w:tabs>
          <w:tab w:leader="none" w:pos="12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hereby designates the Corporate Trust Office of the Trustee, or its Agent, in the Borough of Manhattan, The City of New York, as such office or agency of the Issuer in accordance with Section 2.04.</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4.03. </w:t>
      </w:r>
      <w:r>
        <w:rPr>
          <w:rFonts w:ascii="Times New Roman" w:cs="Times New Roman" w:eastAsia="Times New Roman" w:hAnsi="Times New Roman"/>
          <w:sz w:val="18"/>
          <w:szCs w:val="18"/>
          <w:u w:val="single" w:color="auto"/>
          <w:color w:val="auto"/>
        </w:rPr>
        <w:t>Legal Existence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Except as permitted by Article Five, Parent shall do or cause to be done all things necessary to preserve and keep in full force and effect</w:t>
      </w:r>
    </w:p>
    <w:p>
      <w:pPr>
        <w:spacing w:after="0" w:line="27" w:lineRule="exact"/>
        <w:rPr>
          <w:sz w:val="20"/>
          <w:szCs w:val="20"/>
          <w:color w:val="auto"/>
        </w:rPr>
      </w:pPr>
    </w:p>
    <w:p>
      <w:pPr>
        <w:ind w:left="4" w:hanging="4"/>
        <w:spacing w:after="0" w:line="252" w:lineRule="auto"/>
        <w:tabs>
          <w:tab w:leader="none" w:pos="219"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its legal existence, and the corporate, partnership or other existence of each Restricted Subsidiary, in accordance with the respective organizational documents (as the same may be amended from time to time) of Parent, Crown and the Issuer and each such Restricted Subsidiary and (ii) subject to applicable laws, the material rights (charter and statutory) and franchises of Parent, Crown and the Issuer and such Restricted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Parent, Crown and the Issuer shall not be required to preserve any such right, franchise, or the corporate, partnership or other existence of any of their Restricted Subsidiaries (other than Crown or the Issuer) if the Board of Directors of Parent, Crown or the Issuer, as applicable, shall determine that the preservation thereof is no longer desirable in the conduct of the business of Parent, Crown or the Issuer, as applicable and its Restricted Subsidiaries, taken as a whole, and that the loss thereof is not adverse in any material respect to the Holders.</w:t>
      </w:r>
    </w:p>
    <w:p>
      <w:pPr>
        <w:spacing w:after="0" w:line="188"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4.04. </w:t>
      </w:r>
      <w:r>
        <w:rPr>
          <w:rFonts w:ascii="Times New Roman" w:cs="Times New Roman" w:eastAsia="Times New Roman" w:hAnsi="Times New Roman"/>
          <w:sz w:val="18"/>
          <w:szCs w:val="18"/>
          <w:u w:val="single" w:color="auto"/>
          <w:color w:val="auto"/>
        </w:rPr>
        <w:t>Compliance with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0" w:firstLine="991"/>
        <w:spacing w:after="0" w:line="266" w:lineRule="auto"/>
        <w:rPr>
          <w:sz w:val="20"/>
          <w:szCs w:val="20"/>
          <w:color w:val="auto"/>
        </w:rPr>
      </w:pPr>
      <w:r>
        <w:rPr>
          <w:rFonts w:ascii="Times New Roman" w:cs="Times New Roman" w:eastAsia="Times New Roman" w:hAnsi="Times New Roman"/>
          <w:sz w:val="18"/>
          <w:szCs w:val="18"/>
          <w:color w:val="auto"/>
        </w:rPr>
        <w:t>Parent shall, and shall cause each of its Restricted Subsidiaries to, comply with all statutes, laws, ordinances or government rules and regulations to which they are subject, non-compliance with which would materially adversely affect the business, financial condition or results of operations of Parent and its Restricted Subsidiaries, taken as a whole.</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4.05. </w:t>
      </w:r>
      <w:r>
        <w:rPr>
          <w:rFonts w:ascii="Times New Roman" w:cs="Times New Roman" w:eastAsia="Times New Roman" w:hAnsi="Times New Roman"/>
          <w:sz w:val="18"/>
          <w:szCs w:val="18"/>
          <w:u w:val="single" w:color="auto"/>
          <w:color w:val="auto"/>
        </w:rPr>
        <w:t>Waiver of Stay, Extension or Usury Laws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991"/>
        <w:spacing w:after="0" w:line="255" w:lineRule="auto"/>
        <w:rPr>
          <w:sz w:val="20"/>
          <w:szCs w:val="20"/>
          <w:color w:val="auto"/>
        </w:rPr>
      </w:pPr>
      <w:r>
        <w:rPr>
          <w:rFonts w:ascii="Times New Roman" w:cs="Times New Roman" w:eastAsia="Times New Roman" w:hAnsi="Times New Roman"/>
          <w:sz w:val="18"/>
          <w:szCs w:val="18"/>
          <w:color w:val="auto"/>
        </w:rPr>
        <w:t>The Issuer and each of the Guarantors covenants (to the extent that it may lawfully do so) that it shall not at any time insist upon, or plead (as a defense or otherwise) or in any manner whatsoever claim or take the benefit or advantage of, any stay or extension law or any usury law or other law which would prohibit or forgive the Issuer and the Guarantors from paying all or any portion of the principal of, premium, if any, and/or interest on the Notes as contemplated herein, wherever enacted, now or at any time hereafter in force, or which may affect the covenants or the performance of this Indenture; and (to the extent that they may lawfully do so) the Issuer and each of the Guarantors hereby expressly waives all benefit or advantage of any such law, and covenants that it will not hinder, delay or impede the execution of any power herein granted to the Trustee, but will suffer and permit the execution of every such power as though no such law had been enacted.</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0984"/>
          </w:cols>
          <w:pgMar w:left="436" w:top="270" w:right="47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4.06. </w:t>
      </w: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87"/>
        <w:spacing w:after="0" w:line="256" w:lineRule="auto"/>
        <w:tabs>
          <w:tab w:leader="none" w:pos="123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deliver to the Trustee, within 120 days after the end of each Fiscal Year, an Officers’ Certificate (as enumerated by and in compliance with Section 314(a)(4) of the TIA) stating that each Officer has conducted or supervised a review of the activities of Parent and its Restricted Subsidiaries and Parent’s and its Restricted Subsidiaries’ performance under this Indenture during such Fiscal Year, and further stating, as to each such Officer signing such certificate, that, to the best of such Officers’ knowledge, based upon such review, Parent and the Issuer has fulfilled all obligations under this Indenture or, if there has been a Default under this Indenture that is continuing, a description of the event and what action Parent and its Restricted Subsidiaries are taking or propose to take with respect thereto.</w:t>
      </w:r>
    </w:p>
    <w:p>
      <w:pPr>
        <w:spacing w:after="0" w:line="187" w:lineRule="exact"/>
        <w:rPr>
          <w:rFonts w:ascii="Times New Roman" w:cs="Times New Roman" w:eastAsia="Times New Roman" w:hAnsi="Times New Roman"/>
          <w:sz w:val="18"/>
          <w:szCs w:val="18"/>
          <w:color w:val="auto"/>
        </w:rPr>
      </w:pPr>
    </w:p>
    <w:p>
      <w:pPr>
        <w:ind w:right="40" w:firstLine="987"/>
        <w:spacing w:after="0" w:line="258" w:lineRule="auto"/>
        <w:tabs>
          <w:tab w:leader="none" w:pos="124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deliver to the Trustee, within five Business Days after an executive officer of the Issuer becomes aware of any Default or Event of Default, a statement specifying such Default or Event of Default. The Trustee may withhold from the Holders notice of any continuing Default or Event of Default (except a Default or Event of Default relating to the payment of principal or interest) of which such Officer is aware, its status and what action Parent and its Restricted Subsidiaries are taking or propose to take with respect to such Default or Event of Default (except a Default or Event of Default relating to the payment of principal or interest) if it determines that withholding notice is in the Holders’ interest.</w:t>
      </w:r>
    </w:p>
    <w:p>
      <w:pPr>
        <w:spacing w:after="0" w:line="18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provide written notice to the Trustee of any change in Parent’s or the Issuer’s Fiscal Year.</w:t>
      </w:r>
    </w:p>
    <w:p>
      <w:pPr>
        <w:spacing w:after="0" w:line="223" w:lineRule="exact"/>
        <w:rPr>
          <w:rFonts w:ascii="Times New Roman" w:cs="Times New Roman" w:eastAsia="Times New Roman" w:hAnsi="Times New Roman"/>
          <w:sz w:val="18"/>
          <w:szCs w:val="18"/>
          <w:color w:val="auto"/>
        </w:rPr>
      </w:pPr>
    </w:p>
    <w:p>
      <w:pPr>
        <w:ind w:firstLine="987"/>
        <w:spacing w:after="0" w:line="284" w:lineRule="auto"/>
        <w:tabs>
          <w:tab w:leader="none" w:pos="124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Issuer shall promptly notify the Trustee, in writing, the first time the Notes are rated Investment Grade;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failure to deliver such notice shall in no event be deemed a Default or an Event of Default.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4.07.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 xml:space="preserve">Parent shall, and shall cause each of its Restricted Subsidiaries to, pay prior to delinquency (i) all material taxes, assessments, and governmental levies and (ii) all lawful material claims for labor, materials and supplies which, in each case, if unpaid, might by law become a Lien upon the property of Parent or any of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neither Parent nor any of its Subsidiaries shall be required to pay or discharge or cause to be paid or discharged any such tax, assessment, charge or claim whose amount, applicability or validity is being contested in good faith by appropriate proceedings and for which disputed amounts adequate reserves have been made in accordance with GAAP.</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0980"/>
          </w:cols>
          <w:pgMar w:left="440" w:top="270"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4.08. </w:t>
      </w:r>
      <w:r>
        <w:rPr>
          <w:rFonts w:ascii="Times New Roman" w:cs="Times New Roman" w:eastAsia="Times New Roman" w:hAnsi="Times New Roman"/>
          <w:sz w:val="18"/>
          <w:szCs w:val="18"/>
          <w:u w:val="single" w:color="auto"/>
          <w:color w:val="auto"/>
        </w:rPr>
        <w:t>Repurchase at the Option of Holders upon Change of Control Repurchase Events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987"/>
        <w:spacing w:after="0" w:line="261" w:lineRule="auto"/>
        <w:tabs>
          <w:tab w:leader="none" w:pos="123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occurrence of a Change of Control Repurchase Event, each Holder of Notes shall have the right to require the Issuer to repurchase all or any part (equal to $2,000 or an integral multiple of $1,000 in excess thereof) of such Holder’s Notes pursuant to the offer described below (the “</w:t>
      </w:r>
      <w:r>
        <w:rPr>
          <w:rFonts w:ascii="Times New Roman" w:cs="Times New Roman" w:eastAsia="Times New Roman" w:hAnsi="Times New Roman"/>
          <w:sz w:val="18"/>
          <w:szCs w:val="18"/>
          <w:u w:val="single" w:color="auto"/>
          <w:color w:val="auto"/>
        </w:rPr>
        <w:t>Change of Control Offer</w:t>
      </w:r>
      <w:r>
        <w:rPr>
          <w:rFonts w:ascii="Times New Roman" w:cs="Times New Roman" w:eastAsia="Times New Roman" w:hAnsi="Times New Roman"/>
          <w:sz w:val="18"/>
          <w:szCs w:val="18"/>
          <w:color w:val="auto"/>
        </w:rPr>
        <w:t>”) at an offer price in cash equal to 101% of the aggregate principal amount thereof plus accrued and unpaid interest, if any, thereon to but excluding the date of purchase (the “</w:t>
      </w:r>
      <w:r>
        <w:rPr>
          <w:rFonts w:ascii="Times New Roman" w:cs="Times New Roman" w:eastAsia="Times New Roman" w:hAnsi="Times New Roman"/>
          <w:sz w:val="18"/>
          <w:szCs w:val="18"/>
          <w:u w:val="single" w:color="auto"/>
          <w:color w:val="auto"/>
        </w:rPr>
        <w:t>Change of Control Payment</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firstLine="987"/>
        <w:spacing w:after="0" w:line="254" w:lineRule="auto"/>
        <w:tabs>
          <w:tab w:leader="none" w:pos="1246"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30 days following any Change of Control Repurchase Event or, at the Issuer’s option, prior to the consummation of such Change of Control Repurchase Event but after the public announcement thereof, the Issuer shall send, or at the Issuer’s written request and expense the Trustee shall send, electronically or by first-class mail, postage prepaid, a notice to each Holder of Notes at its last registered address, which notice shall govern the terms of the Change of Control Offer. The notice shall describe the transaction or transactions that constitute the Change of Control Repurchase Event and offer to repurchase Notes on the purchase date specified in such notice (which must be no earlier than 30 days nor later than 60 days from the date such notice is sent, other than as may be required by law) (the “</w:t>
      </w:r>
      <w:r>
        <w:rPr>
          <w:rFonts w:ascii="Times New Roman" w:cs="Times New Roman" w:eastAsia="Times New Roman" w:hAnsi="Times New Roman"/>
          <w:sz w:val="18"/>
          <w:szCs w:val="18"/>
          <w:u w:val="single" w:color="auto"/>
          <w:color w:val="auto"/>
        </w:rPr>
        <w:t>Change of Control Payment Date</w:t>
      </w:r>
      <w:r>
        <w:rPr>
          <w:rFonts w:ascii="Times New Roman" w:cs="Times New Roman" w:eastAsia="Times New Roman" w:hAnsi="Times New Roman"/>
          <w:sz w:val="18"/>
          <w:szCs w:val="18"/>
          <w:color w:val="auto"/>
        </w:rPr>
        <w:t>”) pursuant to the procedures required by this Indenture and described in such notice. Such obligation will not continue after a discharge of this Indenture or defeasance from the Issuer’s obligations with respect to the Notes. The notice to the Holders shall contain all instructions and materials necessary to enable such Holders to tender Notes pursuant to the Change of Control Offer. Such notice shall state:</w:t>
      </w:r>
    </w:p>
    <w:p>
      <w:pPr>
        <w:spacing w:after="0" w:line="80" w:lineRule="exact"/>
        <w:rPr>
          <w:rFonts w:ascii="Times New Roman" w:cs="Times New Roman" w:eastAsia="Times New Roman" w:hAnsi="Times New Roman"/>
          <w:sz w:val="18"/>
          <w:szCs w:val="18"/>
          <w:color w:val="auto"/>
        </w:rPr>
      </w:pPr>
    </w:p>
    <w:p>
      <w:pPr>
        <w:ind w:left="440" w:right="700" w:firstLine="419"/>
        <w:spacing w:after="0" w:line="282" w:lineRule="auto"/>
        <w:tabs>
          <w:tab w:leader="none" w:pos="111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the Change of Control Offer is being made pursuant to this Section 4.08 and that all Notes validly tendered and not validly withdrawn will be accepted for payment;</w:t>
      </w:r>
    </w:p>
    <w:p>
      <w:pPr>
        <w:spacing w:after="0" w:line="53"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1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Change of Control Payment and the Change of Control Payment Date (which shall be no earlier than 30 days nor later than 60 days from the date such notice is sent, other than as may be required by law);</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Note not tendered will continue to accrue interest;</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1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unless the Issuer default in making payment therefor, any Note accepted for payment pursuant to the Change of Control Offer shall cease to accrue interest after the Change of Control Payment Date;</w:t>
      </w:r>
    </w:p>
    <w:p>
      <w:pPr>
        <w:spacing w:after="0" w:line="53"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11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Holders electing to have a Note purchased pursuant to the Change of Control Offer will be required to surrender the Note, with the form entitled “Option of Holder to Elect Purchase” on the reverse of the Note completed, to the Paying Agent and Registrar for the Note at the address specified in the notice prior to the close of business on the Business Day prior to the Change of Control Payment Date;</w:t>
      </w:r>
    </w:p>
    <w:p>
      <w:pPr>
        <w:spacing w:after="0" w:line="10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0960"/>
          </w:cols>
          <w:pgMar w:left="440" w:top="270" w:right="499" w:bottom="1440" w:gutter="0" w:footer="0" w:header="0"/>
        </w:sectPr>
      </w:pPr>
    </w:p>
    <w:bookmarkStart w:id="54" w:name="page55"/>
    <w:bookmarkEnd w:id="54"/>
    <w:p>
      <w:pPr>
        <w:ind w:left="440" w:right="220" w:firstLine="419"/>
        <w:spacing w:after="0" w:line="261" w:lineRule="auto"/>
        <w:tabs>
          <w:tab w:leader="none" w:pos="111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that Holders will be entitled to withdraw their election if the Paying Agent receives, not later than the third Business Day prior to the Change of Control Payment Date, a telegram, telex, .pdf attachment, facsimile transmission or letter setting forth the name of the Holder, the principal amount of the Notes the Holder delivered for purchase and a statement that such Holder is withdrawing its election to have such Note purchased;</w:t>
      </w:r>
    </w:p>
    <w:p>
      <w:pPr>
        <w:spacing w:after="0" w:line="71" w:lineRule="exact"/>
        <w:rPr>
          <w:rFonts w:ascii="Times New Roman" w:cs="Times New Roman" w:eastAsia="Times New Roman" w:hAnsi="Times New Roman"/>
          <w:sz w:val="18"/>
          <w:szCs w:val="18"/>
          <w:color w:val="auto"/>
        </w:rPr>
      </w:pPr>
    </w:p>
    <w:p>
      <w:pPr>
        <w:jc w:val="both"/>
        <w:ind w:left="440" w:firstLine="419"/>
        <w:spacing w:after="0" w:line="266" w:lineRule="auto"/>
        <w:tabs>
          <w:tab w:leader="none" w:pos="111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Holders whose Notes are purchased only in part will be issued new Notes in a principal amount equal to the unpurchased portion of the Notes surrendered;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each Note purchased and each new Note issued shall be in a principal amount of $2,000 or integral multiples of $1,000 in excess thereof; and</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circumstances and relevant facts regarding such Change of Control Repurchase Event.</w:t>
      </w:r>
    </w:p>
    <w:p>
      <w:pPr>
        <w:spacing w:after="0" w:line="22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the Change of Control Payment Date, the Issuer shall, to the extent lawful:</w:t>
      </w:r>
    </w:p>
    <w:p>
      <w:pPr>
        <w:spacing w:after="0" w:line="117" w:lineRule="exact"/>
        <w:rPr>
          <w:sz w:val="20"/>
          <w:szCs w:val="20"/>
          <w:color w:val="auto"/>
        </w:rPr>
      </w:pPr>
    </w:p>
    <w:p>
      <w:pPr>
        <w:ind w:left="440" w:right="320" w:firstLine="419"/>
        <w:spacing w:after="0" w:line="282" w:lineRule="auto"/>
        <w:tabs>
          <w:tab w:leader="none" w:pos="111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payment all Notes or portions thereof (in minimum amounts of $2,000 or an integral multiple of $1,000 in excess thereof) validly tendered and not validly withdrawn pursuant to the Change of Control Offer;</w:t>
      </w:r>
    </w:p>
    <w:p>
      <w:pPr>
        <w:spacing w:after="0" w:line="53" w:lineRule="exact"/>
        <w:rPr>
          <w:rFonts w:ascii="Times New Roman" w:cs="Times New Roman" w:eastAsia="Times New Roman" w:hAnsi="Times New Roman"/>
          <w:sz w:val="18"/>
          <w:szCs w:val="18"/>
          <w:color w:val="auto"/>
        </w:rPr>
      </w:pPr>
    </w:p>
    <w:p>
      <w:pPr>
        <w:ind w:left="440" w:right="360" w:firstLine="419"/>
        <w:spacing w:after="0" w:line="282" w:lineRule="auto"/>
        <w:tabs>
          <w:tab w:leader="none" w:pos="111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 with the Paying Agent an amount in U.S. Dollars equal to the Change of Control Payment in respect of all Notes or portions thereof properly tendered; and</w:t>
      </w:r>
    </w:p>
    <w:p>
      <w:pPr>
        <w:spacing w:after="0" w:line="53"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1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or cause to be delivered to the Trustee all Notes so accepted together with an Officers’ Certificate stating the aggregate principal amount of Notes (or portions thereof) being purchased by the Issuer.</w:t>
      </w:r>
    </w:p>
    <w:p>
      <w:pPr>
        <w:spacing w:after="0" w:line="162" w:lineRule="exact"/>
        <w:rPr>
          <w:sz w:val="20"/>
          <w:szCs w:val="20"/>
          <w:color w:val="auto"/>
        </w:rPr>
      </w:pPr>
    </w:p>
    <w:p>
      <w:pPr>
        <w:ind w:right="20"/>
        <w:spacing w:after="0" w:line="274" w:lineRule="auto"/>
        <w:rPr>
          <w:sz w:val="20"/>
          <w:szCs w:val="20"/>
          <w:color w:val="auto"/>
        </w:rPr>
      </w:pPr>
      <w:r>
        <w:rPr>
          <w:rFonts w:ascii="Times New Roman" w:cs="Times New Roman" w:eastAsia="Times New Roman" w:hAnsi="Times New Roman"/>
          <w:sz w:val="17"/>
          <w:szCs w:val="17"/>
          <w:color w:val="auto"/>
        </w:rPr>
        <w:t xml:space="preserve">Upon receipt by the Paying Agent of the monies specified in clause (2) above and the Officers’ Certificate specified in clause (3) above, such Paying Agent shall promptly send to each Holder of Notes so tendered the Change of Control Payment for such Notes, and the Issuer shall execute and, upon receipt of a written order of the Issuer in the form of an Officers’ Certificate in accordance with Section 2.01, the Trustee shall promptly authenticate and send (or cause to be transferred by book entry) to each Holder of Notes a new Note equal in principal amount to any unpurchased portion of the Notes surrendered, if any;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each such new Note shall be in a principal amount of $2,000 or an integral multiple of $1,000 in excess thereof. The Issuer shall publicly announce the results of the Change of Control Offer on or as soon as practicable after the Change of Control Payment Date.</w:t>
      </w:r>
    </w:p>
    <w:p>
      <w:pPr>
        <w:spacing w:after="0" w:line="1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0960"/>
          </w:cols>
          <w:pgMar w:left="440" w:top="270" w:right="499" w:bottom="1440" w:gutter="0" w:footer="0" w:header="0"/>
        </w:sectPr>
      </w:pPr>
    </w:p>
    <w:bookmarkStart w:id="55" w:name="page56"/>
    <w:bookmarkEnd w:id="55"/>
    <w:p>
      <w:pPr>
        <w:ind w:right="400" w:firstLine="987"/>
        <w:spacing w:after="0" w:line="282" w:lineRule="auto"/>
        <w:tabs>
          <w:tab w:leader="none" w:pos="124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the payment of the Change of Control Payment, the Trustee shall, subject to the provisions of Section 2.16, return the Notes purchased to the Issuer for cancellation. The Trustee may act as the Paying Agent for purposes of any Change of Control Offer.</w:t>
      </w:r>
    </w:p>
    <w:p>
      <w:pPr>
        <w:spacing w:after="0" w:line="161"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will not be required to make a Change of Control Offer upon a Change of Control Repurchase Event if (1) a third party makes the Change of Control Offer in a manner, at the times and otherwise in compliance with the requirements set forth in this Section 4.08 with respect to a Change of Control Offer made by the Issuer and purchases all Notes validly tendered and not withdrawn under such Change of Control Offer or (2) notice of redemption has been given pursuant to this Indenture as described in Article Three, unless and until there is a default in payment of the applicable redemption price. Notwithstanding anything to the contrary contained herein, a Change of Control Offer may be made in advance of a Change of Control Repurchase Event, conditioned upon the consummation of such Change of Control Repurchase Event, if a definitive agreement is in place for the Change of Control Repurchase Event at the time the Change of Control Offer is made and such Change of Control Offer is otherwise made in compliance with the provisions of this covenant.</w:t>
      </w:r>
    </w:p>
    <w:p>
      <w:pPr>
        <w:spacing w:after="0" w:line="191" w:lineRule="exact"/>
        <w:rPr>
          <w:rFonts w:ascii="Times New Roman" w:cs="Times New Roman" w:eastAsia="Times New Roman" w:hAnsi="Times New Roman"/>
          <w:sz w:val="18"/>
          <w:szCs w:val="18"/>
          <w:color w:val="auto"/>
        </w:rPr>
      </w:pPr>
    </w:p>
    <w:p>
      <w:pPr>
        <w:ind w:right="360" w:firstLine="987"/>
        <w:spacing w:after="0" w:line="258" w:lineRule="auto"/>
        <w:tabs>
          <w:tab w:leader="none" w:pos="1216"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shall comply with the requirements of Rule 14e-1 under the Exchange Act and any other securities laws and regulations thereunder to the extent such laws and regulations are applicable in connection with the repurchase of the Notes as a result of a Change of Control Repurchase Event. To the extent that the provisions of any securities laws or regulations conflict with provisions of this covenant, the Issuer shall comply with the applicable securities laws and regulations and shall not be deemed to have breached its obligations under this paragraph by virtue thereof.</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4.09.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4.10.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4.11. </w:t>
      </w:r>
      <w:r>
        <w:rPr>
          <w:rFonts w:ascii="Times New Roman" w:cs="Times New Roman" w:eastAsia="Times New Roman" w:hAnsi="Times New Roman"/>
          <w:sz w:val="18"/>
          <w:szCs w:val="18"/>
          <w:u w:val="single" w:color="auto"/>
          <w:color w:val="auto"/>
        </w:rPr>
        <w:t>Limitation on Liens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87"/>
        <w:spacing w:after="0" w:line="255" w:lineRule="auto"/>
        <w:tabs>
          <w:tab w:leader="none" w:pos="123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Parent shall not, nor shall it permit any of its Restricted Subsidiaries to, create, incur or assume any Lien (other than Permitted Liens) upon any Principal Property or upon the Capital Stock or Indebtedness of any of its Principal Property Subsidiaries, in each case to secure Indebtedness of Parent, any Subsidiary of Parent or any other Person, without securing the Notes (together with, at the option of Parent, any other Indebtedness of Parent or any Subsidiary of Parent ranking equally in right of payment with the Notes) equally and ratably with or, at the option of Parent, prior to, such other Indebtedness for so long as such other Indebtedness is so secured. Any Lien that is granted to secure the Notes under this Section 4.11 shall be automatically released and discharged at the same time as the release of the Lien that gave rise to the obligation to secure the Notes under this Section 4.11.</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000"/>
          </w:cols>
          <w:pgMar w:left="440" w:top="270"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4.12.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4.13.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4.14.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4.15. </w:t>
      </w:r>
      <w:r>
        <w:rPr>
          <w:rFonts w:ascii="Times New Roman" w:cs="Times New Roman" w:eastAsia="Times New Roman" w:hAnsi="Times New Roman"/>
          <w:sz w:val="18"/>
          <w:szCs w:val="18"/>
          <w:u w:val="single" w:color="auto"/>
          <w:color w:val="auto"/>
        </w:rPr>
        <w:t>Limitation on Sale and Leaseback Transactions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991"/>
        <w:spacing w:after="0" w:line="258" w:lineRule="auto"/>
        <w:rPr>
          <w:sz w:val="20"/>
          <w:szCs w:val="20"/>
          <w:color w:val="auto"/>
        </w:rPr>
      </w:pPr>
      <w:r>
        <w:rPr>
          <w:rFonts w:ascii="Times New Roman" w:cs="Times New Roman" w:eastAsia="Times New Roman" w:hAnsi="Times New Roman"/>
          <w:sz w:val="18"/>
          <w:szCs w:val="18"/>
          <w:color w:val="auto"/>
        </w:rPr>
        <w:t>Parent shall not, nor shall it permit any of its Restricted Subsidiaries to, enter into any arrangement with any other Person pursuant to which Parent or any of its Restricted Subsidiaries leases any Principal Property that has been or is to be sold or transferred by Parent or the Restricted Subsidiary to such other Person (a “</w:t>
      </w:r>
      <w:r>
        <w:rPr>
          <w:rFonts w:ascii="Times New Roman" w:cs="Times New Roman" w:eastAsia="Times New Roman" w:hAnsi="Times New Roman"/>
          <w:sz w:val="18"/>
          <w:szCs w:val="18"/>
          <w:u w:val="single" w:color="auto"/>
          <w:color w:val="auto"/>
        </w:rPr>
        <w:t>Sale and Leaseback Transaction</w:t>
      </w:r>
      <w:r>
        <w:rPr>
          <w:rFonts w:ascii="Times New Roman" w:cs="Times New Roman" w:eastAsia="Times New Roman" w:hAnsi="Times New Roman"/>
          <w:sz w:val="18"/>
          <w:szCs w:val="18"/>
          <w:color w:val="auto"/>
        </w:rPr>
        <w:t>”), except that a Sale and Leaseback Transaction is permitted if Parent or such Restricted Subsidiary would be entitled to incur Indebtedness secured by a Lien on the Principal Property to be leased, without equally and ratably securing the Notes, in an aggregate principal amount equal to the Attributable Debt with respect to such Sale and Leaseback Transaction.</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addition, the following Sale and Leaseback Transactions are not subject to the limitation above and the provisions described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4.11:</w:t>
      </w:r>
    </w:p>
    <w:p>
      <w:pPr>
        <w:spacing w:after="0" w:line="99" w:lineRule="exact"/>
        <w:rPr>
          <w:sz w:val="20"/>
          <w:szCs w:val="20"/>
          <w:color w:val="auto"/>
        </w:rPr>
      </w:pPr>
    </w:p>
    <w:p>
      <w:pPr>
        <w:ind w:left="1120" w:hanging="261"/>
        <w:spacing w:after="0"/>
        <w:tabs>
          <w:tab w:leader="none" w:pos="11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temporary leases for a term, including renewals at the option of the lessee, of not more than three years;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between only Parent and a Restricted Subsidiary of Parent or only between Restricted Subsidiaries of Parent;</w:t>
      </w:r>
    </w:p>
    <w:p>
      <w:pPr>
        <w:spacing w:after="0" w:line="117" w:lineRule="exact"/>
        <w:rPr>
          <w:rFonts w:ascii="Times New Roman" w:cs="Times New Roman" w:eastAsia="Times New Roman" w:hAnsi="Times New Roman"/>
          <w:sz w:val="18"/>
          <w:szCs w:val="18"/>
          <w:color w:val="auto"/>
        </w:rPr>
      </w:pPr>
    </w:p>
    <w:p>
      <w:pPr>
        <w:ind w:left="440" w:firstLine="419"/>
        <w:spacing w:after="0" w:line="258" w:lineRule="auto"/>
        <w:tabs>
          <w:tab w:leader="none" w:pos="111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leases where the proceeds from the sale of the subject property are at least equal to the fair market value (as determined in good faith by Parent) of the subject property and Parent applies an amount equal to the net proceeds of the sale to the retirement of long-term Indebtedness or the purchase, construction, development, expansion or improvement of other property or equipment used or useful in its business, within 270 days of the effective date of such sale;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lieu of applying such amount to the retirement of long-term Indebtedness, Parent may deliver Notes to the trustee for cancellation; and</w:t>
      </w:r>
    </w:p>
    <w:p>
      <w:pPr>
        <w:spacing w:after="0" w:line="75" w:lineRule="exact"/>
        <w:rPr>
          <w:rFonts w:ascii="Times New Roman" w:cs="Times New Roman" w:eastAsia="Times New Roman" w:hAnsi="Times New Roman"/>
          <w:sz w:val="18"/>
          <w:szCs w:val="18"/>
          <w:color w:val="auto"/>
        </w:rPr>
      </w:pPr>
    </w:p>
    <w:p>
      <w:pPr>
        <w:ind w:left="440" w:right="680" w:firstLine="419"/>
        <w:spacing w:after="0" w:line="282" w:lineRule="auto"/>
        <w:tabs>
          <w:tab w:leader="none" w:pos="111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leases of property executed by the time of, or within 360 days after the latest of, the acquisition, the completion of construction, development, expansion or improvement, or the commencement of commercial operation, of the subject property.</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0980"/>
          </w:cols>
          <w:pgMar w:left="440" w:top="270" w:right="47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4.16. </w:t>
      </w:r>
      <w:r>
        <w:rPr>
          <w:rFonts w:ascii="Times New Roman" w:cs="Times New Roman" w:eastAsia="Times New Roman" w:hAnsi="Times New Roman"/>
          <w:sz w:val="18"/>
          <w:szCs w:val="18"/>
          <w:u w:val="single" w:color="auto"/>
          <w:color w:val="auto"/>
        </w:rPr>
        <w:t>Reports to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987"/>
        <w:spacing w:after="0" w:line="282" w:lineRule="auto"/>
        <w:tabs>
          <w:tab w:leader="none" w:pos="123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required by the rules and regulations of the Commission, so long as any Notes are outstanding hereunder, the Issuer shall furnish to the Trustee and Holders thereof the following:</w:t>
      </w:r>
    </w:p>
    <w:p>
      <w:pPr>
        <w:spacing w:after="0" w:line="53"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118"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quarterly and annual financial information of Parent that would be required to be contained in a filing with the Commission on Forms 10-Q and 10-K if Parent were required to file such Forms, including a “Management’s Discussion and Analysis of Financial Condition and Results of Operations” that describes the financial condition and results of operations of Parent and its consolidated Subsidiaries and, with respect to the annual information only, a report thereon by Parent’s certified independent accountants; and</w:t>
      </w:r>
    </w:p>
    <w:p>
      <w:pPr>
        <w:spacing w:after="0" w:line="7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current reports that would be required to be filed with the Commission on Form 8-K if Parent were required to file such reports,</w:t>
      </w:r>
    </w:p>
    <w:p>
      <w:pPr>
        <w:spacing w:after="0" w:line="22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 each case, within the time periods specified in the Commission’s rules and regulations. The Issuer may satisfy its obligation to deliver the information and reports referred to in clauses (1) and (2) above by filing the same with the Commission.</w:t>
      </w:r>
    </w:p>
    <w:p>
      <w:pPr>
        <w:spacing w:after="0" w:line="162" w:lineRule="exact"/>
        <w:rPr>
          <w:sz w:val="20"/>
          <w:szCs w:val="20"/>
          <w:color w:val="auto"/>
        </w:rPr>
      </w:pPr>
    </w:p>
    <w:p>
      <w:pPr>
        <w:ind w:firstLine="987"/>
        <w:spacing w:after="0" w:line="256" w:lineRule="auto"/>
        <w:tabs>
          <w:tab w:leader="none" w:pos="124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whether or not required by the rules and regulations of the Commission, Parent shall file a copy of all such information and reports with the Commission for public availability within the time periods specified in the Commission’s rules and regulations (unless the Commission will not accept such a filing) and make such information available to securities analysts and prospective investors upon request. In addition, the Issuer and the Guarantors shall, for so long as any Notes remain outstanding, furnish to the Holders of such Notes and to securities analysts and prospective investors, upon their request, the information required to be delivered pursuant to Rule 144A(d)(4) under the Securities Act. The Issuer will comply with the provisions of TIA § 314(a).</w:t>
      </w:r>
    </w:p>
    <w:p>
      <w:pPr>
        <w:spacing w:after="0" w:line="187" w:lineRule="exact"/>
        <w:rPr>
          <w:rFonts w:ascii="Times New Roman" w:cs="Times New Roman" w:eastAsia="Times New Roman" w:hAnsi="Times New Roman"/>
          <w:sz w:val="18"/>
          <w:szCs w:val="18"/>
          <w:color w:val="auto"/>
        </w:rPr>
      </w:pPr>
    </w:p>
    <w:p>
      <w:pPr>
        <w:ind w:right="240" w:firstLine="987"/>
        <w:spacing w:after="0" w:line="266" w:lineRule="auto"/>
        <w:tabs>
          <w:tab w:leader="none" w:pos="123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such reports and information to the Trustee is for informational purposes only and the Trustee’s receipt of them shall not constitute constructive notice of any information contained therein or determinable from information contained therein (including the Issuer’s compliance with any of its covenants hereunder as to which the Trustee is entitled to rely exclusively on an Officers’ Certificate).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4.17. </w:t>
      </w:r>
      <w:r>
        <w:rPr>
          <w:rFonts w:ascii="Times New Roman" w:cs="Times New Roman" w:eastAsia="Times New Roman" w:hAnsi="Times New Roman"/>
          <w:sz w:val="18"/>
          <w:szCs w:val="18"/>
          <w:u w:val="single" w:color="auto"/>
          <w:color w:val="auto"/>
        </w:rPr>
        <w:t>Additional Note Guarantees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If Parent acquires or creates a Domestic Subsidiary after the Issue Date and such newly acquired or created Domestic Subsidiary is an obligor or guarantor under any Credit Facility including, without limitation, the Existing Credit Facility then such newly acquired or created Domestic Subsidiary must execute a Note Guarantee (and with such documentation relating thereto as are required under this Indenture, including, without limitation, a supplement or amendment to this Indenture and an Opinion of Counsel as to the enforceability of such Note Guarantee), pursuant to which such Domestic Subsidiary will become a Guarantor.</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000"/>
          </w:cols>
          <w:pgMar w:left="440" w:top="270" w:right="459" w:bottom="1440" w:gutter="0" w:footer="0" w:header="0"/>
        </w:sectPr>
      </w:pPr>
    </w:p>
    <w:bookmarkStart w:id="58" w:name="page59"/>
    <w:bookmarkEnd w:id="58"/>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Note Guarantee of any Guarantor shall be subject to release and discharge as provided under Section 10.03.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FIVE</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SUCCESSOR CORPORATION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5.01. </w:t>
      </w:r>
      <w:r>
        <w:rPr>
          <w:rFonts w:ascii="Times New Roman" w:cs="Times New Roman" w:eastAsia="Times New Roman" w:hAnsi="Times New Roman"/>
          <w:sz w:val="18"/>
          <w:szCs w:val="18"/>
          <w:u w:val="single" w:color="auto"/>
          <w:color w:val="auto"/>
        </w:rPr>
        <w:t>Consolidation, Merger and Sale of Assets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61" w:lineRule="auto"/>
        <w:tabs>
          <w:tab w:leader="none" w:pos="1236"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Neither Parent nor the Issuer shall consolidate or merge with or into any other Person or Transfer all or substantially all of the properties or assets of Parent and its Subsidiaries, taken as a whole and (ii) neither Parent nor the Issuer shall permit any of its Subsidiaries to, in a single transaction or a series of related transactions, Transfer all or substantially all of the properties or assets of Parent and its Subsidiaries, taken as a whole, in each case, to another Person unless:</w:t>
      </w:r>
    </w:p>
    <w:p>
      <w:pPr>
        <w:spacing w:after="0" w:line="71" w:lineRule="exact"/>
        <w:rPr>
          <w:rFonts w:ascii="Times New Roman" w:cs="Times New Roman" w:eastAsia="Times New Roman" w:hAnsi="Times New Roman"/>
          <w:sz w:val="18"/>
          <w:szCs w:val="18"/>
          <w:color w:val="auto"/>
        </w:rPr>
      </w:pPr>
    </w:p>
    <w:p>
      <w:pPr>
        <w:ind w:left="440" w:right="180" w:firstLine="419"/>
        <w:spacing w:after="0" w:line="266" w:lineRule="auto"/>
        <w:tabs>
          <w:tab w:leader="none" w:pos="111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in the case of a merger, consolidation or Transfer involving Parent, Parent is the surviving corporation or the Person formed by or surviving any such consolidation or merger (if other than Parent) or to which such Transfer has been made is a corporation organized or existing under the laws of the United States, any State thereof or the District of Columbia, and</w:t>
      </w:r>
    </w:p>
    <w:p>
      <w:pPr>
        <w:spacing w:after="0" w:line="68" w:lineRule="exact"/>
        <w:rPr>
          <w:sz w:val="20"/>
          <w:szCs w:val="20"/>
          <w:color w:val="auto"/>
        </w:rPr>
      </w:pPr>
    </w:p>
    <w:p>
      <w:pPr>
        <w:ind w:left="440" w:right="420" w:firstLine="419"/>
        <w:spacing w:after="0" w:line="266" w:lineRule="auto"/>
        <w:tabs>
          <w:tab w:leader="none" w:pos="114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merger, consolidation or Transfer involving the Issuer, the Issuer is the surviving Person or the Person formed by or surviving any such consolidation or merger (if other than the Issuer) or to which such Transfer has been made is a limited liability company, partnership or corporation organized or existing under the laws of the United States, any State thereof or the District of Columbia;</w:t>
      </w:r>
    </w:p>
    <w:p>
      <w:pPr>
        <w:spacing w:after="0" w:line="68" w:lineRule="exact"/>
        <w:rPr>
          <w:sz w:val="20"/>
          <w:szCs w:val="20"/>
          <w:color w:val="auto"/>
        </w:rPr>
      </w:pPr>
    </w:p>
    <w:p>
      <w:pPr>
        <w:ind w:left="440" w:right="80" w:firstLine="419"/>
        <w:spacing w:after="0" w:line="289" w:lineRule="auto"/>
        <w:tabs>
          <w:tab w:leader="none" w:pos="1118"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Person formed by or surviving any such consolidation or merger (if other than Parent or the Issuer, as the case may be) or the Person to which such Transfer has been made assumes all the obligations of Parent, the Issuer or such Subsidiary under the Notes, the Note Guarantees, this Indenture and the Registration Rights Agreement pursuant to a supplemental indenture or amendment of the relevant documents; and</w:t>
      </w:r>
    </w:p>
    <w:p>
      <w:pPr>
        <w:spacing w:after="0" w:line="49" w:lineRule="exact"/>
        <w:rPr>
          <w:rFonts w:ascii="Times New Roman" w:cs="Times New Roman" w:eastAsia="Times New Roman" w:hAnsi="Times New Roman"/>
          <w:sz w:val="17"/>
          <w:szCs w:val="17"/>
          <w:color w:val="auto"/>
        </w:rPr>
      </w:pPr>
    </w:p>
    <w:p>
      <w:pPr>
        <w:ind w:left="1120" w:hanging="261"/>
        <w:spacing w:after="0"/>
        <w:tabs>
          <w:tab w:leader="none" w:pos="112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such transaction, no Default or Event of Default exists.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000"/>
          </w:cols>
          <w:pgMar w:left="440" w:top="270" w:right="459" w:bottom="1440" w:gutter="0" w:footer="0" w:header="0"/>
        </w:sectPr>
      </w:pPr>
    </w:p>
    <w:bookmarkStart w:id="59" w:name="page60"/>
    <w:bookmarkEnd w:id="59"/>
    <w:p>
      <w:pPr>
        <w:ind w:left="1240" w:hanging="253"/>
        <w:spacing w:after="0"/>
        <w:tabs>
          <w:tab w:leader="none" w:pos="124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Notwithstanding the foregoing, none of the following shall be permitted:</w:t>
      </w:r>
    </w:p>
    <w:p>
      <w:pPr>
        <w:spacing w:after="0" w:line="117" w:lineRule="exact"/>
        <w:rPr>
          <w:rFonts w:ascii="Times New Roman" w:cs="Times New Roman" w:eastAsia="Times New Roman" w:hAnsi="Times New Roman"/>
          <w:sz w:val="18"/>
          <w:szCs w:val="18"/>
          <w:color w:val="auto"/>
        </w:rPr>
      </w:pPr>
    </w:p>
    <w:p>
      <w:pPr>
        <w:ind w:left="440" w:right="400" w:firstLine="419"/>
        <w:spacing w:after="0" w:line="282" w:lineRule="auto"/>
        <w:tabs>
          <w:tab w:leader="none" w:pos="111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or merger of Parent with or into or the Transfer of all or substantially all of the property or assets of Parent and its Subsidiaries, taken as a whole, to Crown, other than any such merger or consolidation or Transfer to a Subsidiary of Crown;</w:t>
      </w:r>
    </w:p>
    <w:p>
      <w:pPr>
        <w:spacing w:after="0" w:line="53"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1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all or substantially all of the property or assets of Crown and its Subsidiaries, taken as a whole, to Crown, other than any Transfer to a Subsidiary of Crown; and</w:t>
      </w:r>
    </w:p>
    <w:p>
      <w:pPr>
        <w:spacing w:after="0" w:line="53"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1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consolidation or merger of the Issuer with or into or the Transfer of all or substantially all of the property or assets of the Issuer and its Subsidiaries, taken as a whole, to Crown, other than any such consolidation or merger with or into or Transfer to a Subsidiary of Crown.</w:t>
      </w:r>
    </w:p>
    <w:p>
      <w:pPr>
        <w:spacing w:after="0" w:line="161"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1"/>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Section 5.01 shall not prohibit:</w:t>
      </w:r>
    </w:p>
    <w:p>
      <w:pPr>
        <w:spacing w:after="0" w:line="117" w:lineRule="exact"/>
        <w:rPr>
          <w:sz w:val="20"/>
          <w:szCs w:val="20"/>
          <w:color w:val="auto"/>
        </w:rPr>
      </w:pPr>
    </w:p>
    <w:p>
      <w:pPr>
        <w:ind w:left="1120" w:hanging="261"/>
        <w:spacing w:after="0"/>
        <w:tabs>
          <w:tab w:leader="none" w:pos="11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consolidation or merger between the Issuer and a Guarantor other than Crown;</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consolidation or merger between a Guarantor and any other Guarantor other than Crown;</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consolidation or merger between a Subsidiary (other than the Issuer) that is not a Guarantor and any other Subsidiary other than</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Crown;</w:t>
      </w:r>
    </w:p>
    <w:p>
      <w:pPr>
        <w:spacing w:after="0" w:line="98"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consolidation or merger of Parent with or into an Affiliate for the purposes of reincorporating Parent in another jurisdiction;</w:t>
      </w:r>
    </w:p>
    <w:p>
      <w:pPr>
        <w:spacing w:after="0" w:line="117" w:lineRule="exact"/>
        <w:rPr>
          <w:rFonts w:ascii="Times New Roman" w:cs="Times New Roman" w:eastAsia="Times New Roman" w:hAnsi="Times New Roman"/>
          <w:sz w:val="18"/>
          <w:szCs w:val="18"/>
          <w:color w:val="auto"/>
        </w:rPr>
      </w:pPr>
    </w:p>
    <w:p>
      <w:pPr>
        <w:ind w:left="440" w:right="540" w:firstLine="419"/>
        <w:spacing w:after="0" w:line="282" w:lineRule="auto"/>
        <w:tabs>
          <w:tab w:leader="none" w:pos="111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all or substantially all of the properties or assets of a Guarantor to the Issuer and/or any other Guarantor other than Crown; or</w:t>
      </w:r>
    </w:p>
    <w:p>
      <w:pPr>
        <w:spacing w:after="0" w:line="53" w:lineRule="exact"/>
        <w:rPr>
          <w:rFonts w:ascii="Times New Roman" w:cs="Times New Roman" w:eastAsia="Times New Roman" w:hAnsi="Times New Roman"/>
          <w:sz w:val="18"/>
          <w:szCs w:val="18"/>
          <w:color w:val="auto"/>
        </w:rPr>
      </w:pPr>
    </w:p>
    <w:p>
      <w:pPr>
        <w:ind w:left="440" w:firstLine="419"/>
        <w:spacing w:after="0" w:line="282" w:lineRule="auto"/>
        <w:tabs>
          <w:tab w:leader="none" w:pos="111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 of all or substantially all of the properties or assets of a Subsidiary (other than the Issuer) that is not a Guarantor to any other Subsidiary other than Crown;</w:t>
      </w:r>
    </w:p>
    <w:p>
      <w:pPr>
        <w:spacing w:after="0" w:line="160" w:lineRule="exact"/>
        <w:rPr>
          <w:sz w:val="20"/>
          <w:szCs w:val="20"/>
          <w:color w:val="auto"/>
        </w:rPr>
      </w:pPr>
    </w:p>
    <w:p>
      <w:pPr>
        <w:ind w:right="3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in each case involving the Issuer or a Guarantor, if the Issuer or such Guarantor is not the surviving entity of such transaction or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to which such Transfer is made, the surviving entity or the Person to which such Transfer is made shall comply with subsection (a)(2) of this Section 5.01.</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0980"/>
          </w:cols>
          <w:pgMar w:left="440" w:top="270" w:right="47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5.02. </w:t>
      </w:r>
      <w:r>
        <w:rPr>
          <w:rFonts w:ascii="Times New Roman" w:cs="Times New Roman" w:eastAsia="Times New Roman" w:hAnsi="Times New Roman"/>
          <w:sz w:val="18"/>
          <w:szCs w:val="18"/>
          <w:u w:val="single" w:color="auto"/>
          <w:color w:val="auto"/>
        </w:rPr>
        <w:t>Successor Person Substituted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Upon any consolidation, combination or merger of Parent, the Issuer or any other Guarantor, or any Transfer of all or substantially all of the assets of Parent or the Issuer in accordance with the foregoing provisions of Section 5.01, in which Parent, the Issuer or such Guarantor is not the continuing obligor under the Notes or its related Note Guarantee, the surviving entity formed by such consolidation or into which Parent, the Issuer or such Guarantor is merged or to which the Transfer is made will succeed to, and be substituted for, and may exercise every right and power of Parent, the Issuer or such Guarantor under this Indenture, the Notes and the Note Guarantees with the same effect as if such surviving entity had been named therein as Parent, the Issuer or such Guarantor, as the case may be, and, except in the case of a Transfer to Parent or any of its Subsidiaries, Parent, the Issuer or such Guarantor, as the case may be, shall be released from the obligation to pay the principal of and interest on the Notes or in respect of its Note Guarantee, as the case may be, and all of Parent’s, the Issuer’s or such Guarantor’s, as the case may be, other obligations and covenants under the Notes, this Indenture and its Note Guarantee, if applicable.</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SIX</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DEFAULTS AND REMEDIES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Each of the following constitutes an “</w:t>
      </w:r>
      <w:r>
        <w:rPr>
          <w:rFonts w:ascii="Times New Roman" w:cs="Times New Roman" w:eastAsia="Times New Roman" w:hAnsi="Times New Roman"/>
          <w:sz w:val="18"/>
          <w:szCs w:val="18"/>
          <w:u w:val="single" w:color="auto"/>
          <w:color w:val="auto"/>
        </w:rPr>
        <w:t>Event of Default</w:t>
      </w:r>
      <w:r>
        <w:rPr>
          <w:rFonts w:ascii="Times New Roman" w:cs="Times New Roman" w:eastAsia="Times New Roman" w:hAnsi="Times New Roman"/>
          <w:sz w:val="18"/>
          <w:szCs w:val="18"/>
          <w:color w:val="auto"/>
        </w:rPr>
        <w:t>” with respect to the Notes:</w:t>
      </w:r>
    </w:p>
    <w:p>
      <w:pPr>
        <w:spacing w:after="0" w:line="117" w:lineRule="exact"/>
        <w:rPr>
          <w:sz w:val="20"/>
          <w:szCs w:val="20"/>
          <w:color w:val="auto"/>
        </w:rPr>
      </w:pPr>
    </w:p>
    <w:p>
      <w:pPr>
        <w:ind w:left="1120" w:hanging="261"/>
        <w:spacing w:after="0"/>
        <w:tabs>
          <w:tab w:leader="none" w:pos="11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for 30 days in the payment when due of interest with respect to the Notes;</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payment when due of principal or premium, if any, on the Notes at maturity, upon redemption or otherwise;</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1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Parent or any Subsidiary for 30 days after receipt of notice from the Trustee or Holders of at least 25% in principal amount of the Notes then outstanding under this Indenture to comply with any of the provisions under Section 4.08;</w:t>
      </w:r>
    </w:p>
    <w:p>
      <w:pPr>
        <w:spacing w:after="0" w:line="53"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118"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Parent or any Subsidiary of Parent for 60 days after receipt of notice from the Trustee or the Holders of at least 25% in principal amount of the Notes then outstanding under this Indenture to comply with any covenant or agreement contained in this Indenture (other than the covenants and agreements specified in clauses (1) through (3) of this Section 6.01);</w:t>
      </w:r>
    </w:p>
    <w:p>
      <w:pPr>
        <w:spacing w:after="0" w:line="1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0960"/>
          </w:cols>
          <w:pgMar w:left="440" w:top="270" w:right="499" w:bottom="1440" w:gutter="0" w:footer="0" w:header="0"/>
        </w:sectPr>
      </w:pPr>
    </w:p>
    <w:bookmarkStart w:id="61" w:name="page62"/>
    <w:bookmarkEnd w:id="61"/>
    <w:p>
      <w:pPr>
        <w:ind w:right="120" w:firstLine="419"/>
        <w:spacing w:after="0" w:line="254" w:lineRule="auto"/>
        <w:tabs>
          <w:tab w:leader="none" w:pos="67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default under any mortgage, indenture or instrument under which there may be issued or by which there may be secured or evidenced any Indebtedness of Parent or any of its Subsidiaries (or the payment of which is Guaranteed by Parent or any of its Subsidiaries), whether such Indebtedness or Guarantee now exists or is created after the Issue Date, which default (a) is caused by a failure to pay when due at final stated maturity (giving effect to any grace period related thereto) principal of such Indebtedness (a “</w:t>
      </w:r>
      <w:r>
        <w:rPr>
          <w:rFonts w:ascii="Times New Roman" w:cs="Times New Roman" w:eastAsia="Times New Roman" w:hAnsi="Times New Roman"/>
          <w:sz w:val="18"/>
          <w:szCs w:val="18"/>
          <w:u w:val="single" w:color="auto"/>
          <w:color w:val="auto"/>
        </w:rPr>
        <w:t>Payment Default</w:t>
      </w:r>
      <w:r>
        <w:rPr>
          <w:rFonts w:ascii="Times New Roman" w:cs="Times New Roman" w:eastAsia="Times New Roman" w:hAnsi="Times New Roman"/>
          <w:sz w:val="18"/>
          <w:szCs w:val="18"/>
          <w:color w:val="auto"/>
        </w:rPr>
        <w:t>”) or (b) results in the acceleration of such Indebtedness prior to its stated maturity, and, in each case, the principal amount of any such Indebtedness, together with the principal amount of any such Indebtedness under which there has been a Payment Default or the maturity of which has been so accelerated, aggregates $75,000,000 or more and, in each case, Parent has received notice specifying the default from the Trustee or Holders of at least 25% of the aggregate principal amount of Notes then outstanding and does not cure the default within 30 days;</w:t>
      </w:r>
    </w:p>
    <w:p>
      <w:pPr>
        <w:spacing w:after="0" w:line="83" w:lineRule="exact"/>
        <w:rPr>
          <w:rFonts w:ascii="Times New Roman" w:cs="Times New Roman" w:eastAsia="Times New Roman" w:hAnsi="Times New Roman"/>
          <w:sz w:val="18"/>
          <w:szCs w:val="18"/>
          <w:color w:val="auto"/>
        </w:rPr>
      </w:pPr>
    </w:p>
    <w:p>
      <w:pPr>
        <w:ind w:right="40" w:firstLine="419"/>
        <w:spacing w:after="0" w:line="266" w:lineRule="auto"/>
        <w:tabs>
          <w:tab w:leader="none" w:pos="67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by Parent or any of its Subsidiaries to pay final judgments (net of any amounts covered by insurance and as to which such insurer has not denied responsibility or coverage in writing) aggregating $75,000,000 or more, which judgments are not paid, discharged, bonded or stayed within 60 days after their entry;</w:t>
      </w:r>
    </w:p>
    <w:p>
      <w:pPr>
        <w:spacing w:after="0" w:line="67" w:lineRule="exact"/>
        <w:rPr>
          <w:rFonts w:ascii="Times New Roman" w:cs="Times New Roman" w:eastAsia="Times New Roman" w:hAnsi="Times New Roman"/>
          <w:sz w:val="18"/>
          <w:szCs w:val="18"/>
          <w:color w:val="auto"/>
        </w:rPr>
      </w:pPr>
    </w:p>
    <w:p>
      <w:pPr>
        <w:ind w:firstLine="419"/>
        <w:spacing w:after="0" w:line="252" w:lineRule="auto"/>
        <w:tabs>
          <w:tab w:leader="none" w:pos="678"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 court having jurisdiction over Parent, the Issuer or any other Subsidiary of Parent enters (x) a decree or order for relief in respect of Parent, the Issuer or any Subsidiary of Parent that is a Significant Subsidiary or group of Subsidiaries of Parent that, taken together, would constitute a Significant Subsidiary in an involuntary case or proceeding under any Bankruptcy Law or (y) a decree or order adjudging Parent, the Issuer or any Subsidiary of Parent that is a Significant Subsidiary or group of Subsidiaries of Parent that, taken together, would constitute a Significant Subsidiary as bankrupt or insolvent, or approving as properly filed a petition seeking reorganization, arrangement, adjustment or composition of or in respect of Parent, the Issuer or any such Subsidiary or group of Subsidiaries under any Bankruptcy Law, or appointing a custodian, receiver, liquidator, assignee, trustee, sequestrator or other similar official of Parent, the Issuer or any such Subsidiary or group of Subsidiaries or of any substantial part of its property, or ordering the winding up or liquidation of its affairs, and the continuance of any such decree or order for relief or any such other decree or order unstayed and in effect for a period of 60 consecutive days or (B) Parent, the Issuer or any Subsidiary of Parent that is a Significant Subsidiary or group of Subsidiaries of Parent that, taken together, would constitute a Significant Subsidiary (i) commences a voluntary case under any Bankruptcy Law or consents to the entry of an order for relief in an involuntary case under any Bankruptcy Law, (ii) consents to the appointment of or taking possession by a receiver, liquidator, assignee, custodian, trustee, sequestrator or similar official of Parent, the Issuer or any such Subsidiary or group of Subsidiaries or for all or substantially all the property and assets of Parent, the Issuer or any such Subsidiary or group of Subsidiaries, (iii) effects any general assignment for the benefit of creditors or (iv) generally is not paying its debts as they become due; and</w:t>
      </w:r>
    </w:p>
    <w:p>
      <w:pPr>
        <w:spacing w:after="0" w:line="128"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540"/>
          </w:cols>
          <w:pgMar w:left="880" w:top="270" w:right="479" w:bottom="1440" w:gutter="0" w:footer="0" w:header="0"/>
        </w:sectPr>
      </w:pPr>
    </w:p>
    <w:bookmarkStart w:id="62" w:name="page63"/>
    <w:bookmarkEnd w:id="62"/>
    <w:p>
      <w:pPr>
        <w:ind w:left="440" w:right="80" w:firstLine="419"/>
        <w:spacing w:after="0" w:line="261" w:lineRule="auto"/>
        <w:tabs>
          <w:tab w:leader="none" w:pos="1118"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Note Guarantee of any Guarantor that is a Significant Subsidiary ceases to be in full force and effect (other than in accordance with the terms of such Note Guarantee and this Indenture) or is declared null and void and unenforceable or found to be invalid or any Guarantor denies its liability under its Note Guarantee (other than by reason of release of a Guarantor from its Note Guarantee in accordance with the terms of this Indenture and such Note Guarantee).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Acceleration of Maturity; Rescission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 xml:space="preserve">If an Event of Default occurs and is continuing under this Indenture, either the Trustee, by notice in writing to the Issuer, or the Holders of at least 25% in aggregate principal amount of the Notes then outstanding, by notice in writing to the Issuer and the Trustee, specifying the respective Event of Default and that it is a “notice of acceleration”, may declare the principal of and premium, if any, and accrued interest, if any, on the Notes to be due and payable, and upon such declaration of acceleration, such principal of and premium, if any, and accrued interest, if any, shall be immediately due and payable;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notwithstanding the foregoing, if an Event of Default specified in Section 6.01(7) occurs with respect to Parent or the Issuer, the principal of and premium, if any, and accrued interest, if any, on the Notes then outstanding shall become and be immediately due and payable without any declaration or other act on the part of the Trustee or any Holder.</w:t>
      </w:r>
    </w:p>
    <w:p>
      <w:pPr>
        <w:spacing w:after="0" w:line="18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Notwithstanding the foregoing, if after such acceleration but before a judgment or decree based on such acceleration is obtained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the Holders of a majority in aggregate principal amount of outstanding Notes may rescind and annul such acceleration if:</w:t>
      </w:r>
    </w:p>
    <w:p>
      <w:pPr>
        <w:spacing w:after="0" w:line="99" w:lineRule="exact"/>
        <w:rPr>
          <w:sz w:val="20"/>
          <w:szCs w:val="20"/>
          <w:color w:val="auto"/>
        </w:rPr>
      </w:pPr>
    </w:p>
    <w:p>
      <w:pPr>
        <w:ind w:left="440" w:right="600" w:firstLine="419"/>
        <w:spacing w:after="0" w:line="282" w:lineRule="auto"/>
        <w:tabs>
          <w:tab w:leader="none" w:pos="111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other than nonpayment of principal, premium, if any, or interest that has become due solely because of the acceleration, have been cured or waived;</w:t>
      </w:r>
    </w:p>
    <w:p>
      <w:pPr>
        <w:spacing w:after="0" w:line="53" w:lineRule="exact"/>
        <w:rPr>
          <w:rFonts w:ascii="Times New Roman" w:cs="Times New Roman" w:eastAsia="Times New Roman" w:hAnsi="Times New Roman"/>
          <w:sz w:val="18"/>
          <w:szCs w:val="18"/>
          <w:color w:val="auto"/>
        </w:rPr>
      </w:pPr>
    </w:p>
    <w:p>
      <w:pPr>
        <w:ind w:left="440" w:firstLine="419"/>
        <w:spacing w:after="0" w:line="282" w:lineRule="auto"/>
        <w:tabs>
          <w:tab w:leader="none" w:pos="111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payment of such interest is lawful, interest on overdue installments of interest and overdue principal, which has become due otherwise than by such declaration of acceleration, has been paid;</w:t>
      </w:r>
    </w:p>
    <w:p>
      <w:pPr>
        <w:spacing w:after="0" w:line="53"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18"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paid the Trustee its reasonable compensation and reimbursed the Trustee for its expenses, disbursements, indemnities and advances; and</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940"/>
          </w:cols>
          <w:pgMar w:left="440" w:top="270" w:right="519" w:bottom="1440" w:gutter="0" w:footer="0" w:header="0"/>
        </w:sectPr>
      </w:pPr>
    </w:p>
    <w:bookmarkStart w:id="63" w:name="page64"/>
    <w:bookmarkEnd w:id="63"/>
    <w:p>
      <w:pPr>
        <w:ind w:left="440" w:right="460" w:firstLine="419"/>
        <w:spacing w:after="0" w:line="282" w:lineRule="auto"/>
        <w:tabs>
          <w:tab w:leader="none" w:pos="111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of the cure or waiver of an Event of Default of the type described in Section 6.01(7), the Trustee shall have received an Officers’ Certificate and an Opinion of Counsel that such Event of Default has been cured or waived.</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 such rescission shall affect any subsequent Default or impair any right consequent thereto.</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Other Remedies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61" w:lineRule="auto"/>
        <w:rPr>
          <w:sz w:val="20"/>
          <w:szCs w:val="20"/>
          <w:color w:val="auto"/>
        </w:rPr>
      </w:pPr>
      <w:r>
        <w:rPr>
          <w:rFonts w:ascii="Times New Roman" w:cs="Times New Roman" w:eastAsia="Times New Roman" w:hAnsi="Times New Roman"/>
          <w:sz w:val="18"/>
          <w:szCs w:val="18"/>
          <w:color w:val="auto"/>
        </w:rPr>
        <w:t>If an Event of Default occurs and is continuing, the Trustee may pursue any available remedy by proceeding at law or in equity to collect the payment of principal of, or premium, if any, and interest on the Notes or to enforce the performance of any provision of the Notes or this Indenture and may take any necessary action requested by the Holders of a majority of the principal amount outstanding of the Notes to settle, compromise, adjust or otherwise conclude any proceedings to which it is a party.</w:t>
      </w:r>
    </w:p>
    <w:p>
      <w:pPr>
        <w:spacing w:after="0" w:line="180" w:lineRule="exact"/>
        <w:rPr>
          <w:sz w:val="20"/>
          <w:szCs w:val="20"/>
          <w:color w:val="auto"/>
        </w:rPr>
      </w:pPr>
    </w:p>
    <w:p>
      <w:pPr>
        <w:ind w:right="140" w:firstLine="991"/>
        <w:spacing w:after="0" w:line="258" w:lineRule="auto"/>
        <w:rPr>
          <w:sz w:val="20"/>
          <w:szCs w:val="20"/>
          <w:color w:val="auto"/>
        </w:rPr>
      </w:pPr>
      <w:r>
        <w:rPr>
          <w:rFonts w:ascii="Times New Roman" w:cs="Times New Roman" w:eastAsia="Times New Roman" w:hAnsi="Times New Roman"/>
          <w:sz w:val="18"/>
          <w:szCs w:val="18"/>
          <w:color w:val="auto"/>
        </w:rPr>
        <w:t>The Trustee may maintain a proceeding even if it does not possess any of the Notes or does not produce any of them in the proceeding. A delay or omission by the Trustee or any Noteholder in exercising any right or remedy accruing upon an Event of Default shall not impair the right or remedy or constitute a waiver of or acquiescence in the Event of Default. No remedy is exclusive of any other remedy. All available remedies are cumulative. Any costs associated with actions taken by the Trustee under this Section 6.03 shall be reimbursed to the Trustee by the Issuer and the Guarantors.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Waiver of Existing Defaults and Events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68" w:lineRule="auto"/>
        <w:tabs>
          <w:tab w:leader="none" w:pos="1236"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Sections 2.10, 6.02, 6.08 and 8.02, the Holders of a majority in principal amount of the Notes then outstanding shall have the right to waive past Defaults under this Indenture </w:t>
      </w:r>
      <w:r>
        <w:rPr>
          <w:rFonts w:ascii="Times New Roman" w:cs="Times New Roman" w:eastAsia="Times New Roman" w:hAnsi="Times New Roman"/>
          <w:sz w:val="17"/>
          <w:szCs w:val="17"/>
          <w:i w:val="1"/>
          <w:iCs w:val="1"/>
          <w:color w:val="auto"/>
        </w:rPr>
        <w:t>except</w:t>
      </w:r>
      <w:r>
        <w:rPr>
          <w:rFonts w:ascii="Times New Roman" w:cs="Times New Roman" w:eastAsia="Times New Roman" w:hAnsi="Times New Roman"/>
          <w:sz w:val="17"/>
          <w:szCs w:val="17"/>
          <w:color w:val="auto"/>
        </w:rPr>
        <w:t xml:space="preserve"> a Default in the payment of the principal of, or interest or premium, if any, on any Note as specified in clauses (1) and (2) of Section 6.01 or in respect of a covenant or a provision which cannot be modified or amended without the consent of all Holders as provided for in Section 8.02. The Issuer shall deliver to the Trustee an Officers’ Certificate stating that the requisite percentage of Holders have consented to such waiver and attaching copies of such consents. In case of any such waiver, the Issuer, the Trustee and the Holders shall be restored to their former positions and rights hereunder and under the Notes, respectively. This subsection (a) of this Section 6.04 shall be in lieu of TIA § 316(a)</w:t>
      </w:r>
    </w:p>
    <w:p>
      <w:pPr>
        <w:spacing w:after="0" w:line="4"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(1)(B), and TIA § 316(a)(1)(B) is hereby expressly excluded from this Indenture and the Notes, as permitted by the TIA.</w:t>
      </w:r>
    </w:p>
    <w:p>
      <w:pPr>
        <w:spacing w:after="0" w:line="206" w:lineRule="exact"/>
        <w:rPr>
          <w:rFonts w:ascii="Times New Roman" w:cs="Times New Roman" w:eastAsia="Times New Roman" w:hAnsi="Times New Roman"/>
          <w:sz w:val="17"/>
          <w:szCs w:val="17"/>
          <w:color w:val="auto"/>
        </w:rPr>
      </w:pPr>
    </w:p>
    <w:p>
      <w:pPr>
        <w:ind w:right="340" w:firstLine="987"/>
        <w:spacing w:after="0" w:line="266" w:lineRule="auto"/>
        <w:tabs>
          <w:tab w:leader="none" w:pos="124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any such waiver, such Default shall cease to exist, and any Event of Default arising therefrom shall be deemed to have been cured for every purpose of this Indenture, but no such waiver shall extend to any subsequent or other Default or Event of Default or impair any right consequent thereto.</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020"/>
          </w:cols>
          <w:pgMar w:left="440" w:top="270" w:right="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6.05. </w:t>
      </w:r>
      <w:r>
        <w:rPr>
          <w:rFonts w:ascii="Times New Roman" w:cs="Times New Roman" w:eastAsia="Times New Roman" w:hAnsi="Times New Roman"/>
          <w:sz w:val="18"/>
          <w:szCs w:val="18"/>
          <w:u w:val="single" w:color="auto"/>
          <w:color w:val="auto"/>
        </w:rPr>
        <w:t>Control by Majority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 xml:space="preserve">Subject to Sections 2.10 and 7.01, the Holders of a majority in principal amount of the outstanding Notes have the right to direct the time, method and place of conducting any proceeding for exercising any remedy available to the Trustee or exercising any trust or power conferred on the Trustee by this Indenture. The Trustee, however, may refuse to follow any direction that conflicts with law or this Indenture or that the Trustee determines may be unduly prejudicial to the rights of another Holder not taking part in such direction, and the Trustee shall have the right to decline to follow any such direction if the Trustee, being advised by counsel, determines that the action so directed may not lawfully be taken or if the Trustee in good faith shall, by a Responsible Officer, determine that the proceedings so directed may involve it in personal liability;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Trustee may take any other action deemed proper by the Trustee which is not inconsistent with such direction. In the event the Trustee takes any action or follows any direction pursuant to this Indenture, the Trustee shall be entitled to indemnification reasonably satisfactory to it against any loss or expense caused by taking such action or following such direction. This Section 6.05 shall be in lieu of TIA § 316(a)(1)(A), and TIA § 316(a)(1)(A) is hereby expressly excluded from this Indenture and the Notes, as permitted by the TIA.</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6.06. </w:t>
      </w:r>
      <w:r>
        <w:rPr>
          <w:rFonts w:ascii="Times New Roman" w:cs="Times New Roman" w:eastAsia="Times New Roman" w:hAnsi="Times New Roman"/>
          <w:sz w:val="18"/>
          <w:szCs w:val="18"/>
          <w:u w:val="single" w:color="auto"/>
          <w:color w:val="auto"/>
        </w:rPr>
        <w:t>Limitation on Suits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Subject to Section 6.08, a Holder may not pursue any remedy with respect to this Indenture or the Notes unless:</w:t>
      </w:r>
    </w:p>
    <w:p>
      <w:pPr>
        <w:spacing w:after="0" w:line="117" w:lineRule="exact"/>
        <w:rPr>
          <w:sz w:val="20"/>
          <w:szCs w:val="20"/>
          <w:color w:val="auto"/>
        </w:rPr>
      </w:pPr>
    </w:p>
    <w:p>
      <w:pPr>
        <w:ind w:left="1120" w:hanging="261"/>
        <w:spacing w:after="0"/>
        <w:tabs>
          <w:tab w:leader="none" w:pos="11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has given the Trustee written notice of a continuing Event of Default;</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the Notes then outstanding make a written request to the Trustee to pursue the remedy;</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or Holders offer the Trustee indemnity satisfactory to the Trustee against any costs, liability or expense;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does not comply with the request within 60 days after receipt of the request and the offer of indemnity; and</w:t>
      </w:r>
    </w:p>
    <w:p>
      <w:pPr>
        <w:spacing w:after="0" w:line="117" w:lineRule="exact"/>
        <w:rPr>
          <w:rFonts w:ascii="Times New Roman" w:cs="Times New Roman" w:eastAsia="Times New Roman" w:hAnsi="Times New Roman"/>
          <w:sz w:val="18"/>
          <w:szCs w:val="18"/>
          <w:color w:val="auto"/>
        </w:rPr>
      </w:pPr>
    </w:p>
    <w:p>
      <w:pPr>
        <w:ind w:left="440" w:right="280" w:firstLine="419"/>
        <w:spacing w:after="0" w:line="282" w:lineRule="auto"/>
        <w:tabs>
          <w:tab w:leader="none" w:pos="1118"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such 60-day period, the Holders of a majority in aggregate principal amount of the outstanding Notes do not give the Trustee a direction that is inconsistent with the request.</w:t>
      </w:r>
    </w:p>
    <w:p>
      <w:pPr>
        <w:spacing w:after="0" w:line="162"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A Noteholder may not use any provision of this Indenture to disturb or prejudice the rights of another Noteholder or to obtain a preference or priority over another Noteholder.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ectPr>
          <w:pgSz w:w="11900" w:h="16838" w:orient="portrait"/>
          <w:cols w:equalWidth="0" w:num="1">
            <w:col w:w="11020"/>
          </w:cols>
          <w:pgMar w:left="440" w:top="270" w:right="4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6.07. </w:t>
      </w:r>
      <w:r>
        <w:rPr>
          <w:rFonts w:ascii="Times New Roman" w:cs="Times New Roman" w:eastAsia="Times New Roman" w:hAnsi="Times New Roman"/>
          <w:sz w:val="18"/>
          <w:szCs w:val="18"/>
          <w:u w:val="single" w:color="auto"/>
          <w:color w:val="auto"/>
        </w:rPr>
        <w:t>No Personal Liability of Directors, Officers, Employees and Stockholders.</w:t>
      </w:r>
    </w:p>
    <w:p>
      <w:pPr>
        <w:spacing w:after="0" w:line="225" w:lineRule="exact"/>
        <w:rPr>
          <w:sz w:val="20"/>
          <w:szCs w:val="20"/>
          <w:color w:val="auto"/>
        </w:rPr>
      </w:pPr>
    </w:p>
    <w:p>
      <w:pPr>
        <w:jc w:val="both"/>
        <w:ind w:right="300" w:firstLine="991"/>
        <w:spacing w:after="0" w:line="266" w:lineRule="auto"/>
        <w:rPr>
          <w:sz w:val="20"/>
          <w:szCs w:val="20"/>
          <w:color w:val="auto"/>
        </w:rPr>
      </w:pPr>
      <w:r>
        <w:rPr>
          <w:rFonts w:ascii="Times New Roman" w:cs="Times New Roman" w:eastAsia="Times New Roman" w:hAnsi="Times New Roman"/>
          <w:sz w:val="18"/>
          <w:szCs w:val="18"/>
          <w:color w:val="auto"/>
        </w:rPr>
        <w:t>No director, officer, employee, incorporator or stockholder of Parent or of any Subsidiary of Parent, as such, shall have any liability for any obligations of the Issuer or the Guarantors under the Notes, this Indenture, or the Note Guarantees or for any claim based on, in respect of, or by reason of, such obligations or their creation. Each Holder of Notes by accepting a Note waives and releases all such liability.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Rights of Holders To Receive Payment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89" w:lineRule="auto"/>
        <w:rPr>
          <w:sz w:val="20"/>
          <w:szCs w:val="20"/>
          <w:color w:val="auto"/>
        </w:rPr>
      </w:pPr>
      <w:r>
        <w:rPr>
          <w:rFonts w:ascii="Times New Roman" w:cs="Times New Roman" w:eastAsia="Times New Roman" w:hAnsi="Times New Roman"/>
          <w:sz w:val="17"/>
          <w:szCs w:val="17"/>
          <w:color w:val="auto"/>
        </w:rPr>
        <w:t>Notwithstanding any other provision of this Indenture, the right of any Holder of a Note to receive payment of the principal of or premium, if any, or interest, if any, on such Note on or after the respective due dates expressed in such Note, or to bring suit for the enforcement of any such payment, on or after such respective due dates, is absolute and unconditional and shall not be impaired or affected without the consent of the Holder.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Collection Suit by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58" w:lineRule="auto"/>
        <w:rPr>
          <w:sz w:val="20"/>
          <w:szCs w:val="20"/>
          <w:color w:val="auto"/>
        </w:rPr>
      </w:pPr>
      <w:r>
        <w:rPr>
          <w:rFonts w:ascii="Times New Roman" w:cs="Times New Roman" w:eastAsia="Times New Roman" w:hAnsi="Times New Roman"/>
          <w:sz w:val="18"/>
          <w:szCs w:val="18"/>
          <w:color w:val="auto"/>
        </w:rPr>
        <w:t>If an Event of Default occurs and is continuing, the Trustee may recover judgment in its own name and as trustee of an express trust against the Issuer or any Guarantor (or any other obligor on the Notes) for the whole amount of unpaid principal and accrued interest remaining unpaid, together with interest on overdue principal and, to the extent that payment of such interest is lawful, interest on overdue installments of interest, in each case at the rate set forth in the Notes, and such further amounts as shall be sufficient to cover the costs and expenses of collection, including the reasonable compensation, expenses, disbursements and advances of the Trustee, its agents and counsel.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Trustee May File Proofs of Claim</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The Trustee may file such proofs of claim and other papers or documents as may be necessary or advisable in order to have the claims of the Trustee (including any claim for the reasonable compensation, expenses, disbursements and advances of the Trustee, its agents and counsel, and any other amounts due the Trustee under Section 7.07) and the Noteholders allowed in any judicial proceedings relative to the Issuer or any Guarantor (or any other obligor upon the Notes), its creditors or its property and shall be entitled and empowered to collect and receive any monies or other property payable or deliverable on any such claims and to distribute the same after deduction of its charges and expenses to the extent that any such charges and expenses are not paid out of the estate in any such proceedings and any custodian in any such judicial proceeding is hereby authorized by each Noteholder to make such payments to the Trustee, and in the event that the Trustee shall consent to the making of such payments directly to the Noteholders, to pay to the Trustee any amount due to it for the reasonable compensation, expenses, disbursements and advances of the Trustee, its agents and counsel, and any other amounts due the Trustee under Section 7.07.</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ectPr>
          <w:pgSz w:w="11900" w:h="16838" w:orient="portrait"/>
          <w:cols w:equalWidth="0" w:num="1">
            <w:col w:w="11020"/>
          </w:cols>
          <w:pgMar w:left="440" w:top="270" w:right="439" w:bottom="1440" w:gutter="0" w:footer="0" w:header="0"/>
        </w:sectPr>
      </w:pPr>
    </w:p>
    <w:bookmarkStart w:id="66" w:name="page67"/>
    <w:bookmarkEnd w:id="66"/>
    <w:p>
      <w:pPr>
        <w:ind w:right="480" w:firstLine="991"/>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Nothing herein contained shall be deemed to authorize the Trustee to authorize or consent to or accept or adopt on behalf of any Noteholder any plan or reorganization, arrangement, adjustment or composition affecting the Notes or the rights of any Noteholder thereof, or to authorize the Trustee to vote in respect of the claim of any Noteholder in any such proceedings.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Priorities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the Trustee collects any money pursuant to this Article Six, it shall pay out the money in the following order:</w:t>
      </w:r>
    </w:p>
    <w:p>
      <w:pPr>
        <w:spacing w:after="0" w:line="117"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FIRST: to the Trustee for amounts due under Section 7.07;</w:t>
      </w:r>
    </w:p>
    <w:p>
      <w:pPr>
        <w:spacing w:after="0" w:line="117" w:lineRule="exact"/>
        <w:rPr>
          <w:sz w:val="20"/>
          <w:szCs w:val="20"/>
          <w:color w:val="auto"/>
        </w:rPr>
      </w:pPr>
    </w:p>
    <w:p>
      <w:pPr>
        <w:ind w:left="440" w:right="340" w:firstLine="529"/>
        <w:spacing w:after="0" w:line="282" w:lineRule="auto"/>
        <w:rPr>
          <w:sz w:val="20"/>
          <w:szCs w:val="20"/>
          <w:color w:val="auto"/>
        </w:rPr>
      </w:pPr>
      <w:r>
        <w:rPr>
          <w:rFonts w:ascii="Times New Roman" w:cs="Times New Roman" w:eastAsia="Times New Roman" w:hAnsi="Times New Roman"/>
          <w:sz w:val="18"/>
          <w:szCs w:val="18"/>
          <w:color w:val="auto"/>
        </w:rPr>
        <w:t>SECOND: to Noteholders for amounts due and unpaid on the Notes for principal, premium, if any, and interest (including Additional Interest, if any), ratably, without preference or priority of any kind, according to the amounts due and payable on the Notes; and</w:t>
      </w:r>
    </w:p>
    <w:p>
      <w:pPr>
        <w:spacing w:after="0" w:line="54" w:lineRule="exact"/>
        <w:rPr>
          <w:sz w:val="20"/>
          <w:szCs w:val="20"/>
          <w:color w:val="auto"/>
        </w:rPr>
      </w:pPr>
    </w:p>
    <w:p>
      <w:pPr>
        <w:ind w:left="960"/>
        <w:spacing w:after="0"/>
        <w:rPr>
          <w:sz w:val="20"/>
          <w:szCs w:val="20"/>
          <w:color w:val="auto"/>
        </w:rPr>
      </w:pPr>
      <w:r>
        <w:rPr>
          <w:rFonts w:ascii="Times New Roman" w:cs="Times New Roman" w:eastAsia="Times New Roman" w:hAnsi="Times New Roman"/>
          <w:sz w:val="18"/>
          <w:szCs w:val="18"/>
          <w:color w:val="auto"/>
        </w:rPr>
        <w:t>THIRD: to the Issuer or, to the extent the Trustee collects any amount from any Guarantor, to such Guarantor.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Trustee may fix a record date and payment date for any payment to Noteholders pursuant to this Section 6.11.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Undertaking for Costs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77" w:lineRule="auto"/>
        <w:rPr>
          <w:sz w:val="20"/>
          <w:szCs w:val="20"/>
          <w:color w:val="auto"/>
        </w:rPr>
      </w:pPr>
      <w:r>
        <w:rPr>
          <w:rFonts w:ascii="Times New Roman" w:cs="Times New Roman" w:eastAsia="Times New Roman" w:hAnsi="Times New Roman"/>
          <w:sz w:val="17"/>
          <w:szCs w:val="17"/>
          <w:color w:val="auto"/>
        </w:rPr>
        <w:t>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Section 6.12 does not apply to a suit by the Trustee, a suit by a Noteholder pursuant to Section 6.08 or a suit by Noteholders of more than 10% in aggregate principal amount of the Notes then outstanding.</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-56-</w:t>
      </w:r>
    </w:p>
    <w:p>
      <w:pPr>
        <w:sectPr>
          <w:pgSz w:w="11900" w:h="16838" w:orient="portrait"/>
          <w:cols w:equalWidth="0" w:num="1">
            <w:col w:w="10880"/>
          </w:cols>
          <w:pgMar w:left="440" w:top="270" w:right="579" w:bottom="1440" w:gutter="0" w:footer="0" w:header="0"/>
        </w:sectPr>
      </w:pPr>
    </w:p>
    <w:bookmarkStart w:id="67" w:name="page68"/>
    <w:bookmarkEnd w:id="67"/>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SEVEN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TRUSTEE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Duties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87"/>
        <w:spacing w:after="0" w:line="266" w:lineRule="auto"/>
        <w:tabs>
          <w:tab w:leader="none" w:pos="123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Default or Event of Default actually known to a Responsible Officer of the Trustee has occurred and is continuing, the Trustee shall exercise such of the rights and powers vested in it by this Indenture and use the same degree of care and skill in their exercise as a prudent person would exercise or use under the same circumstances.</w:t>
      </w:r>
    </w:p>
    <w:p>
      <w:pPr>
        <w:spacing w:after="0" w:line="68" w:lineRule="exact"/>
        <w:rPr>
          <w:sz w:val="20"/>
          <w:szCs w:val="20"/>
          <w:color w:val="auto"/>
        </w:rPr>
      </w:pPr>
    </w:p>
    <w:p>
      <w:pPr>
        <w:jc w:val="both"/>
        <w:ind w:left="440" w:right="80" w:firstLine="423"/>
        <w:spacing w:after="0" w:line="312" w:lineRule="auto"/>
        <w:rPr>
          <w:sz w:val="20"/>
          <w:szCs w:val="20"/>
          <w:color w:val="auto"/>
        </w:rPr>
      </w:pPr>
      <w:r>
        <w:rPr>
          <w:rFonts w:ascii="Times New Roman" w:cs="Times New Roman" w:eastAsia="Times New Roman" w:hAnsi="Times New Roman"/>
          <w:sz w:val="17"/>
          <w:szCs w:val="17"/>
          <w:color w:val="auto"/>
        </w:rPr>
        <w:t>The Trustee shall not be deemed to have actual knowledge of any Default or Event of Default unless written notice of any event which is in fact such a default is received by the Trustee at the Corporate Trust Office of the Trustee, and such notice references the Notes and this Indenture.</w:t>
      </w:r>
    </w:p>
    <w:p>
      <w:pPr>
        <w:spacing w:after="0" w:line="140" w:lineRule="exact"/>
        <w:rPr>
          <w:sz w:val="20"/>
          <w:szCs w:val="20"/>
          <w:color w:val="auto"/>
        </w:rPr>
      </w:pPr>
    </w:p>
    <w:p>
      <w:pPr>
        <w:ind w:left="1240" w:hanging="253"/>
        <w:spacing w:after="0"/>
        <w:tabs>
          <w:tab w:leader="none" w:pos="1240"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during the continuance of a Default or an Event of Default of which a Responsible Officer of the Trustee has actual knowledge:</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need perform only those duties expressly set forth in this Indenture and no others; and</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54" w:lineRule="auto"/>
        <w:tabs>
          <w:tab w:leader="none" w:pos="111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bad faith on its part, the Trustee may conclusively rely, as to the truth of the statements and the correctness of the opinions expressed therein, upon certificates or opinions furnished to the Trustee and conforming to the requirements of this Indenture but, in the case of any such certificates or opinions which by any provision hereof are specifically required to be furnished to the Trustee, the Trustee shall be under a duty to examine the same to determine whether or not they conform on their face to the requirements of this Indenture (but need not confirm or investigate the accuracy of mathematical calculations or other facts stated therein). Whenever in the administration of this Indenture the Trustee shall deem it desirable that a matter be proved or established prior to taking, suffering or omitting any action hereunder, the Trustee (unless other evidence be herein specifically prescribed) may, in the absence of bad faith on its part, conclusively rely upon an Officers’ Certificate, subject to the requirement in the preceding sentence, if applicable.</w:t>
      </w:r>
    </w:p>
    <w:p>
      <w:pPr>
        <w:spacing w:after="0" w:line="191" w:lineRule="exact"/>
        <w:rPr>
          <w:rFonts w:ascii="Times New Roman" w:cs="Times New Roman" w:eastAsia="Times New Roman" w:hAnsi="Times New Roman"/>
          <w:sz w:val="18"/>
          <w:szCs w:val="18"/>
          <w:color w:val="auto"/>
        </w:rPr>
      </w:pPr>
    </w:p>
    <w:p>
      <w:pPr>
        <w:ind w:right="800" w:firstLine="987"/>
        <w:spacing w:after="0" w:line="282" w:lineRule="auto"/>
        <w:tabs>
          <w:tab w:leader="none" w:pos="1236"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not be relieved from liability for its own negligent action, its own negligent failure to act, or its own willful misconduct, except that:</w:t>
      </w:r>
    </w:p>
    <w:p>
      <w:pPr>
        <w:spacing w:after="0" w:line="54" w:lineRule="exact"/>
        <w:rPr>
          <w:sz w:val="20"/>
          <w:szCs w:val="20"/>
          <w:color w:val="auto"/>
        </w:rPr>
      </w:pPr>
    </w:p>
    <w:p>
      <w:pPr>
        <w:ind w:left="5360" w:right="4300" w:hanging="4501"/>
        <w:spacing w:after="0" w:line="454" w:lineRule="auto"/>
        <w:tabs>
          <w:tab w:leader="none" w:pos="1120"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paragraph does not limit the effect of subsection (b) of this Section 7.01; -57-</w:t>
      </w:r>
    </w:p>
    <w:p>
      <w:pPr>
        <w:sectPr>
          <w:pgSz w:w="11900" w:h="16838" w:orient="portrait"/>
          <w:cols w:equalWidth="0" w:num="1">
            <w:col w:w="11000"/>
          </w:cols>
          <w:pgMar w:left="440" w:top="270" w:right="459" w:bottom="1440" w:gutter="0" w:footer="0" w:header="0"/>
        </w:sectPr>
      </w:pPr>
    </w:p>
    <w:bookmarkStart w:id="68" w:name="page69"/>
    <w:bookmarkEnd w:id="68"/>
    <w:p>
      <w:pPr>
        <w:ind w:left="440" w:right="60" w:firstLine="419"/>
        <w:spacing w:after="0" w:line="282" w:lineRule="auto"/>
        <w:tabs>
          <w:tab w:leader="none" w:pos="111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not be liable for any error of judgment made in good faith by a Responsible Officer, unless it is proved that the Trustee was negligent in ascertaining the pertinent facts;</w:t>
      </w:r>
    </w:p>
    <w:p>
      <w:pPr>
        <w:spacing w:after="0" w:line="53"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1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with respect to any action it takes or omits to take in good faith in accordance with a direction received by it pursuant to the terms of this Indenture; and</w:t>
      </w:r>
    </w:p>
    <w:p>
      <w:pPr>
        <w:spacing w:after="0" w:line="53" w:lineRule="exact"/>
        <w:rPr>
          <w:rFonts w:ascii="Times New Roman" w:cs="Times New Roman" w:eastAsia="Times New Roman" w:hAnsi="Times New Roman"/>
          <w:sz w:val="18"/>
          <w:szCs w:val="18"/>
          <w:color w:val="auto"/>
        </w:rPr>
      </w:pPr>
    </w:p>
    <w:p>
      <w:pPr>
        <w:ind w:left="440" w:right="260" w:firstLine="419"/>
        <w:spacing w:after="0" w:line="282" w:lineRule="auto"/>
        <w:tabs>
          <w:tab w:leader="none" w:pos="111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Indenture shall require the Trustee to expend or risk its own funds or otherwise incur any financial liability in the performance of any of its rights, powers or duties.</w:t>
      </w:r>
    </w:p>
    <w:p>
      <w:pPr>
        <w:spacing w:after="0" w:line="161" w:lineRule="exact"/>
        <w:rPr>
          <w:rFonts w:ascii="Times New Roman" w:cs="Times New Roman" w:eastAsia="Times New Roman" w:hAnsi="Times New Roman"/>
          <w:sz w:val="18"/>
          <w:szCs w:val="18"/>
          <w:color w:val="auto"/>
        </w:rPr>
      </w:pPr>
    </w:p>
    <w:p>
      <w:pPr>
        <w:ind w:right="160" w:firstLine="987"/>
        <w:spacing w:after="0" w:line="282" w:lineRule="auto"/>
        <w:tabs>
          <w:tab w:leader="none" w:pos="124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or not therein expressly so provided, subsections (a), (b), (c) and (e) of this Section 7.01 shall govern every provision of this Indenture that in any way relates to the Trustee.</w:t>
      </w:r>
    </w:p>
    <w:p>
      <w:pPr>
        <w:spacing w:after="0" w:line="161" w:lineRule="exact"/>
        <w:rPr>
          <w:rFonts w:ascii="Times New Roman" w:cs="Times New Roman" w:eastAsia="Times New Roman" w:hAnsi="Times New Roman"/>
          <w:sz w:val="18"/>
          <w:szCs w:val="18"/>
          <w:color w:val="auto"/>
        </w:rPr>
      </w:pPr>
    </w:p>
    <w:p>
      <w:pPr>
        <w:ind w:right="80" w:firstLine="987"/>
        <w:spacing w:after="0" w:line="261" w:lineRule="auto"/>
        <w:tabs>
          <w:tab w:leader="none" w:pos="123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be under no obligation to exercise any of the rights or powers vested in it by this Indenture at the request or direction of any of the Holders pursuant to this Indenture, unless such Holders shall have fully indemnified the Trustee to the satisfaction of the Trustee, against the costs, expenses and liabilities which might be incurred by it in compliance with such request or direction (including, but not limited to, the fees and disbursements of agents and attorneys).</w:t>
      </w:r>
    </w:p>
    <w:p>
      <w:pPr>
        <w:spacing w:after="0" w:line="179" w:lineRule="exact"/>
        <w:rPr>
          <w:rFonts w:ascii="Times New Roman" w:cs="Times New Roman" w:eastAsia="Times New Roman" w:hAnsi="Times New Roman"/>
          <w:sz w:val="18"/>
          <w:szCs w:val="18"/>
          <w:color w:val="auto"/>
        </w:rPr>
      </w:pPr>
    </w:p>
    <w:p>
      <w:pPr>
        <w:ind w:firstLine="987"/>
        <w:spacing w:after="0" w:line="282" w:lineRule="auto"/>
        <w:tabs>
          <w:tab w:leader="none" w:pos="1216" w:val="left"/>
        </w:tabs>
        <w:numPr>
          <w:ilvl w:val="1"/>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not be liable for interest on any money received by it except as the Trustee may agree in writing with the Issuer or any Guarantor. Money held in trust by the Trustee need not be segregated from other funds except to the extent required by the law.</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Rights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Subject to Section 7.01, the Trustee shall have the following rights, benefits and exemptions from duties with respect to this Indenture:</w:t>
      </w:r>
    </w:p>
    <w:p>
      <w:pPr>
        <w:spacing w:after="0" w:line="117" w:lineRule="exact"/>
        <w:rPr>
          <w:sz w:val="20"/>
          <w:szCs w:val="20"/>
          <w:color w:val="auto"/>
        </w:rPr>
      </w:pPr>
    </w:p>
    <w:p>
      <w:pPr>
        <w:ind w:firstLine="987"/>
        <w:spacing w:after="0" w:line="258" w:lineRule="auto"/>
        <w:tabs>
          <w:tab w:leader="none" w:pos="1236"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conclusively rely and shall be protected in acting or refraining from acting upon any resolution, certificate, statement, instrument, opinion, report, notice, request, direction, consent, order, bond, debenture, note, other evidence of indebtedness or other paper or document (whether in its original, facsimile, .pdf attachment or other electronically transmitted form) believed by it to be genuine and to have been signed or presented by the proper party or parties, whether such document is in original, facsimile, .pdf attachment or other electronically transmitted form; even if it has a monetary limit;</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ectPr>
          <w:pgSz w:w="11900" w:h="16838" w:orient="portrait"/>
          <w:cols w:equalWidth="0" w:num="1">
            <w:col w:w="11000"/>
          </w:cols>
          <w:pgMar w:left="440" w:top="270" w:right="459" w:bottom="1440" w:gutter="0" w:footer="0" w:header="0"/>
        </w:sectPr>
      </w:pPr>
    </w:p>
    <w:bookmarkStart w:id="69" w:name="page70"/>
    <w:bookmarkEnd w:id="69"/>
    <w:p>
      <w:pPr>
        <w:ind w:left="-100" w:firstLine="987"/>
        <w:spacing w:after="0" w:line="256" w:lineRule="auto"/>
        <w:tabs>
          <w:tab w:leader="none" w:pos="114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not be bound to make any investigation into the facts or matters stated in any resolution, certificate, statement, instrument, opinion, report, notice, request, direction, consent, order, bond, debenture, note, other evidence of indebtedness or other paper or document, but the Trustee, in its sole and absolute discretion, may make such further inquiry or investigation into such facts or matters as it may see fit at the sole cost of the Issuer and shall incur no liability or additional liability of any kind by reason of such inquiry or investigation except for liability resulting from the Trustee’s negligence or willful misconduct, and, if the Trustee shall determine to make such further inquiry or investigation, it shall be entitled to examine the books, records and premises of the Issuer, personally or by agent or attorney;</w:t>
      </w:r>
    </w:p>
    <w:p>
      <w:pPr>
        <w:spacing w:after="0" w:line="187" w:lineRule="exact"/>
        <w:rPr>
          <w:rFonts w:ascii="Times New Roman" w:cs="Times New Roman" w:eastAsia="Times New Roman" w:hAnsi="Times New Roman"/>
          <w:sz w:val="18"/>
          <w:szCs w:val="18"/>
          <w:color w:val="auto"/>
        </w:rPr>
      </w:pPr>
    </w:p>
    <w:p>
      <w:pPr>
        <w:ind w:left="-100" w:right="20" w:firstLine="987"/>
        <w:spacing w:after="0" w:line="266" w:lineRule="auto"/>
        <w:tabs>
          <w:tab w:leader="none" w:pos="113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the Trustee acts or refrains from acting, it may require an Officers’ Certificate or an Opinion of Counsel, or both, which shall conform to the provisions of Section 11.05. The Trustee shall be protected and shall not be liable for any action it takes or omits to take in good faith in reliance on such certificate or opinion;</w:t>
      </w:r>
    </w:p>
    <w:p>
      <w:pPr>
        <w:spacing w:after="0" w:line="175" w:lineRule="exact"/>
        <w:rPr>
          <w:rFonts w:ascii="Times New Roman" w:cs="Times New Roman" w:eastAsia="Times New Roman" w:hAnsi="Times New Roman"/>
          <w:sz w:val="18"/>
          <w:szCs w:val="18"/>
          <w:color w:val="auto"/>
        </w:rPr>
      </w:pPr>
    </w:p>
    <w:p>
      <w:pPr>
        <w:ind w:left="-100" w:right="80" w:firstLine="987"/>
        <w:spacing w:after="0" w:line="282" w:lineRule="auto"/>
        <w:tabs>
          <w:tab w:leader="none" w:pos="114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act through its attorneys and agents and shall not be responsible for the misconduct or negligence of any attorney or agent appointed by it with due care;</w:t>
      </w:r>
    </w:p>
    <w:p>
      <w:pPr>
        <w:spacing w:after="0" w:line="161" w:lineRule="exact"/>
        <w:rPr>
          <w:rFonts w:ascii="Times New Roman" w:cs="Times New Roman" w:eastAsia="Times New Roman" w:hAnsi="Times New Roman"/>
          <w:sz w:val="18"/>
          <w:szCs w:val="18"/>
          <w:color w:val="auto"/>
        </w:rPr>
      </w:pPr>
    </w:p>
    <w:p>
      <w:pPr>
        <w:ind w:left="-100" w:right="260" w:firstLine="987"/>
        <w:spacing w:after="0" w:line="282" w:lineRule="auto"/>
        <w:tabs>
          <w:tab w:leader="none" w:pos="113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Trustee shall not be liable for any action it takes or omits to take in good faith which it reasonably believes to be authorized or within its rights or powers;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Trustee’s conduct does not constitute negligence or willful misconduct;</w:t>
      </w:r>
    </w:p>
    <w:p>
      <w:pPr>
        <w:spacing w:after="0" w:line="161" w:lineRule="exact"/>
        <w:rPr>
          <w:rFonts w:ascii="Times New Roman" w:cs="Times New Roman" w:eastAsia="Times New Roman" w:hAnsi="Times New Roman"/>
          <w:sz w:val="18"/>
          <w:szCs w:val="18"/>
          <w:color w:val="auto"/>
        </w:rPr>
      </w:pPr>
    </w:p>
    <w:p>
      <w:pPr>
        <w:jc w:val="both"/>
        <w:ind w:left="-100" w:right="100" w:firstLine="987"/>
        <w:spacing w:after="0" w:line="266" w:lineRule="auto"/>
        <w:tabs>
          <w:tab w:leader="none" w:pos="111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consult with counsel of its selection, and the advice or opinion of such counsel as to matters of law shall be full and complete authorization and protection from liability in respect of any action taken, omitted or suffered by it hereunder in good faith and in accordance with the advice or opinion of such counsel;</w:t>
      </w:r>
    </w:p>
    <w:p>
      <w:pPr>
        <w:spacing w:after="0" w:line="175" w:lineRule="exact"/>
        <w:rPr>
          <w:rFonts w:ascii="Times New Roman" w:cs="Times New Roman" w:eastAsia="Times New Roman" w:hAnsi="Times New Roman"/>
          <w:sz w:val="18"/>
          <w:szCs w:val="18"/>
          <w:color w:val="auto"/>
        </w:rPr>
      </w:pPr>
    </w:p>
    <w:p>
      <w:pPr>
        <w:ind w:left="-100" w:right="140" w:firstLine="987"/>
        <w:spacing w:after="0" w:line="266" w:lineRule="auto"/>
        <w:tabs>
          <w:tab w:leader="none" w:pos="114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privileges, protections, immunities and benefits given to the Trustee, including, without limitation, its right to be indemnified, are extended to, and shall be enforceable by, the Trustee in each of its capacities hereunder (including but not limited to as Registrar and Paying Agent), and each agent, custodian and other person employed to act hereunder;</w:t>
      </w:r>
    </w:p>
    <w:p>
      <w:pPr>
        <w:spacing w:after="0" w:line="175" w:lineRule="exact"/>
        <w:rPr>
          <w:rFonts w:ascii="Times New Roman" w:cs="Times New Roman" w:eastAsia="Times New Roman" w:hAnsi="Times New Roman"/>
          <w:sz w:val="18"/>
          <w:szCs w:val="18"/>
          <w:color w:val="auto"/>
        </w:rPr>
      </w:pPr>
    </w:p>
    <w:p>
      <w:pPr>
        <w:ind w:left="-100" w:firstLine="987"/>
        <w:spacing w:after="0" w:line="282" w:lineRule="auto"/>
        <w:tabs>
          <w:tab w:leader="none" w:pos="114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 of the Trustee to perform any discretionary act enumerated in this Indenture shall not be construed as a duty, and the Trustee shall not be answerable for other than its own negligence or willful misconduct in the performance of such act;</w:t>
      </w:r>
    </w:p>
    <w:p>
      <w:pPr>
        <w:spacing w:after="0" w:line="161" w:lineRule="exact"/>
        <w:rPr>
          <w:rFonts w:ascii="Times New Roman" w:cs="Times New Roman" w:eastAsia="Times New Roman" w:hAnsi="Times New Roman"/>
          <w:sz w:val="18"/>
          <w:szCs w:val="18"/>
          <w:color w:val="auto"/>
        </w:rPr>
      </w:pPr>
    </w:p>
    <w:p>
      <w:pPr>
        <w:ind w:left="-100" w:firstLine="987"/>
        <w:spacing w:after="0" w:line="261" w:lineRule="auto"/>
        <w:tabs>
          <w:tab w:leader="none" w:pos="1106"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may from time to time request that the Issuer delivers an Officers’ Certificate setting forth the names of individuals and/or titles of officers authorized at such time to take specified actions pursuant to the Indenture, which Officers’ Certificate may be signed by any persons authorized to sign an Officers’ Certificate, including any person specified as so authorized in any such certificate previously delivered and not superseded;</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ectPr>
          <w:pgSz w:w="11900" w:h="16838" w:orient="portrait"/>
          <w:cols w:equalWidth="0" w:num="1">
            <w:col w:w="10800"/>
          </w:cols>
          <w:pgMar w:left="540" w:top="270" w:right="559" w:bottom="1440" w:gutter="0" w:footer="0" w:header="0"/>
        </w:sectPr>
      </w:pPr>
    </w:p>
    <w:bookmarkStart w:id="70" w:name="page71"/>
    <w:bookmarkEnd w:id="70"/>
    <w:p>
      <w:pPr>
        <w:ind w:left="1200" w:hanging="213"/>
        <w:spacing w:after="0"/>
        <w:tabs>
          <w:tab w:leader="none" w:pos="120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have no duty to inquire as to the performance of the covenants of the Issuer.</w:t>
      </w:r>
    </w:p>
    <w:p>
      <w:pPr>
        <w:spacing w:after="0" w:line="225" w:lineRule="exact"/>
        <w:rPr>
          <w:rFonts w:ascii="Times New Roman" w:cs="Times New Roman" w:eastAsia="Times New Roman" w:hAnsi="Times New Roman"/>
          <w:sz w:val="18"/>
          <w:szCs w:val="18"/>
          <w:color w:val="auto"/>
        </w:rPr>
      </w:pPr>
    </w:p>
    <w:p>
      <w:pPr>
        <w:ind w:right="60" w:firstLine="987"/>
        <w:spacing w:after="0" w:line="261" w:lineRule="auto"/>
        <w:tabs>
          <w:tab w:leader="none" w:pos="124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it being understood that the Trustee shall use reasonable best efforts which are consistent with accepted practices in the banking industry to resume performance as soon as practicable under the circumstances;</w:t>
      </w:r>
    </w:p>
    <w:p>
      <w:pPr>
        <w:spacing w:after="0" w:line="179" w:lineRule="exact"/>
        <w:rPr>
          <w:rFonts w:ascii="Times New Roman" w:cs="Times New Roman" w:eastAsia="Times New Roman" w:hAnsi="Times New Roman"/>
          <w:sz w:val="18"/>
          <w:szCs w:val="18"/>
          <w:color w:val="auto"/>
        </w:rPr>
      </w:pPr>
    </w:p>
    <w:p>
      <w:pPr>
        <w:ind w:firstLine="987"/>
        <w:spacing w:after="0" w:line="282" w:lineRule="auto"/>
        <w:tabs>
          <w:tab w:leader="none" w:pos="120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is entitled to assume without inquiry, that the Issuer has performed in accordance with all of the provisions in the Indenture, unless notified to the contrary; and</w:t>
      </w:r>
    </w:p>
    <w:p>
      <w:pPr>
        <w:spacing w:after="0" w:line="161" w:lineRule="exact"/>
        <w:rPr>
          <w:rFonts w:ascii="Times New Roman" w:cs="Times New Roman" w:eastAsia="Times New Roman" w:hAnsi="Times New Roman"/>
          <w:sz w:val="18"/>
          <w:szCs w:val="18"/>
          <w:color w:val="auto"/>
        </w:rPr>
      </w:pPr>
    </w:p>
    <w:p>
      <w:pPr>
        <w:ind w:right="840" w:firstLine="987"/>
        <w:spacing w:after="0" w:line="282" w:lineRule="auto"/>
        <w:tabs>
          <w:tab w:leader="none" w:pos="1296"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no circumstances will the Trustee be liable to the Issuer for any consequential loss (being loss of business, goodwill, opportunity or profit), even if advised of the possibility of such loss or damage.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Individual Rights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300" w:firstLine="991"/>
        <w:spacing w:after="0" w:line="261" w:lineRule="auto"/>
        <w:rPr>
          <w:sz w:val="20"/>
          <w:szCs w:val="20"/>
          <w:color w:val="auto"/>
        </w:rPr>
      </w:pPr>
      <w:r>
        <w:rPr>
          <w:rFonts w:ascii="Times New Roman" w:cs="Times New Roman" w:eastAsia="Times New Roman" w:hAnsi="Times New Roman"/>
          <w:sz w:val="18"/>
          <w:szCs w:val="18"/>
          <w:color w:val="auto"/>
        </w:rPr>
        <w:t>The Trustee in its individual or any other capacity may become the owner or pledgee of Notes and may make loans to, accept deposits from, perform services for or otherwise deal with either the Issuer or any Guarantor, or any Affiliates thereof, with the same rights it would have if it were not Trustee. However, in the event that the Trustee acquires any conflicting interest, it must eliminate such conflict within 90 days, apply to the Commission for permission to continue as Trustee or resign. Any Agent may do the same with like rights.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7.04. </w:t>
      </w:r>
      <w:r>
        <w:rPr>
          <w:rFonts w:ascii="Times New Roman" w:cs="Times New Roman" w:eastAsia="Times New Roman" w:hAnsi="Times New Roman"/>
          <w:sz w:val="18"/>
          <w:szCs w:val="18"/>
          <w:u w:val="single" w:color="auto"/>
          <w:color w:val="auto"/>
        </w:rPr>
        <w:t>Trustee’s Disclaimer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80" w:firstLine="991"/>
        <w:spacing w:after="0" w:line="258" w:lineRule="auto"/>
        <w:rPr>
          <w:sz w:val="20"/>
          <w:szCs w:val="20"/>
          <w:color w:val="auto"/>
        </w:rPr>
      </w:pPr>
      <w:r>
        <w:rPr>
          <w:rFonts w:ascii="Times New Roman" w:cs="Times New Roman" w:eastAsia="Times New Roman" w:hAnsi="Times New Roman"/>
          <w:sz w:val="18"/>
          <w:szCs w:val="18"/>
          <w:color w:val="auto"/>
        </w:rPr>
        <w:t>The Trustee shall not be responsible for and makes no representation as to the validity or adequacy of this Indenture or the Notes or any Note Guarantee, it shall not be accountable for the Issuer’s or any Guarantor’s use of the proceeds from the sale of Notes, it will not be responsible for the use or application of any money received by any Paying Agent (other than itself as Paying Agent) or any money paid to the Issuer or any Guarantor pursuant to the terms of this Indenture and it shall not be responsible for any statement in the Notes, the Note Guarantees or this Indenture other than its certificate of authentication.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ectPr>
          <w:pgSz w:w="11900" w:h="16838" w:orient="portrait"/>
          <w:cols w:equalWidth="0" w:num="1">
            <w:col w:w="11000"/>
          </w:cols>
          <w:pgMar w:left="440" w:top="270" w:right="45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7.05. </w:t>
      </w:r>
      <w:r>
        <w:rPr>
          <w:rFonts w:ascii="Times New Roman" w:cs="Times New Roman" w:eastAsia="Times New Roman" w:hAnsi="Times New Roman"/>
          <w:sz w:val="18"/>
          <w:szCs w:val="18"/>
          <w:u w:val="single" w:color="auto"/>
          <w:color w:val="auto"/>
        </w:rPr>
        <w:t>Notice of Defaults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If a Default or an Event of Default occurs and is continuing and if it is known to a Responsible Officer of the Trustee, the Trustee shall give to each Noteholder a notice of the Default or Event of Default within 90 days after the later of (i) the occurrence of the Default or Event of Default and (ii) the Default or Event of Default becoming known to a Responsible Officer of the Trustee in the manner and to the extent provided in the TIA and otherwise as provided in this Indenture. Except in the case of a Default or an Event of Default relating to the payment of the principal of or interest on any Note (including payments pursuant to a redemption or repurchase of the Notes pursuant to the provisions of this Indenture) or relating to Article Five of this Indenture, the Trustee may withhold the notice if and so long as a Responsible Officer in good faith determines that withholding the notice is in the interests of Holders.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Reports by Trustee to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80" w:firstLine="991"/>
        <w:spacing w:after="0" w:line="266" w:lineRule="auto"/>
        <w:rPr>
          <w:sz w:val="20"/>
          <w:szCs w:val="20"/>
          <w:color w:val="auto"/>
        </w:rPr>
      </w:pPr>
      <w:r>
        <w:rPr>
          <w:rFonts w:ascii="Times New Roman" w:cs="Times New Roman" w:eastAsia="Times New Roman" w:hAnsi="Times New Roman"/>
          <w:sz w:val="18"/>
          <w:szCs w:val="18"/>
          <w:color w:val="auto"/>
        </w:rPr>
        <w:t>If required by TIA § 313(a), within 60 days after March 1 of any year, commencing on the March 1 following the date of this Indenture, the Trustee shall mail to each Noteholder a brief report dated as of such date that complies with TIA § 313(a). The Trustee also shall comply with TIA § 313(b)(2). The Trustee shall also transmit by mail all reports as required by TIA § 313(c) and TIA § 313(d).</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Reports pursuant to this Section 7.06 shall be transmitted by mail:</w:t>
      </w:r>
    </w:p>
    <w:p>
      <w:pPr>
        <w:spacing w:after="0" w:line="117" w:lineRule="exact"/>
        <w:rPr>
          <w:sz w:val="20"/>
          <w:szCs w:val="20"/>
          <w:color w:val="auto"/>
        </w:rPr>
      </w:pPr>
    </w:p>
    <w:p>
      <w:pPr>
        <w:ind w:left="1120" w:hanging="261"/>
        <w:spacing w:after="0"/>
        <w:tabs>
          <w:tab w:leader="none" w:pos="112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 Holders of Notes, as the names and addresses of such Holders appear on the Registrar’s books; and</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1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such Holders of Notes as have, within the two years preceding such transmission, filed their names and addresses with the Trustee for that purpose.</w:t>
      </w:r>
    </w:p>
    <w:p>
      <w:pPr>
        <w:spacing w:after="0" w:line="162"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A copy of each report at the time of its mailing to Holders shall be filed with the Commission and each stock exchange on which the Notes are listed. The Issuer shall promptly notify the Trustee, in writing, when the Notes are listed on any stock exchange or delisted therefrom.</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Compensation and Indemnity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The Issuer and the Guarantors shall pay to the Trustee from time to time reasonable compensation as agreed upon for its services hereunder (which compensation shall not be limited by any provision of law in regard to the compensation of a trustee of an express trust). The Issuer and the Guarantors shall reimburse the Trustee upon request for all reasonable out-of-pocket disbursements, expenses and advances incurred or made by it in connection with the Trustee’s duties under this Indenture, including, but not limited to, the reasonable compensation, disbursements and expenses of the Trustee’s agents and external counsel and such additional fees as may be applicable in the event of a potential Event of Default, an Event of Default or in relation to the exceptional duties.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ectPr>
          <w:pgSz w:w="11900" w:h="16838" w:orient="portrait"/>
          <w:cols w:equalWidth="0" w:num="1">
            <w:col w:w="11000"/>
          </w:cols>
          <w:pgMar w:left="440" w:top="270" w:right="459" w:bottom="1440" w:gutter="0" w:footer="0" w:header="0"/>
        </w:sectPr>
      </w:pPr>
    </w:p>
    <w:bookmarkStart w:id="72" w:name="page73"/>
    <w:bookmarkEnd w:id="72"/>
    <w:p>
      <w:pPr>
        <w:ind w:right="60" w:firstLine="991"/>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Issuer and the Guarantors, jointly and severally, shall indemnify each of the Trustee and its agents, employees, stockholders, directors and officers and any predecessor Trustee for, and hold each of them harmless against, any and all loss, damage, claim, liability or expense, including without limitation taxes (other than taxes based on the income of the Trustee) and reasonable attorneys’ fees and expenses incurred by each of them in connection with the acceptance or performance of its duties under this Indenture and including the reasonable costs and expenses of defending itself or themselves against any claim or liability in connection with the exercise or performance of any of the Trustee’s powers or duties hereunder (including, without limitation, settlement costs). The Trustee shall notify the Issuer and the Guarantors in writing promptly of any claim of which a Responsible Officer of the Trustee has actual knowledge asserted against the Trustee and/or its agents, employees, stockholders, directors and officers and any predecessor Trustee for which it or they may seek indemnity;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failure by the Trustee to so notify the Issuer and the Guarantors shall not relieve the Issuer and Guarantors of their obligations hereunder except to the extent the Issuer and the Guarantors are actually prejudiced thereby. In the event that a conflict of interest exists, the Trustee may have separate counsel and the Issuer shall pay the reasonable fees and expenses of such counsel.</w:t>
      </w:r>
    </w:p>
    <w:p>
      <w:pPr>
        <w:spacing w:after="0" w:line="177"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Notwithstanding the foregoing, the Issuer and the Guarantors need not reimburse the Trustee for any expense or indemnify it against any loss or liability incurred by the Trustee through its own negligence, bad faith or willful misconduct.</w:t>
      </w:r>
    </w:p>
    <w:p>
      <w:pPr>
        <w:spacing w:after="0" w:line="162" w:lineRule="exact"/>
        <w:rPr>
          <w:sz w:val="20"/>
          <w:szCs w:val="20"/>
          <w:color w:val="auto"/>
        </w:rPr>
      </w:pPr>
    </w:p>
    <w:p>
      <w:pPr>
        <w:ind w:right="140" w:firstLine="991"/>
        <w:spacing w:after="0" w:line="266" w:lineRule="auto"/>
        <w:rPr>
          <w:sz w:val="20"/>
          <w:szCs w:val="20"/>
          <w:color w:val="auto"/>
        </w:rPr>
      </w:pPr>
      <w:r>
        <w:rPr>
          <w:rFonts w:ascii="Times New Roman" w:cs="Times New Roman" w:eastAsia="Times New Roman" w:hAnsi="Times New Roman"/>
          <w:sz w:val="18"/>
          <w:szCs w:val="18"/>
          <w:color w:val="auto"/>
        </w:rPr>
        <w:t>To secure the payment obligations of the Issuer and the Guarantors in this Section 7.07, the Trustee shall have a lien prior to the Notes on all money or property held or collected by the Trustee except for such money or property held in trust to pay principal of and interest on particular Notes. Such lien shall survive the satisfaction and discharge of this Indenture.</w:t>
      </w:r>
    </w:p>
    <w:p>
      <w:pPr>
        <w:spacing w:after="0" w:line="176"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The obligations of the Issuer and the Guarantors under this Section 7.07 to compensate and indemnify the Trustee and each predecessor Trustee and to pay or reimburse the Trustee and each predecessor Trustee for expenses, disbursements and advances shall be joint and several liabilities of the Issuer and each of the Guarantors and shall survive the resignation or removal of the Trustee and the satisfaction, discharge or other termination of this Indenture, including any termination or rejection hereof under any Bankruptcy Law.</w:t>
      </w:r>
    </w:p>
    <w:p>
      <w:pPr>
        <w:spacing w:after="0" w:line="180"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When the Trustee incurs expenses or renders services after an Event of Default specified in Section 6.01 (7) occurs, the expenses and the compensation for the services are intended to constitute expenses of administration under any applicable Bankruptcy Law.</w:t>
      </w:r>
    </w:p>
    <w:p>
      <w:pPr>
        <w:spacing w:after="0" w:line="162" w:lineRule="exact"/>
        <w:rPr>
          <w:sz w:val="20"/>
          <w:szCs w:val="20"/>
          <w:color w:val="auto"/>
        </w:rPr>
      </w:pPr>
    </w:p>
    <w:p>
      <w:pPr>
        <w:ind w:right="120" w:firstLine="991"/>
        <w:spacing w:after="0" w:line="282" w:lineRule="auto"/>
        <w:rPr>
          <w:sz w:val="20"/>
          <w:szCs w:val="20"/>
          <w:color w:val="auto"/>
        </w:rPr>
      </w:pPr>
      <w:r>
        <w:rPr>
          <w:rFonts w:ascii="Times New Roman" w:cs="Times New Roman" w:eastAsia="Times New Roman" w:hAnsi="Times New Roman"/>
          <w:sz w:val="18"/>
          <w:szCs w:val="18"/>
          <w:color w:val="auto"/>
        </w:rPr>
        <w:t>For purposes of this Section 7.07, the term “Trustee” shall include any trustee appointed pursuant to this Article Seven. The provisions of this Section 7.07 shall apply to the Trustee in its capacity as Paying Agent, Registrar and any other Agent under this Indenture.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ectPr>
          <w:pgSz w:w="11900" w:h="16838" w:orient="portrait"/>
          <w:cols w:equalWidth="0" w:num="1">
            <w:col w:w="11000"/>
          </w:cols>
          <w:pgMar w:left="440" w:top="270" w:right="459" w:bottom="1440" w:gutter="0" w:footer="0" w:header="0"/>
        </w:sectPr>
      </w:pPr>
    </w:p>
    <w:bookmarkStart w:id="73" w:name="page74"/>
    <w:bookmarkEnd w:id="7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provisions of this Section 7.07 shall survive the satisfaction and discharge of this Indenture.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7.08. </w:t>
      </w:r>
      <w:r>
        <w:rPr>
          <w:rFonts w:ascii="Times New Roman" w:cs="Times New Roman" w:eastAsia="Times New Roman" w:hAnsi="Times New Roman"/>
          <w:sz w:val="18"/>
          <w:szCs w:val="18"/>
          <w:u w:val="single" w:color="auto"/>
          <w:color w:val="auto"/>
        </w:rPr>
        <w:t>Replacement of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The Trustee may resign at any time by so notifying the Issuer and the Guarantors in writing. The Holders of a majority in principal amount of the outstanding Notes may remove the Trustee by notifying the Issuer and the removed Trustee in writing and may appoint a successor Trustee with the Issuer’s written consent, which consent shall not be unreasonably withheld. The Issuer may remove the Trustee at its election if:</w:t>
      </w:r>
    </w:p>
    <w:p>
      <w:pPr>
        <w:spacing w:after="0" w:line="68" w:lineRule="exact"/>
        <w:rPr>
          <w:sz w:val="20"/>
          <w:szCs w:val="20"/>
          <w:color w:val="auto"/>
        </w:rPr>
      </w:pPr>
    </w:p>
    <w:p>
      <w:pPr>
        <w:ind w:left="1120" w:hanging="261"/>
        <w:spacing w:after="0"/>
        <w:tabs>
          <w:tab w:leader="none" w:pos="11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fails to comply with Section 7.10;</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Trustee is adjudged a bankrupt or an insolvent or an order for relief is entered with respect to the Trustee under any Bankruptcy Law;</w:t>
      </w:r>
    </w:p>
    <w:p>
      <w:pPr>
        <w:spacing w:after="0" w:line="128" w:lineRule="exact"/>
        <w:rPr>
          <w:rFonts w:ascii="Times New Roman" w:cs="Times New Roman" w:eastAsia="Times New Roman" w:hAnsi="Times New Roman"/>
          <w:sz w:val="17"/>
          <w:szCs w:val="17"/>
          <w:color w:val="auto"/>
        </w:rPr>
      </w:pPr>
    </w:p>
    <w:p>
      <w:pPr>
        <w:ind w:left="1120" w:hanging="261"/>
        <w:spacing w:after="0"/>
        <w:tabs>
          <w:tab w:leader="none" w:pos="11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receiver or other public officer takes charge of the Trustee or its property; or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otherwise becomes incapable of acting.</w:t>
      </w:r>
    </w:p>
    <w:p>
      <w:pPr>
        <w:spacing w:after="0" w:line="225" w:lineRule="exact"/>
        <w:rPr>
          <w:sz w:val="20"/>
          <w:szCs w:val="20"/>
          <w:color w:val="auto"/>
        </w:rPr>
      </w:pPr>
    </w:p>
    <w:p>
      <w:pPr>
        <w:ind w:right="540" w:firstLine="991"/>
        <w:spacing w:after="0" w:line="282" w:lineRule="auto"/>
        <w:rPr>
          <w:sz w:val="20"/>
          <w:szCs w:val="20"/>
          <w:color w:val="auto"/>
        </w:rPr>
      </w:pPr>
      <w:r>
        <w:rPr>
          <w:rFonts w:ascii="Times New Roman" w:cs="Times New Roman" w:eastAsia="Times New Roman" w:hAnsi="Times New Roman"/>
          <w:sz w:val="18"/>
          <w:szCs w:val="18"/>
          <w:color w:val="auto"/>
        </w:rPr>
        <w:t>If the Trustee resigns or is removed or if a vacancy exists in the office of Trustee for any reason, the Issuer shall promptly appoint a successor Trustee.</w:t>
      </w:r>
    </w:p>
    <w:p>
      <w:pPr>
        <w:spacing w:after="0" w:line="162"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If a successor Trustee does not take office within 60 days after the retiring Trustee resigns or is removed, the retiring Trustee, the Issuer or the Holders of a majority in principal amount of the outstanding Notes may petition at the expense of the Issuer any court of competent jurisdiction for the appointment of a successor Trustee;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retiring Trustee resigns and a court has not appointed a successor within 60 days, such retiring Trustee may appoint a successor that meets the eligibility requirements of Section 7.10.</w:t>
      </w:r>
    </w:p>
    <w:p>
      <w:pPr>
        <w:spacing w:after="0" w:line="180"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If the Trustee fails to comply with Section 7.10, Noteholders holding at least 10% in principal amount of the Notes may petition any court of competent jurisdiction for the removal of the Trustee and the appointment of a successor Trustee.</w:t>
      </w:r>
    </w:p>
    <w:p>
      <w:pPr>
        <w:spacing w:after="0" w:line="162"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A successor Trustee shall deliver a written acceptance of its appointment to the retiring Trustee and to the Issuer. Immediately following such delivery, the retiring Trustee shall, subject to its rights under Section 7.07, transfer all property held by it as Trustee to the successor Trustee, the resignation or removal of the retiring Trustee shall become effective, and the successor Trustee shall have all the rights, powers and duties of the Trustee under this Indenture. A successor Trustee shall mail notice of its succession to each Noteholder. Notwithstanding replacement of the Trustee pursuant to this Section 7.08, the Issuer’s obligations under Section 7.07 shall continue for the benefit of the retiring Trustee.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ectPr>
          <w:pgSz w:w="11900" w:h="16838" w:orient="portrait"/>
          <w:cols w:equalWidth="0" w:num="1">
            <w:col w:w="10980"/>
          </w:cols>
          <w:pgMar w:left="440" w:top="270" w:right="47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7.09. </w:t>
      </w:r>
      <w:r>
        <w:rPr>
          <w:rFonts w:ascii="Times New Roman" w:cs="Times New Roman" w:eastAsia="Times New Roman" w:hAnsi="Times New Roman"/>
          <w:sz w:val="18"/>
          <w:szCs w:val="18"/>
          <w:u w:val="single" w:color="auto"/>
          <w:color w:val="auto"/>
        </w:rPr>
        <w:t>Successor Trustee by Consolidation, Merger,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3" w:lineRule="auto"/>
        <w:rPr>
          <w:sz w:val="20"/>
          <w:szCs w:val="20"/>
          <w:color w:val="auto"/>
        </w:rPr>
      </w:pPr>
      <w:r>
        <w:rPr>
          <w:rFonts w:ascii="Times New Roman" w:cs="Times New Roman" w:eastAsia="Times New Roman" w:hAnsi="Times New Roman"/>
          <w:sz w:val="18"/>
          <w:szCs w:val="18"/>
          <w:color w:val="auto"/>
        </w:rPr>
        <w:t>Any corporation into which the Trustee may be merged or converted, or any corporation with which the Trustee may be consolidated, or any corporation resulting from any merger, conversion or consolidation to which the Trustee shall be a party, or any corporation, including affiliated corporations, to which the Trustee shall sell or otherwise transfer: (a) all or substantially all of its assets or (b) all or substantially all of its corporate trust business shall, on the date when the merger, conversion, consolidation or transfer becomes effective and to the extent permitted by any applicable laws and subject to the requirements set forth in Section 7.10 of this Indenture become the successor Trustee under this Indenture without the execution or filing of any paper or any further act on the part of the parties to this Indenture, unless otherwise required by the Issuer, and after the said effective date all references in this Indenture to the Trustee shall be deemed to be references to such successor corporation. Written notice of any such merger, conversion, consolidation or transfer shall immediately be given to the Issuer by the Trustee. Notwithstanding anything herein to the contrary, to the extent permitted by any applicable laws and subject to the requirements set forth in Section 7.10 of this Indenture, U.S. Bank Trust Company, National Association, an affiliate of the Trustee (the “Trust Company”), may become the successor Trustee under this Indenture upon written notice thereof delivered by the Trustee to Issuer, and without the execution or filing of any paper or any further act on the part of the parties to this Indenture and after the said delivery date all references in this Indenture to the Trustee shall be deemed to be references to the Trust Company.</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Eligibility; Disqualification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 xml:space="preserve">This Indenture shall always have a Trustee who satisfies the requirements of TIA § 310(a)(1) and (2) in every respect. The Trustee shall have a combined capital and surplus of at least $100,000,000 as set forth in the most recent applicable published annual report of condition. The Trustee shall comply with TIA § 310(b);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there shall be excluded from the operation of TIA § 310(b)(1) any indenture or indentures under which other securities or certificates of interest or participation in other securities of the Issuer are outstanding if the requirements for such exclusion set forth in TIA § 310(b)(1) are met.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Preferential Collection of Claims Against Issuer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The Trustee is subject to and shall comply with TIA § 311(a), excluding any creditor relationship listed in TIA § 311(b). A Trustee who has resigned or been removed shall be subject to TIA § 311(a) to the extent indicated therein.</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0980"/>
          </w:cols>
          <w:pgMar w:left="440" w:top="270" w:right="47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7.12. </w:t>
      </w:r>
      <w:r>
        <w:rPr>
          <w:rFonts w:ascii="Times New Roman" w:cs="Times New Roman" w:eastAsia="Times New Roman" w:hAnsi="Times New Roman"/>
          <w:sz w:val="18"/>
          <w:szCs w:val="18"/>
          <w:u w:val="single" w:color="auto"/>
          <w:color w:val="auto"/>
        </w:rPr>
        <w:t>Paying Agents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Issuer shall cause each Paying Agent other than the Trustee to execute and deliver to it and the Trustee an instrument in which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Paying Agent shall agree with the Trustee, subject to the provisions of this Section 7.12:</w:t>
      </w:r>
    </w:p>
    <w:p>
      <w:pPr>
        <w:spacing w:after="0" w:line="99" w:lineRule="exact"/>
        <w:rPr>
          <w:sz w:val="20"/>
          <w:szCs w:val="20"/>
          <w:color w:val="auto"/>
        </w:rPr>
      </w:pPr>
    </w:p>
    <w:p>
      <w:pPr>
        <w:ind w:left="440" w:right="160" w:firstLine="419"/>
        <w:spacing w:after="0" w:line="282" w:lineRule="auto"/>
        <w:tabs>
          <w:tab w:leader="none" w:pos="115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hold all sums held by it as agent for the payment of principal of, or premium, if any, or interest on, the Notes (whether such sums have been paid to it by the Issuer or by any obligor on the Notes) in trust for the benefit of Holders of the Notes or the Trustee;</w:t>
      </w:r>
    </w:p>
    <w:p>
      <w:pPr>
        <w:spacing w:after="0" w:line="53"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4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at any time during the continuance of any Event of Default, upon written request from the Trustee, deliver to the Trustee all sums so held in trust by it together with a full accounting thereof; and</w:t>
      </w:r>
    </w:p>
    <w:p>
      <w:pPr>
        <w:spacing w:after="0" w:line="53"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4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it will give the Trustee written notice within three Business Days of any failure of the Issuer (or by any obligor on the Notes) in the payment of any installment of the principal of, premium, if any, or interest on, the Notes when the same shall be due and payable.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7.13. </w:t>
      </w:r>
      <w:r>
        <w:rPr>
          <w:rFonts w:ascii="Times New Roman" w:cs="Times New Roman" w:eastAsia="Times New Roman" w:hAnsi="Times New Roman"/>
          <w:sz w:val="18"/>
          <w:szCs w:val="18"/>
          <w:u w:val="single" w:color="auto"/>
          <w:color w:val="auto"/>
        </w:rPr>
        <w:t>Communications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991"/>
        <w:spacing w:after="0" w:line="289" w:lineRule="auto"/>
        <w:rPr>
          <w:sz w:val="20"/>
          <w:szCs w:val="20"/>
          <w:color w:val="auto"/>
        </w:rPr>
      </w:pPr>
      <w:r>
        <w:rPr>
          <w:rFonts w:ascii="Times New Roman" w:cs="Times New Roman" w:eastAsia="Times New Roman" w:hAnsi="Times New Roman"/>
          <w:sz w:val="17"/>
          <w:szCs w:val="17"/>
          <w:color w:val="auto"/>
        </w:rPr>
        <w:t>In no event shall the Agent or any other entity of U.S. Bank Trust Company, National Association be liable for any Losses arising to the Agent or any other entity of U.S. Bank Trust Company, National Association receiving or transmitting any data from the Issuer, any Authorized Person or any party to the transaction via any non-secure method of transmission or communication, such as, but without limitation, by facsimile or email.</w:t>
      </w:r>
    </w:p>
    <w:p>
      <w:pPr>
        <w:spacing w:after="0" w:line="158"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The parties hereto accept that some methods of communication are not secure and the Agent or any other entity of U.S. Bank Trust Company, National Association shall incur no liability for receiving instructions via any such non-secure method. The Agent or any other entity of U.S. Bank Trust Company, National Association is authorized to comply with and rely upon any such notice, instructions or other communications believed by it to have been sent or given by an Authorized Person or an appropriate party to the transaction (or authorized representative thereof). The Issuer or authorized officer of the Issuer shall use all reasonable endeavors to ensure that instructions transmitted to the Agent or any other entity of U.S. Bank Trust Company, National Association pursuant to this Indenture are complete and correct. Any instructions shall be conclusively deemed to be valid instructions from the Issuer or authorized officer of the Issuer to the Agent or any other entity of U.S. Bank Trust Company, National Association for the purposes of this Indenture.</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-65-</w:t>
      </w:r>
    </w:p>
    <w:p>
      <w:pPr>
        <w:sectPr>
          <w:pgSz w:w="11900" w:h="16838" w:orient="portrait"/>
          <w:cols w:equalWidth="0" w:num="1">
            <w:col w:w="10980"/>
          </w:cols>
          <w:pgMar w:left="440" w:top="270" w:right="479" w:bottom="1440" w:gutter="0" w:footer="0" w:header="0"/>
        </w:sectPr>
      </w:pPr>
    </w:p>
    <w:bookmarkStart w:id="76" w:name="page77"/>
    <w:bookmarkEnd w:id="7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EIGHT</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AMENDMENT, SUPPLEMENT AND WAIVER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auto"/>
        </w:rPr>
        <w:t>Without Consent of Noteholders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Notwithstanding Section 8.02, the Issuer and Trustee may modify and amend this Indenture, the Notes or the Note Guarantees without the consent of any Holder for any of the following purposes:</w:t>
      </w:r>
    </w:p>
    <w:p>
      <w:pPr>
        <w:spacing w:after="0" w:line="54" w:lineRule="exact"/>
        <w:rPr>
          <w:sz w:val="20"/>
          <w:szCs w:val="20"/>
          <w:color w:val="auto"/>
        </w:rPr>
      </w:pPr>
    </w:p>
    <w:p>
      <w:pPr>
        <w:ind w:left="1120" w:hanging="261"/>
        <w:spacing w:after="0"/>
        <w:tabs>
          <w:tab w:leader="none" w:pos="11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cure any ambiguity, defect or inconsistency;</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uncertificated Notes in addition to or in place of Physical Notes;</w:t>
      </w:r>
    </w:p>
    <w:p>
      <w:pPr>
        <w:spacing w:after="0" w:line="117" w:lineRule="exact"/>
        <w:rPr>
          <w:rFonts w:ascii="Times New Roman" w:cs="Times New Roman" w:eastAsia="Times New Roman" w:hAnsi="Times New Roman"/>
          <w:sz w:val="18"/>
          <w:szCs w:val="18"/>
          <w:color w:val="auto"/>
        </w:rPr>
      </w:pPr>
    </w:p>
    <w:p>
      <w:pPr>
        <w:ind w:left="440" w:firstLine="419"/>
        <w:spacing w:after="0" w:line="282" w:lineRule="auto"/>
        <w:tabs>
          <w:tab w:leader="none" w:pos="111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the assumption of the Issuer’s or any Guarantor’s obligations to the Holders in the case of a merger or consolidation or sale of all or substantially all of the Issuer’s or such Guarantor’s assets;</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secure the Notes;</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1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conform the text of this Indenture, Note Guarantees or the Notes to any provision of the “Description of the Notes” contained in the Offering Memorandum to the extent that such provision in the “Description of the Notes” contained in the Offering Memorandum was intended to be a verbatim recitation of a provision of this Indenture, Note Guarantees or the Notes;</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any Guarantor or release any Guarantor from its Note Guarantee if such release is in accordance with the terms of this Indenture;</w:t>
      </w:r>
    </w:p>
    <w:p>
      <w:pPr>
        <w:spacing w:after="0" w:line="117" w:lineRule="exact"/>
        <w:rPr>
          <w:rFonts w:ascii="Times New Roman" w:cs="Times New Roman" w:eastAsia="Times New Roman" w:hAnsi="Times New Roman"/>
          <w:sz w:val="18"/>
          <w:szCs w:val="18"/>
          <w:color w:val="auto"/>
        </w:rPr>
      </w:pPr>
    </w:p>
    <w:p>
      <w:pPr>
        <w:ind w:left="440" w:right="340" w:firstLine="419"/>
        <w:spacing w:after="0" w:line="282" w:lineRule="auto"/>
        <w:tabs>
          <w:tab w:leader="none" w:pos="111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add to the covenants of the Issuer and the Guarantors for the benefit of the Holders of the Notes or to surrender any right or power conferred upon the Issuer and the Guarantors;</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provide for or confirm the issuance of Exchange Notes and Additional Notes;</w:t>
      </w:r>
    </w:p>
    <w:p>
      <w:pPr>
        <w:spacing w:after="0" w:line="117"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1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any change that would provide any additional rights or benefits to the Holders or that does not adversely affect the rights under this Indenture of any Holder in any material respect; or</w:t>
      </w:r>
    </w:p>
    <w:p>
      <w:pPr>
        <w:spacing w:after="0" w:line="53" w:lineRule="exact"/>
        <w:rPr>
          <w:rFonts w:ascii="Times New Roman" w:cs="Times New Roman" w:eastAsia="Times New Roman" w:hAnsi="Times New Roman"/>
          <w:sz w:val="18"/>
          <w:szCs w:val="18"/>
          <w:color w:val="auto"/>
        </w:rPr>
      </w:pPr>
    </w:p>
    <w:p>
      <w:pPr>
        <w:ind w:left="1200" w:hanging="341"/>
        <w:spacing w:after="0"/>
        <w:tabs>
          <w:tab w:leader="none" w:pos="12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comply with requirements of the Commission in order to effect or maintain the qualification of this Indenture under the TIA.</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00"/>
          </w:cols>
          <w:pgMar w:left="440" w:top="270"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8.02. </w:t>
      </w:r>
      <w:r>
        <w:rPr>
          <w:rFonts w:ascii="Times New Roman" w:cs="Times New Roman" w:eastAsia="Times New Roman" w:hAnsi="Times New Roman"/>
          <w:sz w:val="18"/>
          <w:szCs w:val="18"/>
          <w:u w:val="single" w:color="auto"/>
          <w:color w:val="auto"/>
        </w:rPr>
        <w:t>With Consent of Noteholders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87"/>
        <w:spacing w:after="0" w:line="256" w:lineRule="auto"/>
        <w:tabs>
          <w:tab w:leader="none" w:pos="1236"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to the extent provided in Section 8.01 and subsection (b) of this Section 8.02, this Indenture, the Notes or the Note Guarantees may be amended with the consent of the Holders of at least a majority in principal amount of the then outstanding Notes voting as a single class (including, without limitation, consents obtained in connection with a purchase of, tender offer or exchange offer for Notes), and any existing Default or compliance with any provision of this Indenture, the Notes or the Note Guarantees may be waived with the consent of the Holders of at least a majority in principal amount of the then outstanding Notes voting as a single class (including, without limitation, consents obtained in connection with a purchase of, tender offer or exchange offer for Notes).</w:t>
      </w:r>
    </w:p>
    <w:p>
      <w:pPr>
        <w:spacing w:after="0" w:line="187" w:lineRule="exact"/>
        <w:rPr>
          <w:rFonts w:ascii="Times New Roman" w:cs="Times New Roman" w:eastAsia="Times New Roman" w:hAnsi="Times New Roman"/>
          <w:sz w:val="18"/>
          <w:szCs w:val="18"/>
          <w:color w:val="auto"/>
        </w:rPr>
      </w:pPr>
    </w:p>
    <w:p>
      <w:pPr>
        <w:ind w:right="180" w:firstLine="987"/>
        <w:spacing w:after="0" w:line="282" w:lineRule="auto"/>
        <w:tabs>
          <w:tab w:leader="none" w:pos="1246"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subsection (a) of this Section 8.02, without the consent of each Holder of Notes issued under this Indenture affected thereby, an amendment or waiver may not (with respect to any Note held by a non-consenting Holder):</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Notes issued under this Indenture whose Holders must consent to an amendment, supplement or waiver;</w:t>
      </w:r>
    </w:p>
    <w:p>
      <w:pPr>
        <w:spacing w:after="0" w:line="117" w:lineRule="exact"/>
        <w:rPr>
          <w:rFonts w:ascii="Times New Roman" w:cs="Times New Roman" w:eastAsia="Times New Roman" w:hAnsi="Times New Roman"/>
          <w:sz w:val="18"/>
          <w:szCs w:val="18"/>
          <w:color w:val="auto"/>
        </w:rPr>
      </w:pPr>
    </w:p>
    <w:p>
      <w:pPr>
        <w:ind w:left="440" w:right="60" w:firstLine="419"/>
        <w:spacing w:after="0" w:line="281" w:lineRule="auto"/>
        <w:tabs>
          <w:tab w:leader="none" w:pos="1118"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reduce the principal amount of or change the Maturity Date of any Notes, or alter the provisions with respect to the redemption of any such Notes other than, except as set forth in clause (7) below, the provisions of Section 4.08 of this Indenture;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notice period for redemption of the Notes may be reduced to not less than three (3) Business Days with the consent of the Holders of at least a majority in principal amount of the then outstanding Notes if a notice of redemption which remains outstanding has not prior thereto been sent to such Holders;</w:t>
      </w:r>
    </w:p>
    <w:p>
      <w:pPr>
        <w:spacing w:after="0" w:line="56" w:lineRule="exact"/>
        <w:rPr>
          <w:rFonts w:ascii="Times New Roman" w:cs="Times New Roman" w:eastAsia="Times New Roman" w:hAnsi="Times New Roman"/>
          <w:sz w:val="17"/>
          <w:szCs w:val="17"/>
          <w:color w:val="auto"/>
        </w:rPr>
      </w:pPr>
    </w:p>
    <w:p>
      <w:pPr>
        <w:ind w:left="1120" w:hanging="261"/>
        <w:spacing w:after="0"/>
        <w:tabs>
          <w:tab w:leader="none" w:pos="11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change the time for payment of interest on any such Notes;</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1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or Event of Default in the payment of principal of or premium, if any, or interest on any such Notes (except a rescission of acceleration of Notes by the Holders of at least a majority in aggregate principal amount of the then outstanding Notes and a waiver of the payment default that resulted from such acceleration);</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such Note payable in currency other than that stated in such Note;</w:t>
      </w:r>
    </w:p>
    <w:p>
      <w:pPr>
        <w:spacing w:after="0" w:line="117" w:lineRule="exact"/>
        <w:rPr>
          <w:rFonts w:ascii="Times New Roman" w:cs="Times New Roman" w:eastAsia="Times New Roman" w:hAnsi="Times New Roman"/>
          <w:sz w:val="18"/>
          <w:szCs w:val="18"/>
          <w:color w:val="auto"/>
        </w:rPr>
      </w:pPr>
    </w:p>
    <w:p>
      <w:pPr>
        <w:ind w:left="440" w:right="260" w:firstLine="419"/>
        <w:spacing w:after="0" w:line="282" w:lineRule="auto"/>
        <w:tabs>
          <w:tab w:leader="none" w:pos="1118"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the provisions of this Indenture relating to the waiver of past Defaults or the rights of Holders of the Notes issued hereunder to receive payments of principal of or interest on the Notes;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000"/>
          </w:cols>
          <w:pgMar w:left="440" w:top="270" w:right="459" w:bottom="1440" w:gutter="0" w:footer="0" w:header="0"/>
        </w:sectPr>
      </w:pPr>
    </w:p>
    <w:bookmarkStart w:id="78" w:name="page79"/>
    <w:bookmarkEnd w:id="78"/>
    <w:p>
      <w:pPr>
        <w:ind w:left="980" w:firstLine="408"/>
        <w:spacing w:after="0" w:line="266" w:lineRule="auto"/>
        <w:tabs>
          <w:tab w:leader="none" w:pos="1636"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after the Issuer’s obligation to purchase Notes arises hereunder, amend, change or modify in any material respect the obligation of the Issuer to make and consummate a Change of Control Offer with respect to a Change of Control Repurchase Event that has occurred, including, without limitation, in each case, by amending, changing or modifying any of the definitions relating thereto;</w:t>
      </w:r>
    </w:p>
    <w:p>
      <w:pPr>
        <w:spacing w:after="0" w:line="67" w:lineRule="exact"/>
        <w:rPr>
          <w:rFonts w:ascii="Times New Roman" w:cs="Times New Roman" w:eastAsia="Times New Roman" w:hAnsi="Times New Roman"/>
          <w:sz w:val="18"/>
          <w:szCs w:val="18"/>
          <w:color w:val="auto"/>
        </w:rPr>
      </w:pPr>
    </w:p>
    <w:p>
      <w:pPr>
        <w:ind w:left="980" w:right="20" w:firstLine="408"/>
        <w:spacing w:after="0" w:line="282" w:lineRule="auto"/>
        <w:tabs>
          <w:tab w:leader="none" w:pos="1636"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Parent, Crown or any other Guarantor that is a Significant Subsidiary from any of its obligations under its Note Guarantee or this Indenture otherwise than in accordance with the terms of this Indenture; or</w:t>
      </w:r>
    </w:p>
    <w:p>
      <w:pPr>
        <w:spacing w:after="0" w:line="53" w:lineRule="exact"/>
        <w:rPr>
          <w:rFonts w:ascii="Times New Roman" w:cs="Times New Roman" w:eastAsia="Times New Roman" w:hAnsi="Times New Roman"/>
          <w:sz w:val="18"/>
          <w:szCs w:val="18"/>
          <w:color w:val="auto"/>
        </w:rPr>
      </w:pPr>
    </w:p>
    <w:p>
      <w:pPr>
        <w:ind w:left="980" w:right="240" w:firstLine="408"/>
        <w:spacing w:after="0" w:line="282" w:lineRule="auto"/>
        <w:tabs>
          <w:tab w:leader="none" w:pos="1636"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modify or change any provision of this Indenture affecting the ranking of the Notes or Note Guarantees in a manner adverse to the Holders of Notes.</w:t>
      </w:r>
    </w:p>
    <w:p>
      <w:pPr>
        <w:spacing w:after="0" w:line="161" w:lineRule="exact"/>
        <w:rPr>
          <w:rFonts w:ascii="Times New Roman" w:cs="Times New Roman" w:eastAsia="Times New Roman" w:hAnsi="Times New Roman"/>
          <w:sz w:val="18"/>
          <w:szCs w:val="18"/>
          <w:color w:val="auto"/>
        </w:rPr>
      </w:pPr>
    </w:p>
    <w:p>
      <w:pPr>
        <w:ind w:right="740" w:firstLine="987"/>
        <w:spacing w:after="0" w:line="282" w:lineRule="auto"/>
        <w:tabs>
          <w:tab w:leader="none" w:pos="123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shall not be necessary for the consent of the Holders under this Section 8.02 to approve the particular form of any proposed amendment, supplement or waiver, but it shall be sufficient if such consent approves the substance thereof.</w:t>
      </w:r>
    </w:p>
    <w:p>
      <w:pPr>
        <w:spacing w:after="0" w:line="161" w:lineRule="exact"/>
        <w:rPr>
          <w:rFonts w:ascii="Times New Roman" w:cs="Times New Roman" w:eastAsia="Times New Roman" w:hAnsi="Times New Roman"/>
          <w:sz w:val="18"/>
          <w:szCs w:val="18"/>
          <w:color w:val="auto"/>
        </w:rPr>
      </w:pPr>
    </w:p>
    <w:p>
      <w:pPr>
        <w:ind w:firstLine="987"/>
        <w:spacing w:after="0" w:line="261" w:lineRule="auto"/>
        <w:tabs>
          <w:tab w:leader="none" w:pos="1246"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an amendment, supplement or waiver under Section 8.01 or this Section 8.02 becomes effective, the Issuer shall send to the Holders affected thereby a notice briefly describing the amendment, supplement or waiver. The Issuer may elect in its sole discretion to have the Trustee mail such notice prepared by the Issuer on the Issuer’s behalf and at the Issuer’s sole expense. Any failure of the Issuer to send such notice, or any defect therein, shall not, however, in any way impair or affect the validity of any such amendment, supplement or waiver.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8.03. </w:t>
      </w:r>
      <w:r>
        <w:rPr>
          <w:rFonts w:ascii="Times New Roman" w:cs="Times New Roman" w:eastAsia="Times New Roman" w:hAnsi="Times New Roman"/>
          <w:sz w:val="18"/>
          <w:szCs w:val="18"/>
          <w:u w:val="single" w:color="auto"/>
          <w:color w:val="auto"/>
        </w:rPr>
        <w:t>Compliance with Trust Indenture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Every amendment or supplement to this Indenture, the Notes or the Note Guarantees shall comply with the TIA as then in effect.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8.04. </w:t>
      </w:r>
      <w:r>
        <w:rPr>
          <w:rFonts w:ascii="Times New Roman" w:cs="Times New Roman" w:eastAsia="Times New Roman" w:hAnsi="Times New Roman"/>
          <w:sz w:val="18"/>
          <w:szCs w:val="18"/>
          <w:u w:val="single" w:color="auto"/>
          <w:color w:val="auto"/>
        </w:rPr>
        <w:t>Revocation and Effect of Consents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80" w:firstLine="987"/>
        <w:spacing w:after="0" w:line="266" w:lineRule="auto"/>
        <w:tabs>
          <w:tab w:leader="none" w:pos="123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an amendment, supplement, waiver or other action becomes effective, a consent to it by a Holder of a Note is a continuing consent conclusive and binding upon such Holder and every subsequent Holder of the same Note or portion thereof, and of any Note issued upon the transfer thereof or in exchange therefor or in place thereof, even if notation of the consent is not made on any such Note.</w:t>
      </w:r>
    </w:p>
    <w:p>
      <w:pPr>
        <w:spacing w:after="0" w:line="175"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may, but shall not be obligated to, fix a record date for the purpose of determining the Holders entitled to consent to any amendment, supplement or waiver. If a record date is fixed, then, notwithstanding the preceding paragraph, those Persons who were Noteholders at such record date (or their duly designated proxies), and only such Persons, shall be entitled to consent to such amendment, supplement, or waiver or to revoke any consent previously given, whether or not such Persons continue to be Noteholders after such record date. No such consent shall be valid or effective for more than 90 days after such record date unless the consent of the requisite number of Noteholders has been obtained.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000"/>
          </w:cols>
          <w:pgMar w:left="440" w:top="270" w:right="459" w:bottom="1440" w:gutter="0" w:footer="0" w:header="0"/>
        </w:sectPr>
      </w:pPr>
    </w:p>
    <w:bookmarkStart w:id="79" w:name="page80"/>
    <w:bookmarkEnd w:id="79"/>
    <w:p>
      <w:pPr>
        <w:jc w:val="both"/>
        <w:ind w:right="120" w:firstLine="987"/>
        <w:spacing w:after="0" w:line="261" w:lineRule="auto"/>
        <w:tabs>
          <w:tab w:leader="none" w:pos="1236"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After an amendment, supplement, waiver or other action under Section 8.01 or this Section 8.02 becomes effective, it shall bind every Noteholder, unless it makes a change described in any of clauses (1) through (9) of Section 8.02(b). In that case the amendment, supplement, waiver or other action shall bind each Noteholder who has consented to it and every subsequent Holder of a Note that evidences the same debt or a portion of the same debt as the Note of a consenting Holder.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8.05. </w:t>
      </w:r>
      <w:r>
        <w:rPr>
          <w:rFonts w:ascii="Times New Roman" w:cs="Times New Roman" w:eastAsia="Times New Roman" w:hAnsi="Times New Roman"/>
          <w:sz w:val="18"/>
          <w:szCs w:val="18"/>
          <w:u w:val="single" w:color="auto"/>
          <w:color w:val="auto"/>
        </w:rPr>
        <w:t>Notation on or Exchange of Notes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6" w:lineRule="auto"/>
        <w:rPr>
          <w:sz w:val="20"/>
          <w:szCs w:val="20"/>
          <w:color w:val="auto"/>
        </w:rPr>
      </w:pPr>
      <w:r>
        <w:rPr>
          <w:rFonts w:ascii="Times New Roman" w:cs="Times New Roman" w:eastAsia="Times New Roman" w:hAnsi="Times New Roman"/>
          <w:sz w:val="18"/>
          <w:szCs w:val="18"/>
          <w:color w:val="auto"/>
        </w:rPr>
        <w:t>If an amendment, supplement, or waiver changes the terms of a Note, the Trustee (in accordance with the specific written direction of the Issuer) shall request the Holder of the Note (in accordance with the specific written direction of the Issuer) to deliver it to the Trustee. In such case, the Trustee shall place an appropriate notation on the Note about the changed terms and return it to the Noteholder. Alternatively, if the Issuer or the Trustee so determines, the Issuer in exchange for the Note shall issue, the Guarantors shall endorse and, upon receipt of a written order of the Issuer in the form of an Officers’ Certificate in accordance with Section 2.01, the Trustee shall authenticate a new Note that reflects the changed terms. Failure to make the appropriate notation or issue a new Note shall not affect the validity and effect of such amendment, supplement or waiver.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8.06. </w:t>
      </w:r>
      <w:r>
        <w:rPr>
          <w:rFonts w:ascii="Times New Roman" w:cs="Times New Roman" w:eastAsia="Times New Roman" w:hAnsi="Times New Roman"/>
          <w:sz w:val="18"/>
          <w:szCs w:val="18"/>
          <w:u w:val="single" w:color="auto"/>
          <w:color w:val="auto"/>
        </w:rPr>
        <w:t>Trustee To Sign Amendments,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5" w:lineRule="auto"/>
        <w:rPr>
          <w:sz w:val="20"/>
          <w:szCs w:val="20"/>
          <w:color w:val="auto"/>
        </w:rPr>
      </w:pPr>
      <w:r>
        <w:rPr>
          <w:rFonts w:ascii="Times New Roman" w:cs="Times New Roman" w:eastAsia="Times New Roman" w:hAnsi="Times New Roman"/>
          <w:sz w:val="18"/>
          <w:szCs w:val="18"/>
          <w:color w:val="auto"/>
        </w:rPr>
        <w:t>The Trustee shall sign any amendment, supplement or waiver authorized pursuant to this Article Eight if the amendment, supplement or waiver does not affect the rights, duties, liabilities or immunities of the Trustee. If it does affect the rights, duties, liabilities or immunities of the Trustee, the Trustee may, but need not, sign such amendment, supplement or waiver. Notwithstanding anything herein to the contrary, in signing or refusing to sign an amendment, supplement or waiver the Trustee shall be entitled to receive and, subject to Section 7.01, shall be fully protected in relying upon an Officers’ Certificate and an Opinion of Counsel stating, in addition to the matters required by Section 11.04, that such amendment, supplement or waiver is authorized or permitted by this Indenture and is a legal, valid and binding obligation of the Issuer and the Guarantors, enforceable against the Issuer and the Guarantors in accordance with its terms (subject to customary exceptions).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-69-</w:t>
      </w:r>
    </w:p>
    <w:p>
      <w:pPr>
        <w:sectPr>
          <w:pgSz w:w="11900" w:h="16838" w:orient="portrait"/>
          <w:cols w:equalWidth="0" w:num="1">
            <w:col w:w="11000"/>
          </w:cols>
          <w:pgMar w:left="440" w:top="270" w:right="459" w:bottom="1440" w:gutter="0" w:footer="0" w:header="0"/>
        </w:sectPr>
      </w:pPr>
    </w:p>
    <w:bookmarkStart w:id="80" w:name="page81"/>
    <w:bookmarkEnd w:id="80"/>
    <w:p>
      <w:pPr>
        <w:jc w:val="center"/>
        <w:ind w:right="-3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NINE</w:t>
      </w:r>
    </w:p>
    <w:p>
      <w:pPr>
        <w:spacing w:after="0" w:line="1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DISCHARGE OF INDENTURE; DEFEASANCE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Discharge of Indenture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This Indenture will be discharged and will cease to be of further effect as to all Notes and Note Guarantees, and the Trustee, at the expense of the Issuer, will execute proper instruments acknowledging satisfaction and discharge of this Indenture, the Notes and the Note Guarantees, when all amounts due to the Trustee shall have been paid and either:</w:t>
      </w:r>
    </w:p>
    <w:p>
      <w:pPr>
        <w:spacing w:after="0" w:line="68" w:lineRule="exact"/>
        <w:rPr>
          <w:sz w:val="20"/>
          <w:szCs w:val="20"/>
          <w:color w:val="auto"/>
        </w:rPr>
      </w:pPr>
    </w:p>
    <w:p>
      <w:pPr>
        <w:ind w:left="440" w:right="140" w:firstLine="419"/>
        <w:spacing w:after="0" w:line="282" w:lineRule="auto"/>
        <w:tabs>
          <w:tab w:leader="none" w:pos="1118"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delivers to the Trustee all outstanding Notes issued under this Indenture (other than Notes which have been replaced because of mutilation, loss, destruction or wrongful taking as provided in Section 2.08 hereof) for cancellation; or</w:t>
      </w:r>
    </w:p>
    <w:p>
      <w:pPr>
        <w:spacing w:after="0" w:line="53" w:lineRule="exact"/>
        <w:rPr>
          <w:rFonts w:ascii="Times New Roman" w:cs="Times New Roman" w:eastAsia="Times New Roman" w:hAnsi="Times New Roman"/>
          <w:sz w:val="18"/>
          <w:szCs w:val="18"/>
          <w:color w:val="auto"/>
        </w:rPr>
      </w:pPr>
    </w:p>
    <w:p>
      <w:pPr>
        <w:ind w:left="440" w:right="20" w:firstLine="419"/>
        <w:spacing w:after="0" w:line="252" w:lineRule="auto"/>
        <w:tabs>
          <w:tab w:leader="none" w:pos="1118"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all Notes outstanding under this Indenture (I) have become due and payable, whether at maturity or as a result of the sending of a notice of redemption, or (II) will become due and payable within one year, or are to be called for redemption within one year, under arrangements reasonably satisfactory to the Trustee for the giving of notice of redemption by the Trustee in the name, and at the expense, of the Issuer, and the Issuer or any Guarantor irrevocably deposits with the Trustee as trust funds in trust solely for the benefit of the Holders, cash in U.S. Dollars, U.S. Government Obligations or a combination thereof in such amounts as will be sufficient, in the opinion of a nationally recognized firm of independent public accountants, to pay the principal of, premium, if any, and interest on the Notes outstanding under this Indenture on the maturity date or on the applicable optional redemption date, as the case may be; (b) no Default or Event of Default shall have occurred and be continuing on the date of such deposit or shall occur as a result of such deposit and such deposit shall not result in a breach or violation of, or constitute a default under, any other instrument to which the Issuer or any Guarantor is a party or by which the Issuer or any Guarantor is bound;</w:t>
      </w:r>
    </w:p>
    <w:p>
      <w:pPr>
        <w:spacing w:after="0" w:line="6" w:lineRule="exact"/>
        <w:rPr>
          <w:rFonts w:ascii="Times New Roman" w:cs="Times New Roman" w:eastAsia="Times New Roman" w:hAnsi="Times New Roman"/>
          <w:sz w:val="18"/>
          <w:szCs w:val="18"/>
          <w:color w:val="auto"/>
        </w:rPr>
      </w:pPr>
    </w:p>
    <w:p>
      <w:pPr>
        <w:ind w:left="440" w:right="60" w:hanging="4"/>
        <w:spacing w:after="0" w:line="271" w:lineRule="auto"/>
        <w:tabs>
          <w:tab w:leader="none" w:pos="685"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or any Guarantor has paid or caused to be paid all sums payable by the Issuer or any Guarantor under this Indenture; and (d) the Issuer has delivered (I) irrevocable instructions to the Trustee under this Indenture to apply the deposited money toward the payment of the Notes at maturity or the redemption date, as the case may be, and (II) an Officers’ Certificate and an Opinion of Counsel each stating that all conditions precedent herein provided for relating to the satisfaction and discharge of this Indenture have been complied with and that such satisfaction and discharge does not result in a default under any agreement or instrument then known to such counsel which binds or affects the Issuer.</w:t>
      </w:r>
    </w:p>
    <w:p>
      <w:pPr>
        <w:spacing w:after="0" w:line="1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-70-</w:t>
      </w:r>
    </w:p>
    <w:p>
      <w:pPr>
        <w:sectPr>
          <w:pgSz w:w="11900" w:h="16838" w:orient="portrait"/>
          <w:cols w:equalWidth="0" w:num="1">
            <w:col w:w="10980"/>
          </w:cols>
          <w:pgMar w:left="440" w:top="270" w:right="4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acknowledge satisfaction and discharge of this Indenture on demand of and at the expense of the Issuer.</w:t>
      </w:r>
    </w:p>
    <w:p>
      <w:pPr>
        <w:spacing w:after="0" w:line="225" w:lineRule="exact"/>
        <w:rPr>
          <w:sz w:val="20"/>
          <w:szCs w:val="20"/>
          <w:color w:val="auto"/>
        </w:rPr>
      </w:pPr>
    </w:p>
    <w:p>
      <w:pPr>
        <w:ind w:right="280" w:firstLine="991"/>
        <w:spacing w:after="0" w:line="282" w:lineRule="auto"/>
        <w:rPr>
          <w:sz w:val="20"/>
          <w:szCs w:val="20"/>
          <w:color w:val="auto"/>
        </w:rPr>
      </w:pPr>
      <w:r>
        <w:rPr>
          <w:rFonts w:ascii="Times New Roman" w:cs="Times New Roman" w:eastAsia="Times New Roman" w:hAnsi="Times New Roman"/>
          <w:sz w:val="18"/>
          <w:szCs w:val="18"/>
          <w:color w:val="auto"/>
        </w:rPr>
        <w:t>Notwithstanding the satisfaction and discharge of this Indenture, the obligations of the Issuer in Article Two and in Sections 4.01, 4.02, 7.07, 9.05 and 9.06 shall survive such satisfaction and discharge.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Legal Defeasance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53" w:lineRule="auto"/>
        <w:rPr>
          <w:sz w:val="20"/>
          <w:szCs w:val="20"/>
          <w:color w:val="auto"/>
        </w:rPr>
      </w:pPr>
      <w:r>
        <w:rPr>
          <w:rFonts w:ascii="Times New Roman" w:cs="Times New Roman" w:eastAsia="Times New Roman" w:hAnsi="Times New Roman"/>
          <w:sz w:val="18"/>
          <w:szCs w:val="18"/>
          <w:color w:val="auto"/>
        </w:rPr>
        <w:t>The Issuer may, at its option and at any time, elect to have its obligations and the obligations of the Guarantors discharged with respect to the outstanding Notes on a date the conditions set forth in Section 9.04 are satisfied (hereinafter, “</w:t>
      </w:r>
      <w:r>
        <w:rPr>
          <w:rFonts w:ascii="Times New Roman" w:cs="Times New Roman" w:eastAsia="Times New Roman" w:hAnsi="Times New Roman"/>
          <w:sz w:val="18"/>
          <w:szCs w:val="18"/>
          <w:u w:val="single" w:color="auto"/>
          <w:color w:val="auto"/>
        </w:rPr>
        <w:t>Legal Defeasance</w:t>
      </w:r>
      <w:r>
        <w:rPr>
          <w:rFonts w:ascii="Times New Roman" w:cs="Times New Roman" w:eastAsia="Times New Roman" w:hAnsi="Times New Roman"/>
          <w:sz w:val="18"/>
          <w:szCs w:val="18"/>
          <w:color w:val="auto"/>
        </w:rPr>
        <w:t>”). For this purpose, such Legal Defeasance means that the Issuer will be deemed to have paid and discharged the entire indebtedness represented by the outstanding Notes and to have satisfied all its other obligations under such Notes and this Indenture insofar as such Notes are concerned (and the Trustee, at the expense of the Issuer, shall, subject to Section 9.06, execute instruments in form and substance reasonably satisfactory to the Trustee and the Issuer acknowledging the same), except for the following which shall survive until otherwise terminated or discharged hereunder: (1) the rights of Holders of outstanding Notes to receive solely from the trust funds described in Section 9.04 and as more fully set forth in Section 9.04, payments in respect of the principal of, premium, if any, and interest on such Notes when such payments are due, (2) the Issuer’s obligations with respect to such Notes under Article Two and Sections 4.02, 4.03 and 4.05, (3) the rights, powers, trusts, duties, and immunities of the Trustee hereunder (including claims of, or payments to, the Trustee under or pursuant to Section 7.07) and the Issuer’s obligations in connection therewith and (4) this Article Nine.</w:t>
      </w:r>
    </w:p>
    <w:p>
      <w:pPr>
        <w:spacing w:after="0" w:line="194"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Concurrently with any Legal Defeasance, the Issuer may, at its further option, cause to be terminated, as of the date on which such Legal Defeasance occurs, all of the obligations under any or all of the Note Guarantees, if any, then existing and obtain the release of the Note Guarantees of any or all Guarantors. In order to exercise such option regarding a Note Guarantee, the Issuer shall provide the Trustee with written notice of its desire to terminate such Note Guarantee prior to the delivery of the Opinions of Counsel referred to in Section 9.04.</w:t>
      </w:r>
    </w:p>
    <w:p>
      <w:pPr>
        <w:spacing w:after="0" w:line="180" w:lineRule="exact"/>
        <w:rPr>
          <w:sz w:val="20"/>
          <w:szCs w:val="20"/>
          <w:color w:val="auto"/>
        </w:rPr>
      </w:pPr>
    </w:p>
    <w:p>
      <w:pPr>
        <w:ind w:right="780" w:firstLine="991"/>
        <w:spacing w:after="0" w:line="282" w:lineRule="auto"/>
        <w:rPr>
          <w:sz w:val="20"/>
          <w:szCs w:val="20"/>
          <w:color w:val="auto"/>
        </w:rPr>
      </w:pPr>
      <w:r>
        <w:rPr>
          <w:rFonts w:ascii="Times New Roman" w:cs="Times New Roman" w:eastAsia="Times New Roman" w:hAnsi="Times New Roman"/>
          <w:sz w:val="18"/>
          <w:szCs w:val="18"/>
          <w:color w:val="auto"/>
        </w:rPr>
        <w:t>Subject to compliance with this Article Nine, the Issuer may exercise its option under this Section 9.02 with respect to the Notes notwithstanding the prior exercise of its option under Section 9.03 below with respect to the Notes.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ectPr>
          <w:pgSz w:w="11900" w:h="16838" w:orient="portrait"/>
          <w:cols w:equalWidth="0" w:num="1">
            <w:col w:w="11000"/>
          </w:cols>
          <w:pgMar w:left="440" w:top="270"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9.03. </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991"/>
        <w:spacing w:after="0" w:line="254" w:lineRule="auto"/>
        <w:rPr>
          <w:sz w:val="20"/>
          <w:szCs w:val="20"/>
          <w:color w:val="auto"/>
        </w:rPr>
      </w:pPr>
      <w:r>
        <w:rPr>
          <w:rFonts w:ascii="Times New Roman" w:cs="Times New Roman" w:eastAsia="Times New Roman" w:hAnsi="Times New Roman"/>
          <w:sz w:val="18"/>
          <w:szCs w:val="18"/>
          <w:color w:val="auto"/>
        </w:rPr>
        <w:t>The Issuer may, at its option and at any time, elect to have its obligations and the obligations of the Guarantors under Sections 4.08, 4.11, 4.15, 4.16 and 4.17 (except for obligations mandated by the TIA) and clause (3) of Section 5.01(a) released with respect to the outstanding Notes on a date the conditions set forth in Section 9.04 are satisfied (hereinafter, “</w:t>
      </w:r>
      <w:r>
        <w:rPr>
          <w:rFonts w:ascii="Times New Roman" w:cs="Times New Roman" w:eastAsia="Times New Roman" w:hAnsi="Times New Roman"/>
          <w:sz w:val="18"/>
          <w:szCs w:val="18"/>
          <w:u w:val="single" w:color="auto"/>
          <w:color w:val="auto"/>
        </w:rPr>
        <w:t>Covenant Defeasance</w:t>
      </w:r>
      <w:r>
        <w:rPr>
          <w:rFonts w:ascii="Times New Roman" w:cs="Times New Roman" w:eastAsia="Times New Roman" w:hAnsi="Times New Roman"/>
          <w:sz w:val="18"/>
          <w:szCs w:val="18"/>
          <w:color w:val="auto"/>
        </w:rPr>
        <w:t>”). For this purpose, Covenant Defeasance means that, with respect to the outstanding Notes, the Issuer may fail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Section 6.01, but, except as specified above, the remainder of this Indenture, the Notes and the Note Guarantees shall be unaffected thereby. In addition, upon the Issuer’s exercise of the option in this Section 9.03, subject to the satisfaction of the conditions set forth in Section 9.04, Sections 6.01(3), (4), (5) and (6) shall not constitute Events of Default.</w:t>
      </w:r>
    </w:p>
    <w:p>
      <w:pPr>
        <w:spacing w:after="0" w:line="188"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Notwithstanding any discharge or release of any obligations under this Indenture pursuant to Section 9.02 or this Section 9.03, the Issuer’s obligations in Article Two and Sections 7.07, 9.05, 9.06, 9.07 and 9.08 shall survive until such time as the Notes have been paid in full. Thereafter, the Issuer’s obligations in Sections 7.07, 9.05, 9.07 and 9.08 shall survive.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9.04. </w:t>
      </w:r>
      <w:r>
        <w:rPr>
          <w:rFonts w:ascii="Times New Roman" w:cs="Times New Roman" w:eastAsia="Times New Roman" w:hAnsi="Times New Roman"/>
          <w:sz w:val="18"/>
          <w:szCs w:val="18"/>
          <w:u w:val="single" w:color="auto"/>
          <w:color w:val="auto"/>
        </w:rPr>
        <w:t>Conditions to Defeasance or Covenant Defeasance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The following shall be the conditions to application of Section 9.02 or Section 9.03 to the outstanding Notes:</w:t>
      </w:r>
    </w:p>
    <w:p>
      <w:pPr>
        <w:spacing w:after="0" w:line="117" w:lineRule="exact"/>
        <w:rPr>
          <w:sz w:val="20"/>
          <w:szCs w:val="20"/>
          <w:color w:val="auto"/>
        </w:rPr>
      </w:pPr>
    </w:p>
    <w:p>
      <w:pPr>
        <w:ind w:left="440" w:firstLine="419"/>
        <w:spacing w:after="0" w:line="256" w:lineRule="auto"/>
        <w:tabs>
          <w:tab w:leader="none" w:pos="111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must irrevocably deposit with the Trustee, in trust, for the benefit of the Holders of the Notes issued under this Indenture, cash in U.S. Dollars, U.S. Government Obligations or a combination thereof in such amounts as will be sufficient, in the opinion of a nationally recognized firm of independent public accountants (such opinion shall be addressed and delivered to the Trustee, and upon which the Trustee shall have no liability in relying), to pay the principal, premium, if any, and interest on the Notes outstanding under this Indenture on the stated maturity date or on the applicable optional redemption date, as the case may be, and the Issuer must specify whether such Notes are being defeased to maturity or to a particular redemption date;</w:t>
      </w:r>
    </w:p>
    <w:p>
      <w:pPr>
        <w:spacing w:after="0" w:line="79" w:lineRule="exact"/>
        <w:rPr>
          <w:rFonts w:ascii="Times New Roman" w:cs="Times New Roman" w:eastAsia="Times New Roman" w:hAnsi="Times New Roman"/>
          <w:sz w:val="18"/>
          <w:szCs w:val="18"/>
          <w:color w:val="auto"/>
        </w:rPr>
      </w:pPr>
    </w:p>
    <w:p>
      <w:pPr>
        <w:ind w:left="440" w:firstLine="419"/>
        <w:spacing w:after="0" w:line="256" w:lineRule="auto"/>
        <w:tabs>
          <w:tab w:leader="none" w:pos="111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Legal Defeasance, the Issuer shall have delivered to the Trustee an Opinion of Counsel in the United States (upon which the Trustee shall have no liability in relying) confirming that (a) the Issuer has received from, or there has been published by, the Internal Revenue Service a ruling or (b) since the date of this Indenture, there has been a change in the applicable federal income tax law, in either case to the effect that, and based thereon such Opinion of Counsel shall confirm that, the beneficial owners of the Notes outstanding under this Indenture will not recognize income, gain or loss for federal income tax purposes as a result of such Legal Defeasance and will be subject to federal income tax on the same amounts, in the same manner and at the same times as would have been the case if such Legal Defeasance had not occurred;</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ectPr>
          <w:pgSz w:w="11900" w:h="16838" w:orient="portrait"/>
          <w:cols w:equalWidth="0" w:num="1">
            <w:col w:w="10980"/>
          </w:cols>
          <w:pgMar w:left="440" w:top="270" w:right="479" w:bottom="1440" w:gutter="0" w:footer="0" w:header="0"/>
        </w:sectPr>
      </w:pPr>
    </w:p>
    <w:bookmarkStart w:id="83" w:name="page84"/>
    <w:bookmarkEnd w:id="83"/>
    <w:p>
      <w:pPr>
        <w:ind w:right="60" w:firstLine="419"/>
        <w:spacing w:after="0" w:line="261" w:lineRule="auto"/>
        <w:tabs>
          <w:tab w:leader="none" w:pos="67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Covenant Defeasance, the Issuer shall have delivered to the Trustee an Opinion of Counsel in the United States (upon which the Trustee shall have no liability in relying) confirming that the beneficial owners of the Notes outstanding under this Indenture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71" w:lineRule="exact"/>
        <w:rPr>
          <w:rFonts w:ascii="Times New Roman" w:cs="Times New Roman" w:eastAsia="Times New Roman" w:hAnsi="Times New Roman"/>
          <w:sz w:val="18"/>
          <w:szCs w:val="18"/>
          <w:color w:val="auto"/>
        </w:rPr>
      </w:pPr>
    </w:p>
    <w:p>
      <w:pPr>
        <w:ind w:firstLine="419"/>
        <w:spacing w:after="0" w:line="266" w:lineRule="auto"/>
        <w:tabs>
          <w:tab w:leader="none" w:pos="67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have occurred and be continuing on the date of such deposit (other than a Default or Event of Default resulting from the borrowing of funds to be applied to such deposit) or insofar as Events of Default from bankruptcy or insolvency events are concerned, at any time in the period ending on the 91st day after the date of deposit;</w:t>
      </w:r>
    </w:p>
    <w:p>
      <w:pPr>
        <w:spacing w:after="0" w:line="67" w:lineRule="exact"/>
        <w:rPr>
          <w:rFonts w:ascii="Times New Roman" w:cs="Times New Roman" w:eastAsia="Times New Roman" w:hAnsi="Times New Roman"/>
          <w:sz w:val="18"/>
          <w:szCs w:val="18"/>
          <w:color w:val="auto"/>
        </w:rPr>
      </w:pPr>
    </w:p>
    <w:p>
      <w:pPr>
        <w:ind w:right="340" w:firstLine="419"/>
        <w:spacing w:after="0" w:line="266" w:lineRule="auto"/>
        <w:tabs>
          <w:tab w:leader="none" w:pos="67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Legal Defeasance or Covenant Defeasance will not result in a breach or violation of, or constitute a default under any material agreement or instrument (other than this Indenture) to which Parent or any of its Subsidiaries is a party or by which Parent or any of its Subsidiaries is bound;</w:t>
      </w:r>
    </w:p>
    <w:p>
      <w:pPr>
        <w:spacing w:after="0" w:line="67" w:lineRule="exact"/>
        <w:rPr>
          <w:rFonts w:ascii="Times New Roman" w:cs="Times New Roman" w:eastAsia="Times New Roman" w:hAnsi="Times New Roman"/>
          <w:sz w:val="18"/>
          <w:szCs w:val="18"/>
          <w:color w:val="auto"/>
        </w:rPr>
      </w:pPr>
    </w:p>
    <w:p>
      <w:pPr>
        <w:ind w:right="80" w:firstLine="419"/>
        <w:spacing w:after="0" w:line="261" w:lineRule="auto"/>
        <w:tabs>
          <w:tab w:leader="none" w:pos="67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must have delivered to the Trustee an Opinion of Counsel (upon which the Trustee shall have no liability in relying) to the effect that assuming no intervening bankruptcy of the Issuer or any Guarantor between the date of deposit and the 91st day following the deposit and assuming that no Holder is an “insider” of the Issuer under applicable Bankruptcy Law, after the 91st day following the deposit, the trust funds will not be subject to the effect of applicable Bankruptcy Law;</w:t>
      </w:r>
    </w:p>
    <w:p>
      <w:pPr>
        <w:spacing w:after="0" w:line="71" w:lineRule="exact"/>
        <w:rPr>
          <w:rFonts w:ascii="Times New Roman" w:cs="Times New Roman" w:eastAsia="Times New Roman" w:hAnsi="Times New Roman"/>
          <w:sz w:val="18"/>
          <w:szCs w:val="18"/>
          <w:color w:val="auto"/>
        </w:rPr>
      </w:pPr>
    </w:p>
    <w:p>
      <w:pPr>
        <w:ind w:right="140" w:firstLine="419"/>
        <w:spacing w:after="0" w:line="266" w:lineRule="auto"/>
        <w:tabs>
          <w:tab w:leader="none" w:pos="67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must deliver to the Trustee an Officers’ Certificate (upon which the Trustee shall have no liability in relying) stating that the deposit was not made by the Issuer with the intent of preferring the Holders of Notes issued under this Indenture over the other creditors of the Issuer with the intent of defeating, hindering, delaying or defrauding creditors of the Issuer or others; and</w:t>
      </w:r>
    </w:p>
    <w:p>
      <w:pPr>
        <w:spacing w:after="0" w:line="67" w:lineRule="exact"/>
        <w:rPr>
          <w:rFonts w:ascii="Times New Roman" w:cs="Times New Roman" w:eastAsia="Times New Roman" w:hAnsi="Times New Roman"/>
          <w:sz w:val="18"/>
          <w:szCs w:val="18"/>
          <w:color w:val="auto"/>
        </w:rPr>
      </w:pPr>
    </w:p>
    <w:p>
      <w:pPr>
        <w:ind w:right="60" w:firstLine="419"/>
        <w:spacing w:after="0" w:line="266" w:lineRule="auto"/>
        <w:tabs>
          <w:tab w:leader="none" w:pos="67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must deliver to the Trustee an Officers’ Certificate and an Opinion of Counsel (upon which the Trustee shall have no liability in relying), each stating that all conditions precedent provided for relating to the Legal Defeasance or the Covenant Defeasance have been complied with.</w:t>
      </w:r>
    </w:p>
    <w:p>
      <w:pPr>
        <w:spacing w:after="0" w:line="108"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-73-</w:t>
      </w:r>
    </w:p>
    <w:p>
      <w:pPr>
        <w:sectPr>
          <w:pgSz w:w="11900" w:h="16838" w:orient="portrait"/>
          <w:cols w:equalWidth="0" w:num="1">
            <w:col w:w="10480"/>
          </w:cols>
          <w:pgMar w:left="880" w:top="270" w:right="5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9.05. </w:t>
      </w:r>
      <w:r>
        <w:rPr>
          <w:rFonts w:ascii="Times New Roman" w:cs="Times New Roman" w:eastAsia="Times New Roman" w:hAnsi="Times New Roman"/>
          <w:sz w:val="18"/>
          <w:szCs w:val="18"/>
          <w:u w:val="single" w:color="auto"/>
          <w:color w:val="auto"/>
        </w:rPr>
        <w:t>Deposited Money and U.S. Government Obligations To Be Held in Trust.</w:t>
      </w:r>
    </w:p>
    <w:p>
      <w:pPr>
        <w:spacing w:after="0" w:line="225" w:lineRule="exact"/>
        <w:rPr>
          <w:sz w:val="20"/>
          <w:szCs w:val="20"/>
          <w:color w:val="auto"/>
        </w:rPr>
      </w:pPr>
    </w:p>
    <w:p>
      <w:pPr>
        <w:ind w:firstLine="991"/>
        <w:spacing w:after="0" w:line="281" w:lineRule="auto"/>
        <w:rPr>
          <w:sz w:val="20"/>
          <w:szCs w:val="20"/>
          <w:color w:val="auto"/>
        </w:rPr>
      </w:pPr>
      <w:r>
        <w:rPr>
          <w:rFonts w:ascii="Times New Roman" w:cs="Times New Roman" w:eastAsia="Times New Roman" w:hAnsi="Times New Roman"/>
          <w:sz w:val="17"/>
          <w:szCs w:val="17"/>
          <w:color w:val="auto"/>
        </w:rPr>
        <w:t>All money and U.S. Government Obligations (including the proceeds thereof) deposited with the Trustee pursuant to Sections 9.01 and 9.04 in respect of the outstanding Notes shall be held in trust and applied by the Trustee, in accordance with the provisions of such Notes and this Indenture, to the payment, either directly or through any Paying Agents, to the Holders of such Notes, of all sums due and to become due thereon in respect of principal, premium, if any, and accrued interest, but such money need not be segregated from other funds except to the extent required by law.</w:t>
      </w:r>
    </w:p>
    <w:p>
      <w:pPr>
        <w:spacing w:after="0" w:line="164" w:lineRule="exact"/>
        <w:rPr>
          <w:sz w:val="20"/>
          <w:szCs w:val="20"/>
          <w:color w:val="auto"/>
        </w:rPr>
      </w:pPr>
    </w:p>
    <w:p>
      <w:pPr>
        <w:ind w:right="120" w:firstLine="991"/>
        <w:spacing w:after="0" w:line="289" w:lineRule="auto"/>
        <w:rPr>
          <w:sz w:val="20"/>
          <w:szCs w:val="20"/>
          <w:color w:val="auto"/>
        </w:rPr>
      </w:pPr>
      <w:r>
        <w:rPr>
          <w:rFonts w:ascii="Times New Roman" w:cs="Times New Roman" w:eastAsia="Times New Roman" w:hAnsi="Times New Roman"/>
          <w:sz w:val="17"/>
          <w:szCs w:val="17"/>
          <w:color w:val="auto"/>
        </w:rPr>
        <w:t>The Issuer and the Guarantors shall (on a joint and several basis) pay and indemnify the Trustee against any tax, fee or other charge imposed on or assessed against the U.S. Government Obligations deposited pursuant to Sections 9.01 and 9.04 or the principal, premium, if any, and interest received in respect thereof other than any such tax, fee or other charge which by law is for the account of the Holders of the outstanding Notes.</w:t>
      </w:r>
    </w:p>
    <w:p>
      <w:pPr>
        <w:spacing w:after="0" w:line="158" w:lineRule="exact"/>
        <w:rPr>
          <w:sz w:val="20"/>
          <w:szCs w:val="20"/>
          <w:color w:val="auto"/>
        </w:rPr>
      </w:pPr>
    </w:p>
    <w:p>
      <w:pPr>
        <w:ind w:right="180" w:firstLine="991"/>
        <w:spacing w:after="0" w:line="281" w:lineRule="auto"/>
        <w:rPr>
          <w:sz w:val="20"/>
          <w:szCs w:val="20"/>
          <w:color w:val="auto"/>
        </w:rPr>
      </w:pPr>
      <w:r>
        <w:rPr>
          <w:rFonts w:ascii="Times New Roman" w:cs="Times New Roman" w:eastAsia="Times New Roman" w:hAnsi="Times New Roman"/>
          <w:sz w:val="17"/>
          <w:szCs w:val="17"/>
          <w:color w:val="auto"/>
        </w:rPr>
        <w:t>Anything in this Article Nine to the contrary notwithstanding, the Trustee shall deliver or pay to the Issuer from time to time upon a request of the Issuer any money or U.S. Government Obligations held by it as provided in Sections 9.01 and 9.04 which, in the opinion of a nationally recognized firm of independent public accountants expressed in a written certification thereof delivered to the Trustee, are in excess of the amount thereof which would then be required to be deposited to effect an equivalent satisfaction and discharge, Legal Defeasance or Covenant Defeasance.</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9.06. </w:t>
      </w:r>
      <w:r>
        <w:rPr>
          <w:rFonts w:ascii="Times New Roman" w:cs="Times New Roman" w:eastAsia="Times New Roman" w:hAnsi="Times New Roman"/>
          <w:sz w:val="18"/>
          <w:szCs w:val="18"/>
          <w:u w:val="single" w:color="auto"/>
          <w:color w:val="auto"/>
        </w:rPr>
        <w:t>Reinstatement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 xml:space="preserve">If the Trustee or any Paying Agent is unable to apply any money or U.S. Government Obligations in accordance with Section 9.01, 9.02 or 9.03 by reason of any legal proceeding or by reason of any order or judgment of any court or governmental authority enjoining, restraining or otherwise prohibiting such application, the Issuer’s and each Guarantor’s obligations under this Indenture, the Notes and the Note Guarantees shall be revived and reinstated as though no deposit had occurred pursuant to this Article Nine until such time as the Trustee or such Paying Agent is permitted to apply all such money or U.S. Government Obligations in accordance with Section 9.01, 9.02 or 9.03;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the Issuer or the Guarantors have made any payment of principal of, premium, if any, or accrued interest on any Notes because of the reinstatement of their obligations, the Issuer or the Guarantors, as the case may be, shall be subrogated to the rights of the Holders of such Notes to receive such payment from the money or U.S. Government Obligations held by the Trustee or any Paying Agent.</w:t>
      </w:r>
    </w:p>
    <w:p>
      <w:pPr>
        <w:spacing w:after="0" w:line="12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-74-</w:t>
      </w:r>
    </w:p>
    <w:p>
      <w:pPr>
        <w:sectPr>
          <w:pgSz w:w="11900" w:h="16838" w:orient="portrait"/>
          <w:cols w:equalWidth="0" w:num="1">
            <w:col w:w="10980"/>
          </w:cols>
          <w:pgMar w:left="440" w:top="270" w:right="47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9.07. </w:t>
      </w:r>
      <w:r>
        <w:rPr>
          <w:rFonts w:ascii="Times New Roman" w:cs="Times New Roman" w:eastAsia="Times New Roman" w:hAnsi="Times New Roman"/>
          <w:sz w:val="18"/>
          <w:szCs w:val="18"/>
          <w:u w:val="single" w:color="auto"/>
          <w:color w:val="auto"/>
        </w:rPr>
        <w:t>Moneys Held by Paying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58" w:lineRule="auto"/>
        <w:rPr>
          <w:sz w:val="20"/>
          <w:szCs w:val="20"/>
          <w:color w:val="auto"/>
        </w:rPr>
      </w:pPr>
      <w:r>
        <w:rPr>
          <w:rFonts w:ascii="Times New Roman" w:cs="Times New Roman" w:eastAsia="Times New Roman" w:hAnsi="Times New Roman"/>
          <w:sz w:val="18"/>
          <w:szCs w:val="18"/>
          <w:color w:val="auto"/>
        </w:rPr>
        <w:t>In connection with the satisfaction and discharge of this Indenture, all moneys and U.S. Government Obligations then held by any Paying Agent under the provisions of this Indenture shall, upon written demand of the Issuer, be paid or delivered to the Trustee, or if sufficient moneys and U.S. Government Obligations have been deposited pursuant to Section 9.04, to the Issuer upon a request of the Issuer (or, if such moneys and U.S. Government Obligations had been deposited by the Guarantors, to such Guarantors), and thereupon such Paying Agent shall be released from all further liability with respect to such moneys.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9.08. </w:t>
      </w:r>
      <w:r>
        <w:rPr>
          <w:rFonts w:ascii="Times New Roman" w:cs="Times New Roman" w:eastAsia="Times New Roman" w:hAnsi="Times New Roman"/>
          <w:sz w:val="18"/>
          <w:szCs w:val="18"/>
          <w:u w:val="single" w:color="auto"/>
          <w:color w:val="auto"/>
        </w:rPr>
        <w:t>Moneys Held by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2" w:lineRule="auto"/>
        <w:rPr>
          <w:sz w:val="20"/>
          <w:szCs w:val="20"/>
          <w:color w:val="auto"/>
        </w:rPr>
      </w:pPr>
      <w:r>
        <w:rPr>
          <w:rFonts w:ascii="Times New Roman" w:cs="Times New Roman" w:eastAsia="Times New Roman" w:hAnsi="Times New Roman"/>
          <w:sz w:val="18"/>
          <w:szCs w:val="18"/>
          <w:color w:val="auto"/>
        </w:rPr>
        <w:t xml:space="preserve">Any moneys and U.S. Government Obligations deposited with the Trustee or any Paying Agent or then held by the Issuer or the Guarantors in trust for the payment of the principal of, or premium, if any, or interest on any Note that are not applied but remain unclaimed by the Holder of such Note for two years after the date upon which the principal of, or premium, if any, or interest on such Note shall have respectively become due and payable shall be repaid or returned to the Issuer (or, if appropriate, the Guarantors) upon a request of the Issuer, or if such moneys and U.S. Government Obligations are then held by the Issuer or the Guarantors in trust, such moneys and U.S. Government Obligations shall be released from such trust; and the Holder of such Note entitled to receive such payment shall thereafter, as an unsecured general creditor, look only to the Issuer and the Guarantors for the payment thereof, and all liability of the Trustee or such Paying Agent with respect to such trust moneys and U.S. Government Obligations shall thereupon cease;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Trustee or any such Paying Agent, before being required to make any such repayment, may, at the expense of the Issuer and the Guarantors, either mail to each Noteholder affected, at the address shown in the register of the Notes maintained by the Registrar pursuant to Section 2.06, or cause to be published once a week for two successive weeks, in one newspaper published in the English language, customarily published each Business Day and of general circulation in The City of New York, the State of New York, a notice that such moneys and U.S. Government Obligations remains unclaimed and that, after a date specified therein, which shall not be less than 30 days from the date of such mailing or publication, any unclaimed balance of such moneys and U.S. Government Obligations then remaining will be repaid or returned to the Issuer. After payment or return to the Issuer or the Guarantors or the release of any moneys and U.S. Government Obligations held in trust by the Issuer or any Guarantors, as the case may be, Holders entitled thereto must look only to the Issuer and the Guarantors for payment as general creditors unless applicable abandoned property law designates another Person.</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-75-</w:t>
      </w:r>
    </w:p>
    <w:p>
      <w:pPr>
        <w:sectPr>
          <w:pgSz w:w="11900" w:h="16838" w:orient="portrait"/>
          <w:cols w:equalWidth="0" w:num="1">
            <w:col w:w="11000"/>
          </w:cols>
          <w:pgMar w:left="440" w:top="270" w:right="459" w:bottom="1440" w:gutter="0" w:footer="0" w:header="0"/>
        </w:sectPr>
      </w:pPr>
    </w:p>
    <w:bookmarkStart w:id="86" w:name="page87"/>
    <w:bookmarkEnd w:id="86"/>
    <w:p>
      <w:pPr>
        <w:jc w:val="center"/>
        <w:ind w:right="-6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TEN</w:t>
      </w:r>
    </w:p>
    <w:p>
      <w:pPr>
        <w:spacing w:after="0" w:line="11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GUARANTEE OF SECURITIES</w:t>
      </w:r>
    </w:p>
    <w:p>
      <w:pPr>
        <w:spacing w:after="0" w:line="225"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Guarantee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91"/>
        <w:spacing w:after="0" w:line="253" w:lineRule="auto"/>
        <w:rPr>
          <w:sz w:val="20"/>
          <w:szCs w:val="20"/>
          <w:color w:val="auto"/>
        </w:rPr>
      </w:pPr>
      <w:r>
        <w:rPr>
          <w:rFonts w:ascii="Times New Roman" w:cs="Times New Roman" w:eastAsia="Times New Roman" w:hAnsi="Times New Roman"/>
          <w:sz w:val="18"/>
          <w:szCs w:val="18"/>
          <w:color w:val="auto"/>
        </w:rPr>
        <w:t>The Guarantors, by execution of this Indenture, jointly and severally, guarantee to each Holder (i) the due and punctual payment of the principal of, premium, if any, and interest on each Note, when and as the same shall become due and payable, whether at maturity, by acceleration or otherwise, the due and punctual payment of interest on the overdue principal of and interest on the Notes, to the extent lawful, and the due and punctual payment of all other obligations and due and punctual performance of all obligations of the Issuer to the Holders or the Trustee all in accordance with the terms of such Note and this Indenture and (ii) in the case of any extension of time of payment or renewal of any Notes or any of such other obligations, that the same will be promptly paid in full when due or performed in accordance with the terms of the extension or renewal, at stated maturity, by acceleration or otherwise. Each Guarantor, by execution of this Indenture, agrees that, subject only to the applicable provisions, if any, of Section 10.06, its obligations hereunder shall be absolute and unconditional, irrespective of, and shall be unaffected by, any invalidity, irregularity or unenforceability of any such Note or this Indenture, any failure to enforce the provisions of any such Note or this Indenture, any waiver, modification or indulgence granted to the Issuer with respect thereto by the Holder of such Note, or any other circumstances which may otherwise constitute a legal or equitable discharge of a surety or such Guarantor.</w:t>
      </w:r>
    </w:p>
    <w:p>
      <w:pPr>
        <w:spacing w:after="0" w:line="192" w:lineRule="exact"/>
        <w:rPr>
          <w:sz w:val="20"/>
          <w:szCs w:val="20"/>
          <w:color w:val="auto"/>
        </w:rPr>
      </w:pPr>
    </w:p>
    <w:p>
      <w:pPr>
        <w:ind w:left="4" w:right="80" w:firstLine="991"/>
        <w:spacing w:after="0" w:line="268" w:lineRule="auto"/>
        <w:rPr>
          <w:sz w:val="20"/>
          <w:szCs w:val="20"/>
          <w:color w:val="auto"/>
        </w:rPr>
      </w:pPr>
      <w:r>
        <w:rPr>
          <w:rFonts w:ascii="Times New Roman" w:cs="Times New Roman" w:eastAsia="Times New Roman" w:hAnsi="Times New Roman"/>
          <w:sz w:val="17"/>
          <w:szCs w:val="17"/>
          <w:color w:val="auto"/>
        </w:rPr>
        <w:t>Each Guarantor hereby waives diligence, presentment, demand for payment, filing of claims with a court in the event of merger or bankruptcy of the Issuer, any right to require a proceeding first against the Issuer, protest or notice with respect to any such Note or the Indebtedness evidenced thereby and all demands whatsoever, and covenants that this Guarantee will not be discharged as to any such Note except by payment in full of the principal thereof and interest thereon. Each Guarantor hereby agrees that, as between such Guarantor, on the one hand, and the Holders and the Trustee, on the other hand, (i) the maturity of the obligations guaranteed hereby may be accelerated as provided in Article Six for the purposes of this Guarantee, notwithstanding any stay, injunction or other prohibition preventing such acceleration in respect of the obligations guaranteed hereby, and</w:t>
      </w:r>
    </w:p>
    <w:p>
      <w:pPr>
        <w:spacing w:after="0" w:line="5" w:lineRule="exact"/>
        <w:rPr>
          <w:sz w:val="20"/>
          <w:szCs w:val="20"/>
          <w:color w:val="auto"/>
        </w:rPr>
      </w:pPr>
    </w:p>
    <w:p>
      <w:pPr>
        <w:ind w:left="4" w:right="20" w:hanging="4"/>
        <w:spacing w:after="0" w:line="260" w:lineRule="auto"/>
        <w:tabs>
          <w:tab w:leader="none" w:pos="269"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any declaration of acceleration of such obligations as provided in Article Six, such obligations (whether or not due and payable) shall forthwith become due and payable by each Guarantor for the purpose of this Guarantee.</w:t>
      </w:r>
    </w:p>
    <w:p>
      <w:pPr>
        <w:spacing w:after="0" w:line="181" w:lineRule="exact"/>
        <w:rPr>
          <w:sz w:val="20"/>
          <w:szCs w:val="20"/>
          <w:color w:val="auto"/>
        </w:rPr>
      </w:pPr>
    </w:p>
    <w:p>
      <w:pPr>
        <w:ind w:left="4" w:right="340" w:firstLine="991"/>
        <w:spacing w:after="0" w:line="282" w:lineRule="auto"/>
        <w:rPr>
          <w:sz w:val="20"/>
          <w:szCs w:val="20"/>
          <w:color w:val="auto"/>
        </w:rPr>
      </w:pPr>
      <w:r>
        <w:rPr>
          <w:rFonts w:ascii="Times New Roman" w:cs="Times New Roman" w:eastAsia="Times New Roman" w:hAnsi="Times New Roman"/>
          <w:sz w:val="18"/>
          <w:szCs w:val="18"/>
          <w:color w:val="auto"/>
        </w:rPr>
        <w:t>The Guarantors shall have the right to seek contribution from any non-paying Guarantor so long as the exercise of such right does not impair the rights of any Holder under the Note Guarantees.</w:t>
      </w:r>
    </w:p>
    <w:p>
      <w:pPr>
        <w:spacing w:after="0" w:line="94"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-76-</w:t>
      </w:r>
    </w:p>
    <w:p>
      <w:pPr>
        <w:sectPr>
          <w:pgSz w:w="11900" w:h="16838" w:orient="portrait"/>
          <w:cols w:equalWidth="0" w:num="1">
            <w:col w:w="10964"/>
          </w:cols>
          <w:pgMar w:left="436" w:top="270" w:right="4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10.02. </w:t>
      </w:r>
      <w:r>
        <w:rPr>
          <w:rFonts w:ascii="Times New Roman" w:cs="Times New Roman" w:eastAsia="Times New Roman" w:hAnsi="Times New Roman"/>
          <w:sz w:val="18"/>
          <w:szCs w:val="18"/>
          <w:u w:val="single" w:color="auto"/>
          <w:color w:val="auto"/>
        </w:rPr>
        <w:t>Execution and Delivery of Note Guarantee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991"/>
        <w:spacing w:after="0" w:line="261" w:lineRule="auto"/>
        <w:rPr>
          <w:sz w:val="20"/>
          <w:szCs w:val="20"/>
          <w:color w:val="auto"/>
        </w:rPr>
      </w:pPr>
      <w:r>
        <w:rPr>
          <w:rFonts w:ascii="Times New Roman" w:cs="Times New Roman" w:eastAsia="Times New Roman" w:hAnsi="Times New Roman"/>
          <w:sz w:val="18"/>
          <w:szCs w:val="18"/>
          <w:color w:val="auto"/>
        </w:rPr>
        <w:t xml:space="preserve">To further evidence the Note Guarantee set forth in Section 10.01, each Guarantor hereby agrees that a notation of such Note Guarantee, substantially in the form attached hereto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shall be endorsed on each Note authenticated and delivered by the Trustee and such Note Guarantee shall be executed by either manual, facsimile, .pdf attachment or other electronically transmitted signature of an Officer of each Guarantor. The validity and enforceability of any Note Guarantee shall not be affected by the fact that it is not affixed to any particular Note.</w:t>
      </w:r>
    </w:p>
    <w:p>
      <w:pPr>
        <w:spacing w:after="0" w:line="180" w:lineRule="exact"/>
        <w:rPr>
          <w:sz w:val="20"/>
          <w:szCs w:val="20"/>
          <w:color w:val="auto"/>
        </w:rPr>
      </w:pPr>
    </w:p>
    <w:p>
      <w:pPr>
        <w:ind w:right="240" w:firstLine="991"/>
        <w:spacing w:after="0" w:line="282" w:lineRule="auto"/>
        <w:rPr>
          <w:sz w:val="20"/>
          <w:szCs w:val="20"/>
          <w:color w:val="auto"/>
        </w:rPr>
      </w:pPr>
      <w:r>
        <w:rPr>
          <w:rFonts w:ascii="Times New Roman" w:cs="Times New Roman" w:eastAsia="Times New Roman" w:hAnsi="Times New Roman"/>
          <w:sz w:val="18"/>
          <w:szCs w:val="18"/>
          <w:color w:val="auto"/>
        </w:rPr>
        <w:t>Each of the Guarantors hereby agrees that its Note Guarantee set forth in Section 10.01 shall be in full force and effect notwithstanding any failure to endorse on each Note a notation of such Note Guarantee.</w:t>
      </w:r>
    </w:p>
    <w:p>
      <w:pPr>
        <w:spacing w:after="0" w:line="162" w:lineRule="exact"/>
        <w:rPr>
          <w:sz w:val="20"/>
          <w:szCs w:val="20"/>
          <w:color w:val="auto"/>
        </w:rPr>
      </w:pPr>
    </w:p>
    <w:p>
      <w:pPr>
        <w:ind w:right="260" w:firstLine="991"/>
        <w:spacing w:after="0" w:line="266" w:lineRule="auto"/>
        <w:rPr>
          <w:sz w:val="20"/>
          <w:szCs w:val="20"/>
          <w:color w:val="auto"/>
        </w:rPr>
      </w:pPr>
      <w:r>
        <w:rPr>
          <w:rFonts w:ascii="Times New Roman" w:cs="Times New Roman" w:eastAsia="Times New Roman" w:hAnsi="Times New Roman"/>
          <w:sz w:val="18"/>
          <w:szCs w:val="18"/>
          <w:color w:val="auto"/>
        </w:rPr>
        <w:t>If an Officer of a Guarantor whose signature is on this Indenture or a Note Guarantee no longer holds that office at the time the Trustee authenticates the Note on which such Note Guarantee is endorsed or at any time thereafter, such Guarantor’s Guarantee of such Note shall be valid nevertheless.</w:t>
      </w:r>
    </w:p>
    <w:p>
      <w:pPr>
        <w:spacing w:after="0" w:line="176"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The delivery of any Note by the Trustee, after the authentication thereof hereunder, shall constitute due delivery of any Note Guarantee set forth in this Indenture on behalf of the Guarantor.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u w:val="single" w:color="auto"/>
          <w:color w:val="auto"/>
        </w:rPr>
        <w:t>Release of Guarantors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1240" w:hanging="253"/>
        <w:spacing w:after="0"/>
        <w:tabs>
          <w:tab w:leader="none" w:pos="1240"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Note Guarantee of a Guarantor (other than Parent) will be unconditionally released and discharged upon any of the following:</w:t>
      </w:r>
    </w:p>
    <w:p>
      <w:pPr>
        <w:spacing w:after="0" w:line="117" w:lineRule="exact"/>
        <w:rPr>
          <w:rFonts w:ascii="Times New Roman" w:cs="Times New Roman" w:eastAsia="Times New Roman" w:hAnsi="Times New Roman"/>
          <w:sz w:val="18"/>
          <w:szCs w:val="18"/>
          <w:color w:val="auto"/>
        </w:rPr>
      </w:pPr>
    </w:p>
    <w:p>
      <w:pPr>
        <w:ind w:left="440" w:right="320" w:firstLine="419"/>
        <w:spacing w:after="0" w:line="282" w:lineRule="auto"/>
        <w:tabs>
          <w:tab w:leader="none" w:pos="111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Transfer (including, without limitation, by way of consolidation or merger) by Parent or any Subsidiary to any Person that is not Parent or a Subsidiary of Parent of all of the Equity Interests of, or all or substantially all of the properties and assets of, such Guarantor;</w:t>
      </w:r>
    </w:p>
    <w:p>
      <w:pPr>
        <w:spacing w:after="0" w:line="53" w:lineRule="exact"/>
        <w:rPr>
          <w:rFonts w:ascii="Times New Roman" w:cs="Times New Roman" w:eastAsia="Times New Roman" w:hAnsi="Times New Roman"/>
          <w:sz w:val="18"/>
          <w:szCs w:val="18"/>
          <w:color w:val="auto"/>
        </w:rPr>
      </w:pPr>
    </w:p>
    <w:p>
      <w:pPr>
        <w:jc w:val="both"/>
        <w:ind w:left="440" w:right="60" w:firstLine="419"/>
        <w:spacing w:after="0" w:line="261" w:lineRule="auto"/>
        <w:tabs>
          <w:tab w:leader="none" w:pos="111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Transfer directly or indirectly (including, without limitation, by way of consolidation or merger) by Parent or any Subsidiary to any Person that is not Parent or a Subsidiary of Parent of Equity Interests of such Guarantor or any issuance by such Guarantor of its Equity Interests, such that such Guarantor ceases to be a Subsidiary of Parent;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Guarantor is also released from all of its obligations in respect of Indebtedness under each Credit Facility;</w:t>
      </w:r>
    </w:p>
    <w:p>
      <w:pPr>
        <w:spacing w:after="0" w:line="71"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18"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release of such Guarantor from all obligations of such Guarantor in respect of Indebtedness under each Credit Facility, except to the extent such Guarantor is otherwise required to provide a Guarantee pursuant to Section 4.17; or</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-77-</w:t>
      </w:r>
    </w:p>
    <w:p>
      <w:pPr>
        <w:sectPr>
          <w:pgSz w:w="11900" w:h="16838" w:orient="portrait"/>
          <w:cols w:equalWidth="0" w:num="1">
            <w:col w:w="10960"/>
          </w:cols>
          <w:pgMar w:left="440" w:top="270" w:right="499" w:bottom="1440" w:gutter="0" w:footer="0" w:header="0"/>
        </w:sectPr>
      </w:pPr>
    </w:p>
    <w:bookmarkStart w:id="88" w:name="page89"/>
    <w:bookmarkEnd w:id="88"/>
    <w:p>
      <w:pPr>
        <w:ind w:left="440" w:right="460" w:firstLine="419"/>
        <w:spacing w:after="0" w:line="282" w:lineRule="auto"/>
        <w:tabs>
          <w:tab w:leader="none" w:pos="111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upon the contemporaneous release or discharge of all Guarantees by such Guarantor which would have required such Guarantor to guarantee the Notes pursuant to Section 4.17.</w:t>
      </w:r>
    </w:p>
    <w:p>
      <w:pPr>
        <w:spacing w:after="0" w:line="161" w:lineRule="exact"/>
        <w:rPr>
          <w:rFonts w:ascii="Times New Roman" w:cs="Times New Roman" w:eastAsia="Times New Roman" w:hAnsi="Times New Roman"/>
          <w:sz w:val="18"/>
          <w:szCs w:val="18"/>
          <w:color w:val="auto"/>
        </w:rPr>
      </w:pPr>
    </w:p>
    <w:p>
      <w:pPr>
        <w:ind w:right="460" w:firstLine="987"/>
        <w:spacing w:after="0" w:line="282" w:lineRule="auto"/>
        <w:tabs>
          <w:tab w:leader="none" w:pos="1246"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provided under Article Five, a Note Guarantee of Parent may be released and discharged only with the consent of each Holder of Notes to which such Note Guarantee relates.</w:t>
      </w:r>
    </w:p>
    <w:p>
      <w:pPr>
        <w:spacing w:after="0" w:line="161"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such release or discharge of a Note Guarantee of a Guarantor shall be effective against the Trustee or the Holders of Notes to which such Note Guarantee relates (i) if a Default or Event of Default shall have occurred and be continuing under this Indenture as of the time of such proposed release until such time as such Default or Event of Default is cured or waived (unless such release is in connection with the sale of the Equity Interests in such Guarantor constituting collateral for a Credit Facility in connection with the exercise of remedies against such Equity Interests or in connection with a Transfer permitted by this Indenture if, but for the existence of such Default or Event of Default, such Subsidiary would otherwise be entitled to be released from its Note Guarantee following the sale of such Equity Interests) and (ii) until the Issuer shall have delivered to the Trustee an Officers’ Certificate, upon which the Trustee shall be entitled but not obligated to rely, stating that all conditions precedent provided for in this Indenture relating to such transactions have been complied with and that such release and discharge is authorized and permitted under this Indenture.</w:t>
      </w:r>
    </w:p>
    <w:p>
      <w:pPr>
        <w:spacing w:after="0" w:line="191" w:lineRule="exact"/>
        <w:rPr>
          <w:rFonts w:ascii="Times New Roman" w:cs="Times New Roman" w:eastAsia="Times New Roman" w:hAnsi="Times New Roman"/>
          <w:sz w:val="18"/>
          <w:szCs w:val="18"/>
          <w:color w:val="auto"/>
        </w:rPr>
      </w:pPr>
    </w:p>
    <w:p>
      <w:pPr>
        <w:ind w:right="220" w:firstLine="987"/>
        <w:spacing w:after="0" w:line="282" w:lineRule="auto"/>
        <w:tabs>
          <w:tab w:leader="none" w:pos="1246" w:val="left"/>
        </w:tabs>
        <w:numPr>
          <w:ilvl w:val="1"/>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Trustee shall execute any documents reasonably requested by either the Issuer or a Guarantor in order to evidence the release of such Guarantor from its obligations under its Guarantee endorsed on the Notes and under this Article Ten.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u w:val="single" w:color="auto"/>
          <w:color w:val="auto"/>
        </w:rPr>
        <w:t>Waiver of Subrogation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991"/>
        <w:spacing w:after="0" w:line="253" w:lineRule="auto"/>
        <w:rPr>
          <w:sz w:val="20"/>
          <w:szCs w:val="20"/>
          <w:color w:val="auto"/>
        </w:rPr>
      </w:pPr>
      <w:r>
        <w:rPr>
          <w:rFonts w:ascii="Times New Roman" w:cs="Times New Roman" w:eastAsia="Times New Roman" w:hAnsi="Times New Roman"/>
          <w:sz w:val="18"/>
          <w:szCs w:val="18"/>
          <w:color w:val="auto"/>
        </w:rPr>
        <w:t>Each Guarantor hereby irrevocably waives any claim or other rights which it may now or hereafter acquire against the Issuer that arise from the existence, payment, performance or enforcement of such Guarantor’s obligations under its Note Guarantee and this Indenture, including, without limitation, any right of subrogation, reimbursement, exoneration, indemnification, and any right to participate in any claim or remedy of any Holder of Notes against the Issuer, whether or not such claim, remedy or right arises in equity, or under contract, statute or common law, including, without limitation, the right to take or receive from the Issuer, directly or indirectly, in cash or other property or by set-off or in any other manner, payment or Note on account of such claim or other rights. If any amount shall be paid to any Guarantor in violation of the preceding sentence and the Notes shall not have been paid in full, such amount shall have been deemed to have been paid to such Guarantor for the benefit of, and held in trust for the benefit of, the Holders of the Notes, and shall forthwith be paid to the Trustee for the benefit of such Holders to be credited and applied upon the Notes, whether matured or unmatured, in accordance with the terms of this Indenture. Each Guarantor acknowledges that it will receive direct and indirect benefits from the financing arrangements contemplated by this Indenture and that the waiver set forth in this Section 10.04 is knowingly made in contemplation of such benefits.</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ectPr>
          <w:pgSz w:w="11900" w:h="16838" w:orient="portrait"/>
          <w:cols w:equalWidth="0" w:num="1">
            <w:col w:w="10980"/>
          </w:cols>
          <w:pgMar w:left="440" w:top="270" w:right="47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10.05. </w:t>
      </w:r>
      <w:r>
        <w:rPr>
          <w:rFonts w:ascii="Times New Roman" w:cs="Times New Roman" w:eastAsia="Times New Roman" w:hAnsi="Times New Roman"/>
          <w:sz w:val="18"/>
          <w:szCs w:val="18"/>
          <w:u w:val="single" w:color="auto"/>
          <w:color w:val="auto"/>
        </w:rPr>
        <w:t>Notice to Trustee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9" w:lineRule="auto"/>
        <w:rPr>
          <w:sz w:val="20"/>
          <w:szCs w:val="20"/>
          <w:color w:val="auto"/>
        </w:rPr>
      </w:pPr>
      <w:r>
        <w:rPr>
          <w:rFonts w:ascii="Times New Roman" w:cs="Times New Roman" w:eastAsia="Times New Roman" w:hAnsi="Times New Roman"/>
          <w:sz w:val="17"/>
          <w:szCs w:val="17"/>
          <w:color w:val="auto"/>
        </w:rPr>
        <w:t xml:space="preserve">The Issuer or any Guarantor shall give prompt written notice to the Trustee of any fact known to the Issuer or any such Guarantor which would prohibit the making of any payment to or by the Trustee at its Corporate Trust Office in respect of the Note Guarantees. Notwithstanding the provisions of this Article Ten or any other provision of this Indenture, the Trustee shall not be charged with knowledge of the existence of any facts which would prohibit the making of any payment to or by the Trustee in respect of the Note Guarantees, unless and until a Responsible Officer of the Trustee shall have received written notice thereof from the Issuer no later than one Business Day prior to such payment; and, prior to the receipt of any such written notice, the Trustee, subject to the provisions of this Section 10.05, and subject to the provisions of Sections 7.01 and 7.02, shall be entitled in all respects to assume that no such facts exist;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however</w:t>
      </w:r>
      <w:r>
        <w:rPr>
          <w:rFonts w:ascii="Times New Roman" w:cs="Times New Roman" w:eastAsia="Times New Roman" w:hAnsi="Times New Roman"/>
          <w:sz w:val="17"/>
          <w:szCs w:val="17"/>
          <w:color w:val="auto"/>
        </w:rPr>
        <w:t>, that if the Trustee shall not have received the notice referred to in this Section 10.05 at least one Business Day prior to the date upon which by the terms hereof any such payment may become payable for any purpose under this Indenture (including, without limitation, the payment of the principal of, premium, if any, or interest on any Note), then, anything herein contained to the contrary notwithstanding, the Trustee shall have full power and authority to receive such money and to apply the same to the purpose for which such money was received and shall not be affected by any notice to the contrary which may be received by it less than three Business Days prior to such date.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u w:val="single" w:color="auto"/>
          <w:color w:val="auto"/>
        </w:rPr>
        <w:t>Limitation on Guarantor’s Liability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Each Guarantor, and by its acceptance hereof, each Holder, hereby confirm that it is the intention of all such parties that the Guarantee of a Guarantor does not constitute a fraudulent transfer or conveyance for purposes of Title 11 of the United States Code, as amended, the Uniform Fraudulent Conveyance Act, the Uniform Fraudulent Transfer Act or any similar U.S. Federal or state or other applicable law. To effectuate the foregoing intention, each Holder and each Guarantor hereby irrevocably agree that the obligations of a Guarantor under its Note Guarantee shall be limited to the maximum amount as will, after giving effect to all other contingent and fixed liabilities of such Guarantor result in the obligations of such Guarantor not constituting such a fraudulent transfer or conveyance.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-79-</w:t>
      </w:r>
    </w:p>
    <w:p>
      <w:pPr>
        <w:sectPr>
          <w:pgSz w:w="11900" w:h="16838" w:orient="portrait"/>
          <w:cols w:equalWidth="0" w:num="1">
            <w:col w:w="10980"/>
          </w:cols>
          <w:pgMar w:left="440" w:top="270" w:right="479" w:bottom="1440" w:gutter="0" w:footer="0" w:header="0"/>
        </w:sectPr>
      </w:pPr>
    </w:p>
    <w:bookmarkStart w:id="90" w:name="page91"/>
    <w:bookmarkEnd w:id="90"/>
    <w:p>
      <w:pPr>
        <w:ind w:left="47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ELEVEN</w:t>
      </w:r>
    </w:p>
    <w:p>
      <w:pPr>
        <w:spacing w:after="0" w:line="11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MISCELLANEOUS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u w:val="single" w:color="auto"/>
          <w:color w:val="auto"/>
        </w:rPr>
        <w:t>Trust Indenture Act Controls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If any provision of this Indenture limits, qualifies or conflicts with another provision which is required to be included in this Indenture by the TIA, the required provision shall control. If any provision of this Indenture modifies any TIA provision that may be so modified, such TIA provision shall be deemed to apply to this Indenture as so modified. If any provision of this Indenture excludes any TIA provision that may be so excluded, such TIA provision shall be excluded from this Indenture.</w:t>
      </w:r>
    </w:p>
    <w:p>
      <w:pPr>
        <w:spacing w:after="0" w:line="180"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The provisions of TIA §§ 310 through 317 that impose duties on any Person (including the provisions automatically deemed included unless expressly excluded by this Indenture) are a part of and govern this Indenture, whether or not physically contained herein.</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991"/>
        <w:spacing w:after="0" w:line="266" w:lineRule="auto"/>
        <w:rPr>
          <w:sz w:val="20"/>
          <w:szCs w:val="20"/>
          <w:color w:val="auto"/>
        </w:rPr>
      </w:pPr>
      <w:r>
        <w:rPr>
          <w:rFonts w:ascii="Times New Roman" w:cs="Times New Roman" w:eastAsia="Times New Roman" w:hAnsi="Times New Roman"/>
          <w:sz w:val="18"/>
          <w:szCs w:val="18"/>
          <w:color w:val="auto"/>
        </w:rPr>
        <w:t>Except for notice or communications to Holders, any notice or communication shall be given in writing and delivered in person or mailed by first class mail (registered or certified, return receipt requested), telex, telecopier or overnight air courier guaranteeing next day delivery, addressed as follows:</w:t>
      </w:r>
    </w:p>
    <w:p>
      <w:pPr>
        <w:spacing w:after="0" w:line="68"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to the Issuer or any Guarantor:</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Crown Americas LLC</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c/o Crown Holdings, Inc.</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14025 Riveredge Drive, Suite 300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Tampa, FL 33637</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Attn: General Counsel</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Telephone: ***</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w:t>
      </w:r>
    </w:p>
    <w:p>
      <w:pPr>
        <w:spacing w:after="0" w:line="20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With copies to:</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Dechert LLP</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Cira Center</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2929 Arch Street</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Philadelphia, PA 19104</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Attn: Ian A. Hartman</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Telephone: ***</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Facsimile: ***</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ectPr>
          <w:pgSz w:w="11900" w:h="16838" w:orient="portrait"/>
          <w:cols w:equalWidth="0" w:num="1">
            <w:col w:w="10980"/>
          </w:cols>
          <w:pgMar w:left="440" w:top="270" w:right="479" w:bottom="1440" w:gutter="0" w:footer="0" w:header="0"/>
        </w:sectPr>
      </w:pPr>
    </w:p>
    <w:bookmarkStart w:id="91" w:name="page92"/>
    <w:bookmarkEnd w:id="91"/>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to the Trustee:</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Global Corporate Trust Services</w:t>
      </w:r>
    </w:p>
    <w:p>
      <w:pPr>
        <w:ind w:left="1420"/>
        <w:spacing w:after="0" w:line="181" w:lineRule="auto"/>
        <w:rPr>
          <w:sz w:val="20"/>
          <w:szCs w:val="20"/>
          <w:color w:val="auto"/>
        </w:rPr>
      </w:pPr>
      <w:r>
        <w:rPr>
          <w:rFonts w:ascii="Times New Roman" w:cs="Times New Roman" w:eastAsia="Times New Roman" w:hAnsi="Times New Roman"/>
          <w:sz w:val="18"/>
          <w:szCs w:val="18"/>
          <w:color w:val="auto"/>
        </w:rPr>
        <w:t>1735 Market St., 43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Mail Station: EX-PA-WBSP</w:t>
      </w:r>
    </w:p>
    <w:p>
      <w:pPr>
        <w:spacing w:after="0" w:line="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Attention: Michael Judge</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Telephone: ***</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Facsimile: ***</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Email: Michael.Judge@usbank.com</w:t>
      </w:r>
    </w:p>
    <w:p>
      <w:pPr>
        <w:spacing w:after="0" w:line="207" w:lineRule="exact"/>
        <w:rPr>
          <w:sz w:val="20"/>
          <w:szCs w:val="20"/>
          <w:color w:val="auto"/>
        </w:rPr>
      </w:pPr>
    </w:p>
    <w:p>
      <w:pPr>
        <w:ind w:right="360" w:firstLine="991"/>
        <w:spacing w:after="0" w:line="282" w:lineRule="auto"/>
        <w:rPr>
          <w:sz w:val="20"/>
          <w:szCs w:val="20"/>
          <w:color w:val="auto"/>
        </w:rPr>
      </w:pPr>
      <w:r>
        <w:rPr>
          <w:rFonts w:ascii="Times New Roman" w:cs="Times New Roman" w:eastAsia="Times New Roman" w:hAnsi="Times New Roman"/>
          <w:sz w:val="18"/>
          <w:szCs w:val="18"/>
          <w:color w:val="auto"/>
        </w:rPr>
        <w:t>The Issuer, the Guarantors or the Trustee by written notice to the others may designate additional or different addresses for subsequent notices or communications.</w:t>
      </w:r>
    </w:p>
    <w:p>
      <w:pPr>
        <w:spacing w:after="0" w:line="162" w:lineRule="exact"/>
        <w:rPr>
          <w:sz w:val="20"/>
          <w:szCs w:val="20"/>
          <w:color w:val="auto"/>
        </w:rPr>
      </w:pPr>
    </w:p>
    <w:p>
      <w:pPr>
        <w:ind w:firstLine="991"/>
        <w:spacing w:after="0" w:line="261" w:lineRule="auto"/>
        <w:rPr>
          <w:sz w:val="20"/>
          <w:szCs w:val="20"/>
          <w:color w:val="auto"/>
        </w:rPr>
      </w:pPr>
      <w:r>
        <w:rPr>
          <w:rFonts w:ascii="Times New Roman" w:cs="Times New Roman" w:eastAsia="Times New Roman" w:hAnsi="Times New Roman"/>
          <w:sz w:val="18"/>
          <w:szCs w:val="18"/>
          <w:color w:val="auto"/>
        </w:rPr>
        <w:t>All notices and communications (other than those sent to Holders) shall be deemed to have been duly given at the time delivered by hand, if personally delivered; five (5) calendar days after mailing if sent by registered or certified mail, postage prepaid (except that a notice of change of address shall not be deemed to have been given until actually received by the addressee); when answered back, if telexed; when receipt acknowledged, if telecopied; and the next Business Day after timely delivery to the courier, if sent by overnight air courier guaranteeing next day delivery.</w:t>
      </w:r>
    </w:p>
    <w:p>
      <w:pPr>
        <w:spacing w:after="0" w:line="180" w:lineRule="exact"/>
        <w:rPr>
          <w:sz w:val="20"/>
          <w:szCs w:val="20"/>
          <w:color w:val="auto"/>
        </w:rPr>
      </w:pPr>
    </w:p>
    <w:p>
      <w:pPr>
        <w:ind w:right="200" w:firstLine="991"/>
        <w:spacing w:after="0" w:line="261" w:lineRule="auto"/>
        <w:rPr>
          <w:sz w:val="20"/>
          <w:szCs w:val="20"/>
          <w:color w:val="auto"/>
        </w:rPr>
      </w:pPr>
      <w:r>
        <w:rPr>
          <w:rFonts w:ascii="Times New Roman" w:cs="Times New Roman" w:eastAsia="Times New Roman" w:hAnsi="Times New Roman"/>
          <w:sz w:val="18"/>
          <w:szCs w:val="18"/>
          <w:color w:val="auto"/>
        </w:rPr>
        <w:t>Any notice or communication to a Holder shall be mailed by first class mail, certified or registered, return receipt requested, or by overnight air courier guaranteeing next day delivery to its address shown on the register kept by the Registrar. Any notice or communication shall also be so mailed to any Person described in TIA § 313(c), to the extent required by the TIA. Failure to mail a notice or communication to a Holder or any defect in it shall not affect its sufficiency with respect to other Holders.</w:t>
      </w:r>
    </w:p>
    <w:p>
      <w:pPr>
        <w:spacing w:after="0" w:line="180" w:lineRule="exact"/>
        <w:rPr>
          <w:sz w:val="20"/>
          <w:szCs w:val="20"/>
          <w:color w:val="auto"/>
        </w:rPr>
      </w:pPr>
    </w:p>
    <w:p>
      <w:pPr>
        <w:ind w:right="580" w:firstLine="991"/>
        <w:spacing w:after="0" w:line="282" w:lineRule="auto"/>
        <w:rPr>
          <w:sz w:val="20"/>
          <w:szCs w:val="20"/>
          <w:color w:val="auto"/>
        </w:rPr>
      </w:pPr>
      <w:r>
        <w:rPr>
          <w:rFonts w:ascii="Times New Roman" w:cs="Times New Roman" w:eastAsia="Times New Roman" w:hAnsi="Times New Roman"/>
          <w:sz w:val="18"/>
          <w:szCs w:val="18"/>
          <w:color w:val="auto"/>
        </w:rPr>
        <w:t>If a notice or communication to a Holder is mailed in the manner provided above, it shall be deemed duly given, whether or not the addressee receives it.</w:t>
      </w:r>
    </w:p>
    <w:p>
      <w:pPr>
        <w:spacing w:after="0" w:line="162" w:lineRule="exact"/>
        <w:rPr>
          <w:sz w:val="20"/>
          <w:szCs w:val="20"/>
          <w:color w:val="auto"/>
        </w:rPr>
      </w:pP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In case by reason of the suspension of regular mail service, or by reason of any other cause, it shall be impossible to mail any notice as required by this Indenture, then such method of notification as shall be made with the approval of the Trustee shall constitute a sufficient mailing of such notice.</w:t>
      </w:r>
    </w:p>
    <w:p>
      <w:pPr>
        <w:spacing w:after="0" w:line="176" w:lineRule="exact"/>
        <w:rPr>
          <w:sz w:val="20"/>
          <w:szCs w:val="20"/>
          <w:color w:val="auto"/>
        </w:rPr>
      </w:pPr>
    </w:p>
    <w:p>
      <w:pPr>
        <w:jc w:val="center"/>
        <w:ind w:right="340"/>
        <w:spacing w:after="0"/>
        <w:rPr>
          <w:sz w:val="20"/>
          <w:szCs w:val="20"/>
          <w:color w:val="auto"/>
        </w:rPr>
      </w:pPr>
      <w:r>
        <w:rPr>
          <w:rFonts w:ascii="Times New Roman" w:cs="Times New Roman" w:eastAsia="Times New Roman" w:hAnsi="Times New Roman"/>
          <w:sz w:val="18"/>
          <w:szCs w:val="18"/>
          <w:color w:val="auto"/>
        </w:rPr>
        <w:t>Notwithstanding anything herein to the contrary, any notice to the Trustee shall be deemed given when actually received.</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ectPr>
          <w:pgSz w:w="11900" w:h="16838" w:orient="portrait"/>
          <w:cols w:equalWidth="0" w:num="1">
            <w:col w:w="11020"/>
          </w:cols>
          <w:pgMar w:left="440" w:top="270" w:right="439" w:bottom="1440" w:gutter="0" w:footer="0" w:header="0"/>
        </w:sectPr>
      </w:pPr>
    </w:p>
    <w:bookmarkStart w:id="92" w:name="page93"/>
    <w:bookmarkEnd w:id="92"/>
    <w:p>
      <w:pPr>
        <w:ind w:right="20" w:firstLine="991"/>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Trustee shall have the right to accept and act upon instructions or directions, including funds transfer instructions, pursuant to this Indenture sent by Electronic Means. As used in this paragraph, “Electronic Means” means a portable document format (“pdf”) or other replicating image attached to an unsecured email, facsimile transmission, secure electronic transmission (containing applicable authorization codes, passwords and/or authentication keys issued by the Trustee), or another method or system specified by the Trustee as available for use in connection with its services hereunder; provided, however, that the Issuer shall provide to the Trustee an incumbency certificate listing designated persons authorized to provide such instructions (“Authorized Officers”), which incumbency certificate shall be amended whenever a person is to be added or deleted from the listing. If the Issuer elects to give the Trustee instructions by Electronic Means and the Trustee in its discretion elects to act upon such instructions, the Trustee’s understanding of such instructions shall be deemed controlling. The Issuer agrees that the Trustee cannot determine the identity of the actual sender of such instructions and that the Trustee shall conclusively presume that instructions that purport to have been sent by an Authorized Officer listed on the incumbency certificate provided to the Trustee have been sent by such Authorized Officer. The Issuer shall be responsible for ensuring that only their respective Authorized Officers transmit such instructions to the Trustee, and the Issuer and their Authorized Officers are responsible to safeguard the use and confidentiality of applicable user and authorization codes, passwords and authentication keys provided by the Trustee, if any. The Trustee shall not be liable for any losses, costs, or expenses arising directly or indirectly from the Trustee’s reliance upon and compliance with such instructions notwithstanding such instructions conflict or are inconsistent with a subsequent written instruction delivered by other means. The Issuer agrees (i) to assume all risks arising out of the use of such Electronic Means to submit instructions and direction to the Trustee, including without limitation the risk of the Trustee acting on unauthorized instructions and the risk of interception and misuse by third parties; (ii) that it is fully informed of the protections and risks associated with the various methods of transmitting instructions to the Trustee and that there may be more secure methods of transmitting instructions than the use of Electronic Means; (iii) that the security procedures (if any) to be followed in connection with its transmission of instructions provide to it a commercially reasonable degree of protection in light of its particular needs and circumstances; and (iv) that it will notify the Trustee immediately upon learning of any compromise or unauthorized use of the security procedures.</w:t>
      </w:r>
    </w:p>
    <w:p>
      <w:pPr>
        <w:spacing w:after="0" w:line="189"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All notices, approvals, consents, requests and any communications to the Trustee hereunder must be in writing in English and must be in the form of a document that is signed manually or by way of an electronic signature (including electronic images of handwritten signatures and digital signatures provided by DocuSign, Orbit, Adobe Sign or any other electronic signature provider acceptable to the Trustee). Electronic signatures believed by the Trustee to comply with the ESIGN ACT of 2000 or other applicable law shall be deemed original signatures for all purposes. If the Issuer chooses to use electronic signatures to sign documents delivered to the Trustee, the Issuer agrees to assume all risks arising out of its use of electronic signatures, including without limitation the risk of the Trustee acting on an unauthorized document and the risk of interception or misuse by third parties. Notwithstanding the foregoing, the Trustee may in any instance and in its sole discretion require that an original document bearing a manual signature be delivered to the Trustee in lieu of, or in addition to, any document signed via electronic signature.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ectPr>
          <w:pgSz w:w="11900" w:h="16838" w:orient="portrait"/>
          <w:cols w:equalWidth="0" w:num="1">
            <w:col w:w="11020"/>
          </w:cols>
          <w:pgMar w:left="440" w:top="270"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11.03. </w:t>
      </w:r>
      <w:r>
        <w:rPr>
          <w:rFonts w:ascii="Times New Roman" w:cs="Times New Roman" w:eastAsia="Times New Roman" w:hAnsi="Times New Roman"/>
          <w:sz w:val="18"/>
          <w:szCs w:val="18"/>
          <w:u w:val="single" w:color="auto"/>
          <w:color w:val="auto"/>
        </w:rPr>
        <w:t>Communications by Holders with Other Holders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80" w:firstLine="991"/>
        <w:spacing w:after="0" w:line="282" w:lineRule="auto"/>
        <w:rPr>
          <w:sz w:val="20"/>
          <w:szCs w:val="20"/>
          <w:color w:val="auto"/>
        </w:rPr>
      </w:pPr>
      <w:r>
        <w:rPr>
          <w:rFonts w:ascii="Times New Roman" w:cs="Times New Roman" w:eastAsia="Times New Roman" w:hAnsi="Times New Roman"/>
          <w:sz w:val="18"/>
          <w:szCs w:val="18"/>
          <w:color w:val="auto"/>
        </w:rPr>
        <w:t>Holders may communicate pursuant to TIA § 312(b) with other Holders with respect to their rights under this Indenture or the Notes. The Issuer, the Guarantors, the Trustee, the Registrar, each Agent and anyone else shall have the protection of TIA § 312(c).</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11.04. </w:t>
      </w:r>
      <w:r>
        <w:rPr>
          <w:rFonts w:ascii="Times New Roman" w:cs="Times New Roman" w:eastAsia="Times New Roman" w:hAnsi="Times New Roman"/>
          <w:sz w:val="18"/>
          <w:szCs w:val="18"/>
          <w:u w:val="single" w:color="auto"/>
          <w:color w:val="auto"/>
        </w:rPr>
        <w:t>Certificate and Opinion as to Conditions Precedent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Upon any request or application by the Issuer or any Guarantor to the Trustee to take any action under this Indenture, the Issuer or such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Guarantor shall furnish to the Trustee:</w:t>
      </w:r>
    </w:p>
    <w:p>
      <w:pPr>
        <w:spacing w:after="0" w:line="99" w:lineRule="exact"/>
        <w:rPr>
          <w:sz w:val="20"/>
          <w:szCs w:val="20"/>
          <w:color w:val="auto"/>
        </w:rPr>
      </w:pPr>
    </w:p>
    <w:p>
      <w:pPr>
        <w:ind w:left="440" w:right="40" w:firstLine="419"/>
        <w:spacing w:after="0" w:line="282" w:lineRule="auto"/>
        <w:tabs>
          <w:tab w:leader="none" w:pos="111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Officers’ Certificate (which shall include the statements set forth in Section 11.05 below) stating that, in the opinion of the signers, all conditions precedent and covenants, if any, provided for in this Indenture relating to the proposed action have been complied with; and</w:t>
      </w:r>
    </w:p>
    <w:p>
      <w:pPr>
        <w:spacing w:after="0" w:line="53"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18"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of Counsel (which shall include the statements set forth in Section 11.05 below) stating that, in the opinion of such counsel, all such conditions precedent and covenants have been complied with.</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11.05. </w:t>
      </w:r>
      <w:r>
        <w:rPr>
          <w:rFonts w:ascii="Times New Roman" w:cs="Times New Roman" w:eastAsia="Times New Roman" w:hAnsi="Times New Roman"/>
          <w:sz w:val="18"/>
          <w:szCs w:val="18"/>
          <w:u w:val="single" w:color="auto"/>
          <w:color w:val="auto"/>
        </w:rPr>
        <w:t>Statements Required in Certificate and Opinion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40" w:firstLine="991"/>
        <w:spacing w:after="0" w:line="282" w:lineRule="auto"/>
        <w:rPr>
          <w:sz w:val="20"/>
          <w:szCs w:val="20"/>
          <w:color w:val="auto"/>
        </w:rPr>
      </w:pPr>
      <w:r>
        <w:rPr>
          <w:rFonts w:ascii="Times New Roman" w:cs="Times New Roman" w:eastAsia="Times New Roman" w:hAnsi="Times New Roman"/>
          <w:sz w:val="18"/>
          <w:szCs w:val="18"/>
          <w:color w:val="auto"/>
        </w:rPr>
        <w:t>Each certificate and opinion with respect to compliance by or on behalf of the Issuer or any Guarantor with a condition or covenant provided for in this Indenture shall include:</w:t>
      </w:r>
    </w:p>
    <w:p>
      <w:pPr>
        <w:spacing w:after="0" w:line="54" w:lineRule="exact"/>
        <w:rPr>
          <w:sz w:val="20"/>
          <w:szCs w:val="20"/>
          <w:color w:val="auto"/>
        </w:rPr>
      </w:pPr>
    </w:p>
    <w:p>
      <w:pPr>
        <w:ind w:left="1120" w:hanging="261"/>
        <w:spacing w:after="0"/>
        <w:tabs>
          <w:tab w:leader="none" w:pos="112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the Person making such certificate or opinion has read such covenant or condition;</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1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brief statement as to the nature and scope of the examination or investigation upon which the statements or opinions contained in such certificate or opinion are based;</w:t>
      </w:r>
    </w:p>
    <w:p>
      <w:pPr>
        <w:spacing w:after="0" w:line="53" w:lineRule="exact"/>
        <w:rPr>
          <w:rFonts w:ascii="Times New Roman" w:cs="Times New Roman" w:eastAsia="Times New Roman" w:hAnsi="Times New Roman"/>
          <w:sz w:val="18"/>
          <w:szCs w:val="18"/>
          <w:color w:val="auto"/>
        </w:rPr>
      </w:pPr>
    </w:p>
    <w:p>
      <w:pPr>
        <w:ind w:left="440" w:firstLine="419"/>
        <w:spacing w:after="0" w:line="282" w:lineRule="auto"/>
        <w:tabs>
          <w:tab w:leader="none" w:pos="1118"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statement that, in the opinion of such Person, he or she has made such examination or investigation as is necessary to enable him or her to express an informed opinion as to whether or not such covenant or condition has been complied with; and</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-83-</w:t>
      </w:r>
    </w:p>
    <w:p>
      <w:pPr>
        <w:sectPr>
          <w:pgSz w:w="11900" w:h="16838" w:orient="portrait"/>
          <w:cols w:equalWidth="0" w:num="1">
            <w:col w:w="10980"/>
          </w:cols>
          <w:pgMar w:left="440" w:top="270" w:right="479" w:bottom="1440" w:gutter="0" w:footer="0" w:header="0"/>
        </w:sectPr>
      </w:pPr>
    </w:p>
    <w:bookmarkStart w:id="94" w:name="page95"/>
    <w:bookmarkEnd w:id="94"/>
    <w:p>
      <w:pPr>
        <w:ind w:right="1580" w:firstLine="859"/>
        <w:spacing w:after="0" w:line="500" w:lineRule="auto"/>
        <w:tabs>
          <w:tab w:leader="none" w:pos="111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 statement as to whether or not, in the opinion of such Person, such covenant or condition has been complied with. SECTION 11.06. </w:t>
      </w:r>
      <w:r>
        <w:rPr>
          <w:rFonts w:ascii="Times New Roman" w:cs="Times New Roman" w:eastAsia="Times New Roman" w:hAnsi="Times New Roman"/>
          <w:sz w:val="18"/>
          <w:szCs w:val="18"/>
          <w:u w:val="single" w:color="auto"/>
          <w:color w:val="auto"/>
        </w:rPr>
        <w:t>Rules by Trustee and Agents</w:t>
      </w:r>
      <w:r>
        <w:rPr>
          <w:rFonts w:ascii="Times New Roman" w:cs="Times New Roman" w:eastAsia="Times New Roman" w:hAnsi="Times New Roman"/>
          <w:sz w:val="18"/>
          <w:szCs w:val="18"/>
          <w:color w:val="auto"/>
        </w:rPr>
        <w:t>.</w:t>
      </w:r>
    </w:p>
    <w:p>
      <w:pPr>
        <w:spacing w:after="0" w:line="2"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The Trustee may make reasonable rules for action by or meetings of Noteholders. The Registrar and Paying Agent may make reasonable rules for their functions.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11.07. </w:t>
      </w:r>
      <w:r>
        <w:rPr>
          <w:rFonts w:ascii="Times New Roman" w:cs="Times New Roman" w:eastAsia="Times New Roman" w:hAnsi="Times New Roman"/>
          <w:sz w:val="18"/>
          <w:szCs w:val="18"/>
          <w:u w:val="single" w:color="auto"/>
          <w:color w:val="auto"/>
        </w:rPr>
        <w:t>Business Days; Legal Holidays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89" w:lineRule="auto"/>
        <w:rPr>
          <w:sz w:val="20"/>
          <w:szCs w:val="20"/>
          <w:color w:val="auto"/>
        </w:rPr>
      </w:pPr>
      <w:r>
        <w:rPr>
          <w:rFonts w:ascii="Times New Roman" w:cs="Times New Roman" w:eastAsia="Times New Roman" w:hAnsi="Times New Roman"/>
          <w:sz w:val="17"/>
          <w:szCs w:val="17"/>
          <w:color w:val="auto"/>
        </w:rPr>
        <w:t>A “</w:t>
      </w:r>
      <w:r>
        <w:rPr>
          <w:rFonts w:ascii="Times New Roman" w:cs="Times New Roman" w:eastAsia="Times New Roman" w:hAnsi="Times New Roman"/>
          <w:sz w:val="17"/>
          <w:szCs w:val="17"/>
          <w:u w:val="single" w:color="auto"/>
          <w:color w:val="auto"/>
        </w:rPr>
        <w:t>Business Day</w:t>
      </w:r>
      <w:r>
        <w:rPr>
          <w:rFonts w:ascii="Times New Roman" w:cs="Times New Roman" w:eastAsia="Times New Roman" w:hAnsi="Times New Roman"/>
          <w:sz w:val="17"/>
          <w:szCs w:val="17"/>
          <w:color w:val="auto"/>
        </w:rPr>
        <w:t>” is a day that is not a Legal Holiday. A “</w:t>
      </w:r>
      <w:r>
        <w:rPr>
          <w:rFonts w:ascii="Times New Roman" w:cs="Times New Roman" w:eastAsia="Times New Roman" w:hAnsi="Times New Roman"/>
          <w:sz w:val="17"/>
          <w:szCs w:val="17"/>
          <w:u w:val="single" w:color="auto"/>
          <w:color w:val="auto"/>
        </w:rPr>
        <w:t>Legal Holiday</w:t>
      </w:r>
      <w:r>
        <w:rPr>
          <w:rFonts w:ascii="Times New Roman" w:cs="Times New Roman" w:eastAsia="Times New Roman" w:hAnsi="Times New Roman"/>
          <w:sz w:val="17"/>
          <w:szCs w:val="17"/>
          <w:color w:val="auto"/>
        </w:rPr>
        <w:t>” is a Saturday, a Sunday or other day on which commercial banks in The City of New York, the State of New York are authorized or required by law to close. If a payment date is a Legal Holiday at a place of payment, payment may be made at that place on the next succeeding day that is not a Legal Holiday, and no interest shall accrue for the intervening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11.08.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20" w:firstLine="991"/>
        <w:spacing w:after="0" w:line="266" w:lineRule="auto"/>
        <w:rPr>
          <w:sz w:val="20"/>
          <w:szCs w:val="20"/>
          <w:color w:val="auto"/>
        </w:rPr>
      </w:pPr>
      <w:r>
        <w:rPr>
          <w:rFonts w:ascii="Times New Roman" w:cs="Times New Roman" w:eastAsia="Times New Roman" w:hAnsi="Times New Roman"/>
          <w:sz w:val="18"/>
          <w:szCs w:val="18"/>
          <w:color w:val="auto"/>
        </w:rPr>
        <w:t>This Indenture, the Notes and the Note Guarantees shall be governed by and construed in accordance with the laws of the State of New York, but without giving effect to applicable principles of conflicts of law to the extent that the application of the law of another jurisdiction would be required thereby.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11.09. </w:t>
      </w:r>
      <w:r>
        <w:rPr>
          <w:rFonts w:ascii="Times New Roman" w:cs="Times New Roman" w:eastAsia="Times New Roman" w:hAnsi="Times New Roman"/>
          <w:sz w:val="18"/>
          <w:szCs w:val="18"/>
          <w:u w:val="single" w:color="auto"/>
          <w:color w:val="auto"/>
        </w:rPr>
        <w:t>No Adverse Interpretation of Other Agreements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This Indenture may not be used to interpret another indenture, loan, security or debt agreement of Parent or any Subsidiary thereof. No such indenture, loan, security or debt agreement may be used to interpret this Indenture.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11.10. </w:t>
      </w: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All agreements of the Issuer and the Guarantors in this Indenture and the Notes shall bind their respective successors. All agreements of the Trustee, any additional trustee and any Agents in this Indenture shall bind its successor.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11.11. </w:t>
      </w:r>
      <w:r>
        <w:rPr>
          <w:rFonts w:ascii="Times New Roman" w:cs="Times New Roman" w:eastAsia="Times New Roman" w:hAnsi="Times New Roman"/>
          <w:sz w:val="18"/>
          <w:szCs w:val="18"/>
          <w:u w:val="single" w:color="auto"/>
          <w:color w:val="auto"/>
        </w:rPr>
        <w:t>Multiple Counterparts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The parties may sign multiple counterparts of this Indenture. Each signed counterpart shall be deemed an original, but all of them together represent one and the same agreement.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ectPr>
          <w:pgSz w:w="11900" w:h="16838" w:orient="portrait"/>
          <w:cols w:equalWidth="0" w:num="1">
            <w:col w:w="11000"/>
          </w:cols>
          <w:pgMar w:left="440" w:top="270" w:right="45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11.12. </w:t>
      </w:r>
      <w:r>
        <w:rPr>
          <w:rFonts w:ascii="Times New Roman" w:cs="Times New Roman" w:eastAsia="Times New Roman" w:hAnsi="Times New Roman"/>
          <w:sz w:val="18"/>
          <w:szCs w:val="18"/>
          <w:u w:val="single" w:color="auto"/>
          <w:color w:val="auto"/>
        </w:rPr>
        <w:t>Table of Contents, Headings, etc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991"/>
        <w:spacing w:after="0" w:line="282" w:lineRule="auto"/>
        <w:rPr>
          <w:sz w:val="20"/>
          <w:szCs w:val="20"/>
          <w:color w:val="auto"/>
        </w:rPr>
      </w:pPr>
      <w:r>
        <w:rPr>
          <w:rFonts w:ascii="Times New Roman" w:cs="Times New Roman" w:eastAsia="Times New Roman" w:hAnsi="Times New Roman"/>
          <w:sz w:val="18"/>
          <w:szCs w:val="18"/>
          <w:color w:val="auto"/>
        </w:rPr>
        <w:t>The table of contents, cross-reference sheet and headings of the Articles and Sections of this Indenture have been inserted for convenience of reference only, are not to be considered a part hereof, and shall in no way modify or restrict any of the terms or provisions hereof.</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11.13. </w:t>
      </w:r>
      <w:r>
        <w:rPr>
          <w:rFonts w:ascii="Times New Roman" w:cs="Times New Roman" w:eastAsia="Times New Roman" w:hAnsi="Times New Roman"/>
          <w:sz w:val="18"/>
          <w:szCs w:val="18"/>
          <w:u w:val="single" w:color="auto"/>
          <w:color w:val="auto"/>
        </w:rPr>
        <w:t>Separability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91"/>
        <w:spacing w:after="0" w:line="266" w:lineRule="auto"/>
        <w:rPr>
          <w:sz w:val="20"/>
          <w:szCs w:val="20"/>
          <w:color w:val="auto"/>
        </w:rPr>
      </w:pPr>
      <w:r>
        <w:rPr>
          <w:rFonts w:ascii="Times New Roman" w:cs="Times New Roman" w:eastAsia="Times New Roman" w:hAnsi="Times New Roman"/>
          <w:sz w:val="18"/>
          <w:szCs w:val="18"/>
          <w:color w:val="auto"/>
        </w:rPr>
        <w:t>Each provision of this Indenture shall be considered separable and if for any reason any provision which is not essential to the effectuation of the basic purpose of this Indenture or the Notes shall be invalid, illegal or unenforceable, the validity, legality and enforceability of the remaining provisions shall not in any way be affected or impaired thereby.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11.14. </w:t>
      </w:r>
      <w:r>
        <w:rPr>
          <w:rFonts w:ascii="Times New Roman" w:cs="Times New Roman" w:eastAsia="Times New Roman" w:hAnsi="Times New Roman"/>
          <w:sz w:val="18"/>
          <w:szCs w:val="18"/>
          <w:u w:val="single" w:color="auto"/>
          <w:color w:val="auto"/>
        </w:rPr>
        <w:t>Waiver of Jury Trial</w:t>
      </w:r>
    </w:p>
    <w:p>
      <w:pPr>
        <w:spacing w:after="0" w:line="225" w:lineRule="exact"/>
        <w:rPr>
          <w:sz w:val="20"/>
          <w:szCs w:val="20"/>
          <w:color w:val="auto"/>
        </w:rPr>
      </w:pPr>
    </w:p>
    <w:p>
      <w:pPr>
        <w:ind w:right="360" w:firstLine="991"/>
        <w:spacing w:after="0" w:line="266" w:lineRule="auto"/>
        <w:rPr>
          <w:sz w:val="20"/>
          <w:szCs w:val="20"/>
          <w:color w:val="auto"/>
        </w:rPr>
      </w:pPr>
      <w:r>
        <w:rPr>
          <w:rFonts w:ascii="Times New Roman" w:cs="Times New Roman" w:eastAsia="Times New Roman" w:hAnsi="Times New Roman"/>
          <w:sz w:val="18"/>
          <w:szCs w:val="18"/>
          <w:color w:val="auto"/>
        </w:rPr>
        <w:t>EACH OF THE ISSUER, THE GUARANTORS AND THE TRUSTEE IRREVOCABLY WAIVES, TO THE FULLEST EXTENT PERMITTED BY APPLICABLE LAW, ANY AND ALL RIGHT TO TRIAL BY JURY IN ANY LEGAL PROCEEDING ARISING OUT OF OR RELATING TO THIS INDENTURE, THE NOTES OR THE TRANSACTIONS CONTEMPLATED HEREBY.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11.15. </w:t>
      </w:r>
      <w:r>
        <w:rPr>
          <w:rFonts w:ascii="Times New Roman" w:cs="Times New Roman" w:eastAsia="Times New Roman" w:hAnsi="Times New Roman"/>
          <w:sz w:val="18"/>
          <w:szCs w:val="18"/>
          <w:u w:val="single" w:color="auto"/>
          <w:color w:val="auto"/>
        </w:rPr>
        <w:t>Force Majeure</w:t>
      </w:r>
    </w:p>
    <w:p>
      <w:pPr>
        <w:spacing w:after="0" w:line="225" w:lineRule="exact"/>
        <w:rPr>
          <w:sz w:val="20"/>
          <w:szCs w:val="20"/>
          <w:color w:val="auto"/>
        </w:rPr>
      </w:pPr>
    </w:p>
    <w:p>
      <w:pPr>
        <w:ind w:right="20" w:firstLine="991"/>
        <w:spacing w:after="0" w:line="258" w:lineRule="auto"/>
        <w:rPr>
          <w:sz w:val="20"/>
          <w:szCs w:val="20"/>
          <w:color w:val="auto"/>
        </w:rPr>
      </w:pPr>
      <w:r>
        <w:rPr>
          <w:rFonts w:ascii="Times New Roman" w:cs="Times New Roman" w:eastAsia="Times New Roman" w:hAnsi="Times New Roman"/>
          <w:sz w:val="18"/>
          <w:szCs w:val="18"/>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11.16. </w:t>
      </w:r>
      <w:r>
        <w:rPr>
          <w:rFonts w:ascii="Times New Roman" w:cs="Times New Roman" w:eastAsia="Times New Roman" w:hAnsi="Times New Roman"/>
          <w:sz w:val="18"/>
          <w:szCs w:val="18"/>
          <w:u w:val="single" w:color="auto"/>
          <w:color w:val="auto"/>
        </w:rPr>
        <w:t>Submission to Jurisdiction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991"/>
        <w:spacing w:after="0" w:line="256" w:lineRule="auto"/>
        <w:rPr>
          <w:sz w:val="20"/>
          <w:szCs w:val="20"/>
          <w:color w:val="auto"/>
        </w:rPr>
      </w:pPr>
      <w:r>
        <w:rPr>
          <w:rFonts w:ascii="Times New Roman" w:cs="Times New Roman" w:eastAsia="Times New Roman" w:hAnsi="Times New Roman"/>
          <w:sz w:val="18"/>
          <w:szCs w:val="18"/>
          <w:color w:val="auto"/>
        </w:rPr>
        <w:t>By the execution and delivery of this Indenture, the Issuer and each Guarantor (i) acknowledges that it may be served in any suit or proceeding arising out of or relating to this Indenture, the Notes and the Note Guarantees that may be instituted in any Federal or state court in the State of New York, The City of New York, the Borough of Manhattan or brought under Federal or state securities laws, (ii) irrevocably submits to the non-exclusive jurisdiction of any such court in any such suit or proceeding in subsection (a)(i) above and (iii) agrees that service of process upon the Issuer in accordance with this Section 11.16 shall be deemed in every respect effective service of process upon the Issuer or any Guarantor, if any, in any such suit or proceeding.</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[Signature Pages Follow]</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ectPr>
          <w:pgSz w:w="11900" w:h="16838" w:orient="portrait"/>
          <w:cols w:equalWidth="0" w:num="1">
            <w:col w:w="11000"/>
          </w:cols>
          <w:pgMar w:left="440" w:top="270" w:right="45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have caused this Indenture to be duly executed all as of the date and year first written above.</w:t>
      </w:r>
    </w:p>
    <w:p>
      <w:pPr>
        <w:spacing w:after="0" w:line="2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CROWN AMERICAS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Vice President &amp; Treasurer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CROWN HOLDINGS,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Vice President &amp; Treasurer</w:t>
      </w:r>
    </w:p>
    <w:p>
      <w:pPr>
        <w:spacing w:after="0" w:line="137"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Indenture</w:t>
      </w:r>
      <w:r>
        <w:rPr>
          <w:rFonts w:ascii="Times New Roman" w:cs="Times New Roman" w:eastAsia="Times New Roman" w:hAnsi="Times New Roman"/>
          <w:sz w:val="18"/>
          <w:szCs w:val="18"/>
          <w:color w:val="auto"/>
        </w:rPr>
        <w:t>]</w:t>
      </w:r>
    </w:p>
    <w:p>
      <w:pPr>
        <w:sectPr>
          <w:pgSz w:w="11900" w:h="16838" w:orient="portrait"/>
          <w:cols w:equalWidth="0" w:num="1">
            <w:col w:w="9460"/>
          </w:cols>
          <w:pgMar w:left="1420" w:top="270" w:right="1019" w:bottom="1440" w:gutter="0" w:footer="0" w:header="0"/>
        </w:sectPr>
      </w:pPr>
    </w:p>
    <w:bookmarkStart w:id="97" w:name="page98"/>
    <w:bookmarkEnd w:id="97"/>
    <w:p>
      <w:pPr>
        <w:ind w:left="5620"/>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GUARANTORS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 USA, INC.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CROWN BEVERAGE PACKAGING PUERTO RICO,</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CONSULTANTS,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FINANCIAL CORPORATION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CORK &amp; SEAL COMPANY (DE),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FOREIGN MANUFACTURERS FINANCE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CORPORATION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CORK &amp; SEAL COMPANY,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INTERNATIONAL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PACKAGING TECHNOLOGY, INC.</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3700145</wp:posOffset>
            </wp:positionH>
            <wp:positionV relativeFrom="paragraph">
              <wp:posOffset>17145</wp:posOffset>
            </wp:positionV>
            <wp:extent cx="265747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2657475" cy="8255"/>
                    </a:xfrm>
                    <a:prstGeom prst="rect">
                      <a:avLst/>
                    </a:prstGeom>
                    <a:noFill/>
                  </pic:spPr>
                </pic:pic>
              </a:graphicData>
            </a:graphic>
          </wp:anchor>
        </w:drawing>
      </w:r>
    </w:p>
    <w:p>
      <w:pPr>
        <w:spacing w:after="0" w:line="7"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Title: Vice President &amp; Treasurer</w:t>
      </w:r>
    </w:p>
    <w:p>
      <w:pPr>
        <w:spacing w:after="0" w:line="137"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Indenture</w:t>
      </w:r>
      <w:r>
        <w:rPr>
          <w:rFonts w:ascii="Times New Roman" w:cs="Times New Roman" w:eastAsia="Times New Roman" w:hAnsi="Times New Roman"/>
          <w:sz w:val="18"/>
          <w:szCs w:val="18"/>
          <w:color w:val="auto"/>
        </w:rPr>
        <w:t>]</w:t>
      </w:r>
    </w:p>
    <w:p>
      <w:pPr>
        <w:sectPr>
          <w:pgSz w:w="11900" w:h="16838" w:orient="portrait"/>
          <w:cols w:equalWidth="0" w:num="1">
            <w:col w:w="9620"/>
          </w:cols>
          <w:pgMar w:left="1440" w:top="270" w:right="839" w:bottom="1440" w:gutter="0" w:footer="0" w:header="0"/>
        </w:sectPr>
      </w:pPr>
    </w:p>
    <w:bookmarkStart w:id="98" w:name="page99"/>
    <w:bookmarkEnd w:id="98"/>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CROWN CORK &amp; SEAL USA, INC.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BEVERAGE PACKAGING, LLC</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Assistant Treasurer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SIGNODE INDUSTRIAL GROUP US INC.</w:t>
      </w:r>
    </w:p>
    <w:p>
      <w:pPr>
        <w:spacing w:after="0" w:line="237" w:lineRule="exact"/>
        <w:rPr>
          <w:sz w:val="20"/>
          <w:szCs w:val="20"/>
          <w:color w:val="auto"/>
        </w:rPr>
      </w:pPr>
    </w:p>
    <w:p>
      <w:pPr>
        <w:ind w:left="5620"/>
        <w:spacing w:after="0"/>
        <w:tabs>
          <w:tab w:leader="none" w:pos="5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BEVERAGE HOLDINGS, INC.</w:t>
      </w:r>
    </w:p>
    <w:p>
      <w:pPr>
        <w:spacing w:after="0" w:line="225" w:lineRule="exact"/>
        <w:rPr>
          <w:sz w:val="20"/>
          <w:szCs w:val="20"/>
          <w:color w:val="auto"/>
        </w:rPr>
      </w:pPr>
    </w:p>
    <w:p>
      <w:pPr>
        <w:ind w:left="5620"/>
        <w:spacing w:after="0"/>
        <w:tabs>
          <w:tab w:leader="none" w:pos="59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Indenture</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70" w:right="1440" w:bottom="1440" w:gutter="0" w:footer="0" w:header="0"/>
        </w:sectPr>
      </w:pPr>
    </w:p>
    <w:bookmarkStart w:id="99" w:name="page100"/>
    <w:bookmarkEnd w:id="99"/>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SIGNODE INDUSTRIAL GROUP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PICKLING HOLDING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US IP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INDUSTRIAL GROUP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HOLDINGS US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INTERNATIONAL IP</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SIMPLIMATIC ENGINEERING</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SIMPLIMATIC AUTOMATION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SEH REAL ESTATE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 INTERNATIONAL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 INTERNATIONAL HOLDINGS II LLC</w:t>
      </w:r>
    </w:p>
    <w:p>
      <w:pPr>
        <w:spacing w:after="0" w:line="207" w:lineRule="exact"/>
        <w:rPr>
          <w:sz w:val="20"/>
          <w:szCs w:val="20"/>
          <w:color w:val="auto"/>
        </w:rPr>
      </w:pPr>
    </w:p>
    <w:p>
      <w:pPr>
        <w:ind w:left="5620"/>
        <w:spacing w:after="0"/>
        <w:tabs>
          <w:tab w:leader="none" w:pos="6000" w:val="left"/>
        </w:tabs>
        <w:rPr>
          <w:sz w:val="20"/>
          <w:szCs w:val="20"/>
          <w:color w:val="auto"/>
        </w:rPr>
      </w:pPr>
      <w:r>
        <w:rPr>
          <w:rFonts w:ascii="Times New Roman" w:cs="Times New Roman" w:eastAsia="Times New Roman" w:hAnsi="Times New Roman"/>
          <w:sz w:val="18"/>
          <w:szCs w:val="18"/>
          <w:color w:val="auto"/>
        </w:rPr>
        <w:t>By </w:t>
      </w:r>
      <w:r>
        <w:rPr>
          <w:sz w:val="20"/>
          <w:szCs w:val="20"/>
          <w:color w:val="auto"/>
        </w:rPr>
        <w:tab/>
      </w:r>
      <w:r>
        <w:rPr>
          <w:rFonts w:ascii="Times New Roman" w:cs="Times New Roman" w:eastAsia="Times New Roman" w:hAnsi="Times New Roman"/>
          <w:sz w:val="17"/>
          <w:szCs w:val="17"/>
          <w:color w:val="auto"/>
        </w:rPr>
        <w:t>/s/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17145</wp:posOffset>
            </wp:positionV>
            <wp:extent cx="257175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7" w:lineRule="exact"/>
        <w:rPr>
          <w:sz w:val="20"/>
          <w:szCs w:val="20"/>
          <w:color w:val="auto"/>
        </w:rPr>
      </w:pPr>
    </w:p>
    <w:p>
      <w:pPr>
        <w:ind w:left="602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Title: Vice President &amp; Assistant Treasurer</w:t>
      </w:r>
    </w:p>
    <w:p>
      <w:pPr>
        <w:spacing w:after="0" w:line="13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Indenture</w:t>
      </w:r>
      <w:r>
        <w:rPr>
          <w:rFonts w:ascii="Times New Roman" w:cs="Times New Roman" w:eastAsia="Times New Roman" w:hAnsi="Times New Roman"/>
          <w:sz w:val="17"/>
          <w:szCs w:val="17"/>
          <w:color w:val="auto"/>
        </w:rPr>
        <w:t>]</w:t>
      </w:r>
    </w:p>
    <w:p>
      <w:pPr>
        <w:sectPr>
          <w:pgSz w:w="11900" w:h="16838" w:orient="portrait"/>
          <w:cols w:equalWidth="0" w:num="1">
            <w:col w:w="9100"/>
          </w:cols>
          <w:pgMar w:left="1440" w:top="270" w:right="1359" w:bottom="1440" w:gutter="0" w:footer="0" w:header="0"/>
        </w:sectPr>
      </w:pPr>
    </w:p>
    <w:bookmarkStart w:id="100" w:name="page101"/>
    <w:bookmarkEnd w:id="100"/>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U.S. BANK TRUST COMPANY,</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b w:val="1"/>
          <w:bCs w:val="1"/>
          <w:color w:val="auto"/>
        </w:rPr>
        <w:t>NATIONAL ASSOCIATION</w:t>
      </w:r>
      <w:r>
        <w:rPr>
          <w:rFonts w:ascii="Times New Roman" w:cs="Times New Roman" w:eastAsia="Times New Roman" w:hAnsi="Times New Roman"/>
          <w:sz w:val="17"/>
          <w:szCs w:val="17"/>
          <w:color w:val="auto"/>
        </w:rPr>
        <w:t>, as Trustee</w:t>
      </w:r>
    </w:p>
    <w:p>
      <w:pPr>
        <w:spacing w:after="0" w:line="2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Judge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Michael Judge</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Signature Page to Indenture</w:t>
      </w:r>
      <w:r>
        <w:rPr>
          <w:rFonts w:ascii="Times New Roman" w:cs="Times New Roman" w:eastAsia="Times New Roman" w:hAnsi="Times New Roman"/>
          <w:sz w:val="17"/>
          <w:szCs w:val="17"/>
          <w:color w:val="auto"/>
        </w:rPr>
        <w:t>]</w:t>
      </w:r>
    </w:p>
    <w:p>
      <w:pPr>
        <w:sectPr>
          <w:pgSz w:w="11900" w:h="16838" w:orient="portrait"/>
          <w:cols w:equalWidth="0" w:num="1">
            <w:col w:w="9019"/>
          </w:cols>
          <w:pgMar w:left="1440" w:top="266" w:right="1440"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207"/>
        </w:trPr>
        <w:tc>
          <w:tcPr>
            <w:tcW w:w="2280" w:type="dxa"/>
            <w:vAlign w:val="bottom"/>
          </w:tcPr>
          <w:p>
            <w:pPr>
              <w:spacing w:after="0"/>
              <w:rPr>
                <w:sz w:val="17"/>
                <w:szCs w:val="17"/>
                <w:color w:val="auto"/>
              </w:rPr>
            </w:pPr>
          </w:p>
        </w:tc>
        <w:tc>
          <w:tcPr>
            <w:tcW w:w="7680" w:type="dxa"/>
            <w:vAlign w:val="bottom"/>
          </w:tcPr>
          <w:p>
            <w:pPr>
              <w:spacing w:after="0"/>
              <w:rPr>
                <w:sz w:val="17"/>
                <w:szCs w:val="17"/>
                <w:color w:val="auto"/>
              </w:rPr>
            </w:pPr>
          </w:p>
        </w:tc>
        <w:tc>
          <w:tcPr>
            <w:tcW w:w="1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9"/>
              </w:rPr>
              <w:t>EXHIBIT A-1</w:t>
            </w:r>
          </w:p>
        </w:tc>
      </w:tr>
      <w:tr>
        <w:trPr>
          <w:trHeight w:val="453"/>
        </w:trPr>
        <w:tc>
          <w:tcPr>
            <w:tcW w:w="2280" w:type="dxa"/>
            <w:vAlign w:val="bottom"/>
          </w:tcPr>
          <w:p>
            <w:pPr>
              <w:spacing w:after="0"/>
              <w:rPr>
                <w:sz w:val="24"/>
                <w:szCs w:val="24"/>
                <w:color w:val="auto"/>
              </w:rPr>
            </w:pPr>
          </w:p>
        </w:tc>
        <w:tc>
          <w:tcPr>
            <w:tcW w:w="8240" w:type="dxa"/>
            <w:vAlign w:val="bottom"/>
            <w:gridSpan w:val="2"/>
          </w:tcPr>
          <w:p>
            <w:pPr>
              <w:jc w:val="center"/>
              <w:ind w:right="1710"/>
              <w:spacing w:after="0"/>
              <w:rPr>
                <w:sz w:val="20"/>
                <w:szCs w:val="20"/>
                <w:color w:val="auto"/>
              </w:rPr>
            </w:pPr>
            <w:r>
              <w:rPr>
                <w:rFonts w:ascii="Times New Roman" w:cs="Times New Roman" w:eastAsia="Times New Roman" w:hAnsi="Times New Roman"/>
                <w:sz w:val="18"/>
                <w:szCs w:val="18"/>
                <w:color w:val="auto"/>
                <w:w w:val="99"/>
              </w:rPr>
              <w:t>[FORM OF RESTRICTED NOTE]</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24"/>
        </w:trPr>
        <w:tc>
          <w:tcPr>
            <w:tcW w:w="2280" w:type="dxa"/>
            <w:vAlign w:val="bottom"/>
          </w:tcPr>
          <w:p>
            <w:pPr>
              <w:spacing w:after="0"/>
              <w:rPr>
                <w:sz w:val="24"/>
                <w:szCs w:val="24"/>
                <w:color w:val="auto"/>
              </w:rPr>
            </w:pPr>
          </w:p>
        </w:tc>
        <w:tc>
          <w:tcPr>
            <w:tcW w:w="8240" w:type="dxa"/>
            <w:vAlign w:val="bottom"/>
            <w:gridSpan w:val="2"/>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rPr>
              <w:t>CROWN AMERICAS LLC</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24"/>
        </w:trPr>
        <w:tc>
          <w:tcPr>
            <w:tcW w:w="2280" w:type="dxa"/>
            <w:vAlign w:val="bottom"/>
          </w:tcPr>
          <w:p>
            <w:pPr>
              <w:spacing w:after="0"/>
              <w:rPr>
                <w:sz w:val="24"/>
                <w:szCs w:val="24"/>
                <w:color w:val="auto"/>
              </w:rPr>
            </w:pPr>
          </w:p>
        </w:tc>
        <w:tc>
          <w:tcPr>
            <w:tcW w:w="8240" w:type="dxa"/>
            <w:vAlign w:val="bottom"/>
            <w:gridSpan w:val="2"/>
          </w:tcPr>
          <w:p>
            <w:pPr>
              <w:jc w:val="center"/>
              <w:ind w:right="1710"/>
              <w:spacing w:after="0"/>
              <w:rPr>
                <w:sz w:val="20"/>
                <w:szCs w:val="20"/>
                <w:color w:val="auto"/>
              </w:rPr>
            </w:pPr>
            <w:r>
              <w:rPr>
                <w:rFonts w:ascii="Times New Roman" w:cs="Times New Roman" w:eastAsia="Times New Roman" w:hAnsi="Times New Roman"/>
                <w:sz w:val="18"/>
                <w:szCs w:val="18"/>
                <w:color w:val="auto"/>
              </w:rPr>
              <w:t>5.875% SENIOR NOTE DUE 2033</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24"/>
        </w:trPr>
        <w:tc>
          <w:tcPr>
            <w:tcW w:w="2280" w:type="dxa"/>
            <w:vAlign w:val="bottom"/>
          </w:tcPr>
          <w:p>
            <w:pPr>
              <w:spacing w:after="0"/>
              <w:rPr>
                <w:sz w:val="24"/>
                <w:szCs w:val="24"/>
                <w:color w:val="auto"/>
              </w:rPr>
            </w:pPr>
          </w:p>
        </w:tc>
        <w:tc>
          <w:tcPr>
            <w:tcW w:w="8240" w:type="dxa"/>
            <w:vAlign w:val="bottom"/>
            <w:gridSpan w:val="2"/>
          </w:tcPr>
          <w:p>
            <w:pPr>
              <w:jc w:val="center"/>
              <w:ind w:right="1690"/>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b w:val="1"/>
                <w:bCs w:val="1"/>
                <w:i w:val="1"/>
                <w:iCs w:val="1"/>
                <w:color w:val="auto"/>
                <w:w w:val="99"/>
              </w:rPr>
              <w:t>Insert Global Note Legend</w:t>
            </w:r>
            <w:r>
              <w:rPr>
                <w:rFonts w:ascii="Times New Roman" w:cs="Times New Roman" w:eastAsia="Times New Roman" w:hAnsi="Times New Roman"/>
                <w:sz w:val="18"/>
                <w:szCs w:val="18"/>
                <w:b w:val="1"/>
                <w:bCs w:val="1"/>
                <w:color w:val="auto"/>
                <w:w w:val="99"/>
              </w:rPr>
              <w:t xml:space="preserve">, </w:t>
            </w:r>
            <w:r>
              <w:rPr>
                <w:rFonts w:ascii="Times New Roman" w:cs="Times New Roman" w:eastAsia="Times New Roman" w:hAnsi="Times New Roman"/>
                <w:sz w:val="18"/>
                <w:szCs w:val="18"/>
                <w:b w:val="1"/>
                <w:bCs w:val="1"/>
                <w:i w:val="1"/>
                <w:iCs w:val="1"/>
                <w:color w:val="auto"/>
                <w:w w:val="99"/>
              </w:rPr>
              <w:t>if applicable</w:t>
            </w:r>
            <w:r>
              <w:rPr>
                <w:rFonts w:ascii="Times New Roman" w:cs="Times New Roman" w:eastAsia="Times New Roman" w:hAnsi="Times New Roman"/>
                <w:sz w:val="18"/>
                <w:szCs w:val="18"/>
                <w:b w:val="1"/>
                <w:bCs w:val="1"/>
                <w:color w:val="auto"/>
                <w:w w:val="99"/>
              </w:rPr>
              <w:t>]</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24"/>
        </w:trPr>
        <w:tc>
          <w:tcPr>
            <w:tcW w:w="2280" w:type="dxa"/>
            <w:vAlign w:val="bottom"/>
          </w:tcPr>
          <w:p>
            <w:pPr>
              <w:spacing w:after="0"/>
              <w:rPr>
                <w:sz w:val="24"/>
                <w:szCs w:val="24"/>
                <w:color w:val="auto"/>
              </w:rPr>
            </w:pPr>
          </w:p>
        </w:tc>
        <w:tc>
          <w:tcPr>
            <w:tcW w:w="8240" w:type="dxa"/>
            <w:vAlign w:val="bottom"/>
            <w:gridSpan w:val="2"/>
          </w:tcPr>
          <w:p>
            <w:pPr>
              <w:jc w:val="center"/>
              <w:ind w:right="1710"/>
              <w:spacing w:after="0"/>
              <w:rPr>
                <w:sz w:val="20"/>
                <w:szCs w:val="20"/>
                <w:color w:val="auto"/>
              </w:rPr>
            </w:pP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Insert Private Placement Legend</w:t>
            </w:r>
            <w:r>
              <w:rPr>
                <w:rFonts w:ascii="Times New Roman" w:cs="Times New Roman" w:eastAsia="Times New Roman" w:hAnsi="Times New Roman"/>
                <w:sz w:val="18"/>
                <w:szCs w:val="18"/>
                <w:b w:val="1"/>
                <w:bCs w:val="1"/>
                <w:color w:val="auto"/>
              </w:rPr>
              <w:t>]</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41"/>
        </w:trPr>
        <w:tc>
          <w:tcPr>
            <w:tcW w:w="2280" w:type="dxa"/>
            <w:vAlign w:val="bottom"/>
          </w:tcPr>
          <w:p>
            <w:pPr>
              <w:spacing w:after="0"/>
              <w:rPr>
                <w:sz w:val="20"/>
                <w:szCs w:val="20"/>
                <w:color w:val="auto"/>
              </w:rPr>
            </w:pPr>
            <w:r>
              <w:rPr>
                <w:rFonts w:ascii="Times New Roman" w:cs="Times New Roman" w:eastAsia="Times New Roman" w:hAnsi="Times New Roman"/>
                <w:sz w:val="18"/>
                <w:szCs w:val="18"/>
                <w:color w:val="auto"/>
              </w:rPr>
              <w:t>No. [   ]</w:t>
            </w:r>
          </w:p>
        </w:tc>
        <w:tc>
          <w:tcPr>
            <w:tcW w:w="8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CUSIP No. [ 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280" w:type="dxa"/>
            <w:vAlign w:val="bottom"/>
          </w:tcPr>
          <w:p>
            <w:pPr>
              <w:spacing w:after="0"/>
              <w:rPr>
                <w:sz w:val="18"/>
                <w:szCs w:val="18"/>
                <w:color w:val="auto"/>
              </w:rPr>
            </w:pPr>
          </w:p>
        </w:tc>
        <w:tc>
          <w:tcPr>
            <w:tcW w:w="8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ISIN No. [ 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2280" w:type="dxa"/>
            <w:vAlign w:val="bottom"/>
          </w:tcPr>
          <w:p>
            <w:pPr>
              <w:spacing w:after="0"/>
              <w:rPr>
                <w:sz w:val="20"/>
                <w:szCs w:val="20"/>
                <w:color w:val="auto"/>
              </w:rPr>
            </w:pPr>
          </w:p>
        </w:tc>
        <w:tc>
          <w:tcPr>
            <w:tcW w:w="76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right="100" w:firstLine="991"/>
        <w:spacing w:after="0" w:line="266" w:lineRule="auto"/>
        <w:rPr>
          <w:sz w:val="20"/>
          <w:szCs w:val="20"/>
          <w:color w:val="auto"/>
        </w:rPr>
      </w:pPr>
      <w:r>
        <w:rPr>
          <w:rFonts w:ascii="Times New Roman" w:cs="Times New Roman" w:eastAsia="Times New Roman" w:hAnsi="Times New Roman"/>
          <w:sz w:val="18"/>
          <w:szCs w:val="18"/>
          <w:color w:val="auto"/>
        </w:rPr>
        <w:t>Crown Americas LLC, a Pennsylvania limited liability company (“</w:t>
      </w:r>
      <w:r>
        <w:rPr>
          <w:rFonts w:ascii="Times New Roman" w:cs="Times New Roman" w:eastAsia="Times New Roman" w:hAnsi="Times New Roman"/>
          <w:sz w:val="18"/>
          <w:szCs w:val="18"/>
          <w:u w:val="single" w:color="auto"/>
          <w:color w:val="auto"/>
        </w:rPr>
        <w:t>Crown Americas</w:t>
      </w:r>
      <w:r>
        <w:rPr>
          <w:rFonts w:ascii="Times New Roman" w:cs="Times New Roman" w:eastAsia="Times New Roman" w:hAnsi="Times New Roman"/>
          <w:sz w:val="18"/>
          <w:szCs w:val="18"/>
          <w:color w:val="auto"/>
        </w:rPr>
        <w:t>”), as issuer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for value received, promises to pay to [        ] or registered assigns the principal sum of [                  ] (or such other principal amount as shall be set forth in the Schedule of Exchanges of Interests in Global Note attached hereto), on June 1, 2033.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Dates:   June 1 and December 1, commencing December 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 Dates:   May 15 and November 15 (whether or not a Business Day).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Reference is made to the further provisions of this Note contained herein, which will for all purposes have the same effect as if set forth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place.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w:t>
      </w:r>
    </w:p>
    <w:p>
      <w:pPr>
        <w:sectPr>
          <w:pgSz w:w="11900" w:h="16838" w:orient="portrait"/>
          <w:cols w:equalWidth="0" w:num="1">
            <w:col w:w="11020"/>
          </w:cols>
          <w:pgMar w:left="440" w:top="257" w:right="43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Issuer has caused this Note to be signed by two of its duly authorized officers.</w:t>
      </w:r>
    </w:p>
    <w:p>
      <w:pPr>
        <w:spacing w:after="0" w:line="2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CROWN AMERICAS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A-1-2</w:t>
      </w:r>
    </w:p>
    <w:p>
      <w:pPr>
        <w:sectPr>
          <w:pgSz w:w="11900" w:h="16838" w:orient="portrait"/>
          <w:cols w:equalWidth="0" w:num="1">
            <w:col w:w="9039"/>
          </w:cols>
          <w:pgMar w:left="1420" w:top="270" w:right="1440" w:bottom="1440" w:gutter="0" w:footer="0" w:header="0"/>
        </w:sectPr>
      </w:pPr>
    </w:p>
    <w:bookmarkStart w:id="103" w:name="page104"/>
    <w:bookmarkEnd w:id="103"/>
    <w:p>
      <w:pPr>
        <w:ind w:left="4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 of Authentication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is one of the 5.875% Senior Notes due 2033 referred to in the within-mentioned Indenture.</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U.S. BANK TRUST COMPANY NATIONAL</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ASSOCIATION, as 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27, 2025</w:t>
      </w:r>
    </w:p>
    <w:p>
      <w:pPr>
        <w:spacing w:after="0" w:line="15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A-1-3</w:t>
      </w:r>
    </w:p>
    <w:p>
      <w:pPr>
        <w:sectPr>
          <w:pgSz w:w="11900" w:h="16838" w:orient="portrait"/>
          <w:cols w:equalWidth="0" w:num="1">
            <w:col w:w="10019"/>
          </w:cols>
          <w:pgMar w:left="440" w:top="270" w:right="1440" w:bottom="1440" w:gutter="0" w:footer="0" w:header="0"/>
        </w:sectPr>
      </w:pPr>
    </w:p>
    <w:bookmarkStart w:id="104" w:name="page105"/>
    <w:bookmarkEnd w:id="104"/>
    <w:p>
      <w:pPr>
        <w:jc w:val="center"/>
        <w:ind w:right="-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OF REVERSE OF RESTRICTED NOTE]</w:t>
      </w:r>
    </w:p>
    <w:p>
      <w:pPr>
        <w:spacing w:after="0" w:line="11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CROWN AMERICAS LLC</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5.875% SENIOR NOTE DUE 2033</w:t>
      </w:r>
    </w:p>
    <w:p>
      <w:pPr>
        <w:spacing w:after="0" w:line="225" w:lineRule="exact"/>
        <w:rPr>
          <w:sz w:val="20"/>
          <w:szCs w:val="20"/>
          <w:color w:val="auto"/>
        </w:rPr>
      </w:pPr>
    </w:p>
    <w:p>
      <w:pPr>
        <w:ind w:left="4" w:right="40" w:firstLine="987"/>
        <w:spacing w:after="0" w:line="221" w:lineRule="auto"/>
        <w:tabs>
          <w:tab w:leader="none" w:pos="117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Crown Americas LLC, a Pennsylvania limited liability company (“</w:t>
      </w:r>
      <w:r>
        <w:rPr>
          <w:rFonts w:ascii="Times New Roman" w:cs="Times New Roman" w:eastAsia="Times New Roman" w:hAnsi="Times New Roman"/>
          <w:sz w:val="18"/>
          <w:szCs w:val="18"/>
          <w:u w:val="single" w:color="auto"/>
          <w:color w:val="auto"/>
        </w:rPr>
        <w:t>Crown Americas</w:t>
      </w:r>
      <w:r>
        <w:rPr>
          <w:rFonts w:ascii="Times New Roman" w:cs="Times New Roman" w:eastAsia="Times New Roman" w:hAnsi="Times New Roman"/>
          <w:sz w:val="18"/>
          <w:szCs w:val="18"/>
          <w:color w:val="auto"/>
        </w:rPr>
        <w:t>”), as issuer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promises to pay interest on the principal amount set forth on the face hereof at a rate of 5.875% per annum. Interest hereon will accrue from and including the most recent date to which interest has been paid or, if no interest has been paid, from and including May 27, 2025</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8"/>
          <w:szCs w:val="18"/>
          <w:color w:val="auto"/>
        </w:rPr>
        <w:t xml:space="preserve"> to but excluding the date on which interest is paid. Interest shall be payable in arrears on each June 1 and December 1, commencing December 1, 2025</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8"/>
          <w:szCs w:val="18"/>
          <w:color w:val="auto"/>
        </w:rPr>
        <w:t>. Interest will be computed on the basis of a 360-day year of twelve 30-day months and actual days elapsed. The Issuer shall pay interest on overdue principal and on overdue interest (to the full extent permitted by law) at the rate borne by the Notes.</w:t>
      </w:r>
    </w:p>
    <w:p>
      <w:pPr>
        <w:spacing w:after="0" w:line="199" w:lineRule="exact"/>
        <w:rPr>
          <w:rFonts w:ascii="Times New Roman" w:cs="Times New Roman" w:eastAsia="Times New Roman" w:hAnsi="Times New Roman"/>
          <w:sz w:val="18"/>
          <w:szCs w:val="18"/>
          <w:color w:val="auto"/>
        </w:rPr>
      </w:pPr>
    </w:p>
    <w:p>
      <w:pPr>
        <w:jc w:val="both"/>
        <w:ind w:left="4" w:firstLine="987"/>
        <w:spacing w:after="0" w:line="261" w:lineRule="auto"/>
        <w:tabs>
          <w:tab w:leader="none" w:pos="117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Payment</w:t>
      </w:r>
      <w:r>
        <w:rPr>
          <w:rFonts w:ascii="Times New Roman" w:cs="Times New Roman" w:eastAsia="Times New Roman" w:hAnsi="Times New Roman"/>
          <w:sz w:val="18"/>
          <w:szCs w:val="18"/>
          <w:color w:val="auto"/>
        </w:rPr>
        <w:t>. The Issuer will pay interest hereon (except defaulted interest) to the Persons who are registered Holders at the close of business on May 15 or November 15 preceding the Interest Payment Date (whether or not a Business Day). Holders must surrender Notes to a Paying Agent to collect principal payments. The Issuer will pay principal and interest in U.S. Dollars. Interest may be paid by check mailed to the Holder entitled thereto at the address indicated on the register maintained by the Registrar for the Notes.</w:t>
      </w:r>
    </w:p>
    <w:p>
      <w:pPr>
        <w:spacing w:after="0" w:line="179" w:lineRule="exact"/>
        <w:rPr>
          <w:rFonts w:ascii="Times New Roman" w:cs="Times New Roman" w:eastAsia="Times New Roman" w:hAnsi="Times New Roman"/>
          <w:sz w:val="18"/>
          <w:szCs w:val="18"/>
          <w:color w:val="auto"/>
        </w:rPr>
      </w:pPr>
    </w:p>
    <w:p>
      <w:pPr>
        <w:ind w:left="4" w:right="240" w:firstLine="987"/>
        <w:spacing w:after="0" w:line="266" w:lineRule="auto"/>
        <w:tabs>
          <w:tab w:leader="none" w:pos="117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Paying Agent and Registrar</w:t>
      </w:r>
      <w:r>
        <w:rPr>
          <w:rFonts w:ascii="Times New Roman" w:cs="Times New Roman" w:eastAsia="Times New Roman" w:hAnsi="Times New Roman"/>
          <w:sz w:val="18"/>
          <w:szCs w:val="18"/>
          <w:color w:val="auto"/>
        </w:rPr>
        <w:t>. Initially, U.S. Bank Trust Company, National Association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will act as a Paying Agent and Registrar. The Issuer may change any Paying Agent or Registrar without notice. The Issuer or any Affiliate thereof may act as Paying Agent or Registrar.</w:t>
      </w:r>
    </w:p>
    <w:p>
      <w:pPr>
        <w:spacing w:after="0" w:line="175" w:lineRule="exact"/>
        <w:rPr>
          <w:rFonts w:ascii="Times New Roman" w:cs="Times New Roman" w:eastAsia="Times New Roman" w:hAnsi="Times New Roman"/>
          <w:sz w:val="18"/>
          <w:szCs w:val="18"/>
          <w:color w:val="auto"/>
        </w:rPr>
      </w:pPr>
    </w:p>
    <w:p>
      <w:pPr>
        <w:ind w:left="4" w:right="100" w:firstLine="987"/>
        <w:spacing w:after="0" w:line="258" w:lineRule="auto"/>
        <w:tabs>
          <w:tab w:leader="none" w:pos="1175"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The Issuer issued the Notes under an Indenture dated as of May 27, 2025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among the Issuer, the Guarantors and the Trustee. This is one of an issue of Notes of the Issuer issued, or to be issued, under the Indenture. The terms of the Notes include those stated in the Indenture and those made part of the Indenture by reference to the Trust Indenture Act of 1939 (15 U.S. Code §§ 77aaa-77bbbb), as amended from time to time. The Notes are subject to all such terms, and Holders are referred to the Indenture and such Act for a statement of them. Capitalized and certain other terms used herein and not otherwise defined have the meanings set forth in the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85090</wp:posOffset>
            </wp:positionV>
            <wp:extent cx="771525"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60" w:lineRule="exact"/>
        <w:rPr>
          <w:sz w:val="20"/>
          <w:szCs w:val="20"/>
          <w:color w:val="auto"/>
        </w:rPr>
      </w:pPr>
    </w:p>
    <w:p>
      <w:pPr>
        <w:ind w:left="424" w:hanging="424"/>
        <w:spacing w:after="0"/>
        <w:tabs>
          <w:tab w:leader="none" w:pos="424" w:val="left"/>
        </w:tabs>
        <w:numPr>
          <w:ilvl w:val="0"/>
          <w:numId w:val="10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 the case of Notes issued on the Issue Date.</w:t>
      </w:r>
    </w:p>
    <w:p>
      <w:pPr>
        <w:ind w:left="424" w:hanging="424"/>
        <w:spacing w:after="0" w:line="180" w:lineRule="auto"/>
        <w:tabs>
          <w:tab w:leader="none" w:pos="424" w:val="left"/>
        </w:tabs>
        <w:numPr>
          <w:ilvl w:val="0"/>
          <w:numId w:val="10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7"/>
          <w:szCs w:val="17"/>
          <w:color w:val="auto"/>
        </w:rPr>
        <w:t>In the case of Notes issued on the Issue Date.</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A-1-4</w:t>
      </w:r>
    </w:p>
    <w:p>
      <w:pPr>
        <w:sectPr>
          <w:pgSz w:w="11900" w:h="16838" w:orient="portrait"/>
          <w:cols w:equalWidth="0" w:num="1">
            <w:col w:w="11004"/>
          </w:cols>
          <w:pgMar w:left="436" w:top="270" w:right="459" w:bottom="1440" w:gutter="0" w:footer="0" w:header="0"/>
        </w:sectPr>
      </w:pPr>
    </w:p>
    <w:bookmarkStart w:id="105" w:name="page106"/>
    <w:bookmarkEnd w:id="105"/>
    <w:p>
      <w:pPr>
        <w:ind w:left="1164" w:hanging="173"/>
        <w:spacing w:after="0"/>
        <w:tabs>
          <w:tab w:leader="none" w:pos="1164"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Optional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60" w:firstLine="987"/>
        <w:spacing w:after="0" w:line="266" w:lineRule="auto"/>
        <w:tabs>
          <w:tab w:leader="none" w:pos="1240" w:val="left"/>
        </w:tabs>
        <w:numPr>
          <w:ilvl w:val="0"/>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June 1, 2028, the Issuer may redeem the Notes, at its option, in whole at any time or in part from time to time, at the following redemption prices, expressed as percentages of the principal amount thereof, plus accrued and unpaid interest, if any, to but excluding the applicable redemption date, if redeemed during the twelve-month period commencing on June 1 of any year set forth below:</w:t>
      </w:r>
    </w:p>
    <w:p>
      <w:pPr>
        <w:spacing w:after="0" w:line="196" w:lineRule="exact"/>
        <w:rPr>
          <w:sz w:val="20"/>
          <w:szCs w:val="20"/>
          <w:color w:val="auto"/>
        </w:rPr>
      </w:pPr>
    </w:p>
    <w:tbl>
      <w:tblPr>
        <w:tblLayout w:type="fixed"/>
        <w:tblInd w:w="1764" w:type="dxa"/>
        <w:tblCellMar>
          <w:top w:w="0" w:type="dxa"/>
          <w:left w:w="0" w:type="dxa"/>
          <w:bottom w:w="0" w:type="dxa"/>
          <w:right w:w="0" w:type="dxa"/>
        </w:tblCellMar>
      </w:tblPr>
      <w:tr>
        <w:trPr>
          <w:trHeight w:val="173"/>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630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20"/>
        </w:trPr>
        <w:tc>
          <w:tcPr>
            <w:tcW w:w="66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00" w:type="dxa"/>
            <w:vAlign w:val="bottom"/>
            <w:gridSpan w:val="2"/>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102.938%</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2029</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101.469%</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 and thereafter</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 w:right="80" w:firstLine="987"/>
        <w:spacing w:after="0" w:line="258" w:lineRule="auto"/>
        <w:tabs>
          <w:tab w:leader="none" w:pos="1250" w:val="left"/>
        </w:tabs>
        <w:numPr>
          <w:ilvl w:val="1"/>
          <w:numId w:val="1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prior to June 1, 2028, the Issuer may redeem the Notes, at its option, in whole at any time or in part from time to time, at a redemption price equal to 100% of the principal amount thereof,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if any, to but excluding the applicable Make-Whole Redemption Date,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Make-Whole Premium (a “</w:t>
      </w:r>
      <w:r>
        <w:rPr>
          <w:rFonts w:ascii="Times New Roman" w:cs="Times New Roman" w:eastAsia="Times New Roman" w:hAnsi="Times New Roman"/>
          <w:sz w:val="18"/>
          <w:szCs w:val="18"/>
          <w:u w:val="single" w:color="auto"/>
          <w:color w:val="auto"/>
        </w:rPr>
        <w:t>Make-Whole Redemption</w:t>
      </w:r>
      <w:r>
        <w:rPr>
          <w:rFonts w:ascii="Times New Roman" w:cs="Times New Roman" w:eastAsia="Times New Roman" w:hAnsi="Times New Roman"/>
          <w:sz w:val="18"/>
          <w:szCs w:val="18"/>
          <w:color w:val="auto"/>
        </w:rPr>
        <w:t>”). The Issuer shall notify the Trustee of the Make-Whole Premium by delivering to the Trustee, on or before the applicable Make-Whole Redemption Date, an Officer’s Certificate showing the calculation thereof in reasonable detail, and the Trustee shall have no responsibility for verifying or otherwise for such calculation.</w:t>
      </w:r>
    </w:p>
    <w:p>
      <w:pPr>
        <w:spacing w:after="0" w:line="183" w:lineRule="exact"/>
        <w:rPr>
          <w:rFonts w:ascii="Times New Roman" w:cs="Times New Roman" w:eastAsia="Times New Roman" w:hAnsi="Times New Roman"/>
          <w:sz w:val="18"/>
          <w:szCs w:val="18"/>
          <w:color w:val="auto"/>
        </w:rPr>
      </w:pPr>
    </w:p>
    <w:p>
      <w:pPr>
        <w:ind w:left="4" w:right="40" w:firstLine="987"/>
        <w:spacing w:after="0" w:line="268" w:lineRule="auto"/>
        <w:tabs>
          <w:tab w:leader="none" w:pos="1240" w:val="left"/>
        </w:tabs>
        <w:numPr>
          <w:ilvl w:val="1"/>
          <w:numId w:val="1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the foregoing, on or prior to June 1, 2028, the Issuer, on one or more occasions, may, at its option, redeem up to 40% in aggregate principal amount of Notes (including Additional Notes) originally issued under the Indenture at a redemption price equal to 105.875% of their principal amount, plus accrued and unpaid interest, if any, to but excluding the applicable redemption date, with the net cash proceeds of one or more Equity Offerings by Parent to the extent that the net cash proceeds thereof are contributed to the common equity capital of Crown Americas or are used to subscribe from Crown Americas’ shares of its Qualified Capital Stock;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(1) at least 60% in aggregate principal amount of the Notes (including Additional Notes) originally issued under the Indenture remain outstanding immediately after the occurrence of each such redemption and</w:t>
      </w:r>
    </w:p>
    <w:p>
      <w:pPr>
        <w:spacing w:after="0" w:line="4"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redemption occurs within 90 days of the date of the closing of any such Equity Offering.</w:t>
      </w:r>
    </w:p>
    <w:p>
      <w:pPr>
        <w:spacing w:after="0" w:line="206" w:lineRule="exact"/>
        <w:rPr>
          <w:rFonts w:ascii="Times New Roman" w:cs="Times New Roman" w:eastAsia="Times New Roman" w:hAnsi="Times New Roman"/>
          <w:sz w:val="18"/>
          <w:szCs w:val="18"/>
          <w:color w:val="auto"/>
        </w:rPr>
      </w:pPr>
    </w:p>
    <w:p>
      <w:pPr>
        <w:ind w:left="4" w:right="220" w:firstLine="987"/>
        <w:spacing w:after="0" w:line="266" w:lineRule="auto"/>
        <w:tabs>
          <w:tab w:leader="none" w:pos="125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Issuer may acquire Notes by means other than a redemption, whether by tender offer, open market purchases, negotiated transactions or otherwise, in accordance with applicable securities laws, so long as such acquisition does not otherwise violate the terms of the Indenture.</w:t>
      </w:r>
    </w:p>
    <w:p>
      <w:pPr>
        <w:spacing w:after="0" w:line="176" w:lineRule="exact"/>
        <w:rPr>
          <w:sz w:val="20"/>
          <w:szCs w:val="20"/>
          <w:color w:val="auto"/>
        </w:rPr>
      </w:pPr>
    </w:p>
    <w:p>
      <w:pPr>
        <w:ind w:left="4" w:firstLine="987"/>
        <w:spacing w:after="0" w:line="261" w:lineRule="auto"/>
        <w:tabs>
          <w:tab w:leader="none" w:pos="1175"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Redemption</w:t>
      </w:r>
      <w:r>
        <w:rPr>
          <w:rFonts w:ascii="Times New Roman" w:cs="Times New Roman" w:eastAsia="Times New Roman" w:hAnsi="Times New Roman"/>
          <w:sz w:val="18"/>
          <w:szCs w:val="18"/>
          <w:color w:val="auto"/>
        </w:rPr>
        <w:t>. Notices of redemption shall be mailed by first class mail or sent electronically at least 30 but not more than 60 days before the Redemption Date to each Holder of Notes to be redeemed at its registered address. If any Note is to be redeemed in part only, the notice of redemption that relates to such Note shall state the portion of the principal amount thereof to be redeemed. Any redemption and notice thereof may, in the Issuer’s discretion, be subject to the satisfaction of one or more conditions precedent described in the notice relating to such redemption.</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A-1-5</w:t>
      </w:r>
    </w:p>
    <w:p>
      <w:pPr>
        <w:sectPr>
          <w:pgSz w:w="11900" w:h="16838" w:orient="portrait"/>
          <w:cols w:equalWidth="0" w:num="1">
            <w:col w:w="11004"/>
          </w:cols>
          <w:pgMar w:left="436" w:top="270" w:right="459" w:bottom="1440" w:gutter="0" w:footer="0" w:header="0"/>
        </w:sectPr>
      </w:pPr>
    </w:p>
    <w:bookmarkStart w:id="106" w:name="page107"/>
    <w:bookmarkEnd w:id="106"/>
    <w:p>
      <w:pPr>
        <w:ind w:left="1160" w:hanging="173"/>
        <w:spacing w:after="0"/>
        <w:tabs>
          <w:tab w:leader="none" w:pos="11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80" w:firstLine="987"/>
        <w:spacing w:after="0" w:line="312" w:lineRule="auto"/>
        <w:tabs>
          <w:tab w:leader="none" w:pos="1171" w:val="left"/>
        </w:tabs>
        <w:numPr>
          <w:ilvl w:val="0"/>
          <w:numId w:val="1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Offers To Purchase</w:t>
      </w:r>
      <w:r>
        <w:rPr>
          <w:rFonts w:ascii="Times New Roman" w:cs="Times New Roman" w:eastAsia="Times New Roman" w:hAnsi="Times New Roman"/>
          <w:sz w:val="17"/>
          <w:szCs w:val="17"/>
          <w:color w:val="auto"/>
        </w:rPr>
        <w:t>. The Indenture provides that upon the occurrence of a Change of Control Repurchase Event and subject to further limitations contained therein, the Issuer shall make an offer to purchase outstanding Notes in accordance with the procedures set forth in the Indenture.</w:t>
      </w:r>
    </w:p>
    <w:p>
      <w:pPr>
        <w:spacing w:after="0" w:line="139" w:lineRule="exact"/>
        <w:rPr>
          <w:rFonts w:ascii="Times New Roman" w:cs="Times New Roman" w:eastAsia="Times New Roman" w:hAnsi="Times New Roman"/>
          <w:sz w:val="17"/>
          <w:szCs w:val="17"/>
          <w:color w:val="auto"/>
        </w:rPr>
      </w:pPr>
    </w:p>
    <w:p>
      <w:pPr>
        <w:ind w:left="1160" w:hanging="173"/>
        <w:spacing w:after="0"/>
        <w:tabs>
          <w:tab w:leader="none" w:pos="1160"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Rights Agreement</w:t>
      </w:r>
      <w:r>
        <w:rPr>
          <w:rFonts w:ascii="Times New Roman" w:cs="Times New Roman" w:eastAsia="Times New Roman" w:hAnsi="Times New Roman"/>
          <w:sz w:val="18"/>
          <w:szCs w:val="18"/>
          <w:color w:val="auto"/>
        </w:rPr>
        <w:t>. The Holder of this Note is entitled to the benefits of the Registration Rights Agreement.</w:t>
      </w:r>
    </w:p>
    <w:p>
      <w:pPr>
        <w:spacing w:after="0" w:line="225" w:lineRule="exact"/>
        <w:rPr>
          <w:sz w:val="20"/>
          <w:szCs w:val="20"/>
          <w:color w:val="auto"/>
        </w:rPr>
      </w:pPr>
    </w:p>
    <w:p>
      <w:pPr>
        <w:ind w:right="300" w:firstLine="991"/>
        <w:spacing w:after="0" w:line="282" w:lineRule="auto"/>
        <w:rPr>
          <w:sz w:val="20"/>
          <w:szCs w:val="20"/>
          <w:color w:val="auto"/>
        </w:rPr>
      </w:pPr>
      <w:r>
        <w:rPr>
          <w:rFonts w:ascii="Times New Roman" w:cs="Times New Roman" w:eastAsia="Times New Roman" w:hAnsi="Times New Roman"/>
          <w:sz w:val="18"/>
          <w:szCs w:val="18"/>
          <w:color w:val="auto"/>
        </w:rPr>
        <w:t>The Holders shall be entitled under the Registration Rights Agreement to receive Additional Interest hereon upon other conditions, all pursuant to and in accordance with the terms of the Registration Rights Agreement.</w:t>
      </w:r>
    </w:p>
    <w:p>
      <w:pPr>
        <w:spacing w:after="0" w:line="162" w:lineRule="exact"/>
        <w:rPr>
          <w:sz w:val="20"/>
          <w:szCs w:val="20"/>
          <w:color w:val="auto"/>
        </w:rPr>
      </w:pPr>
    </w:p>
    <w:p>
      <w:pPr>
        <w:ind w:right="80" w:firstLine="987"/>
        <w:spacing w:after="0" w:line="256" w:lineRule="auto"/>
        <w:tabs>
          <w:tab w:leader="none" w:pos="1261"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Denominations, Transfer, Exchange</w:t>
      </w:r>
      <w:r>
        <w:rPr>
          <w:rFonts w:ascii="Times New Roman" w:cs="Times New Roman" w:eastAsia="Times New Roman" w:hAnsi="Times New Roman"/>
          <w:sz w:val="18"/>
          <w:szCs w:val="18"/>
          <w:color w:val="auto"/>
        </w:rPr>
        <w:t>. The Notes are in registered form without coupons in denominations of $2,000 and any integral multiple of $1,000 in excess thereof. A Holder may transfer or exchange Notes in accordance with the Indenture. The Registrar may require a Holder, among other things, to furnish appropriate endorsements and transfer documents and to pay to it any taxes and fees required by law or permitted by the Indenture. The Registrar need not register the transfer of or exchange any Notes or portion of a Note selected for redemption, or register the transfer of or exchange any Notes for a period of 15 days before a mailing of notice of redemption or of any Note selected, called or being called for redemption except the unredeemed portion of any Note being redeemed in part.</w:t>
      </w:r>
    </w:p>
    <w:p>
      <w:pPr>
        <w:spacing w:after="0" w:line="187"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Deemed Owners</w:t>
      </w:r>
      <w:r>
        <w:rPr>
          <w:rFonts w:ascii="Times New Roman" w:cs="Times New Roman" w:eastAsia="Times New Roman" w:hAnsi="Times New Roman"/>
          <w:sz w:val="18"/>
          <w:szCs w:val="18"/>
          <w:color w:val="auto"/>
        </w:rPr>
        <w:t>. The registered Holder of this Note may be treated as the owner of this Note for all purposes.</w:t>
      </w:r>
    </w:p>
    <w:p>
      <w:pPr>
        <w:spacing w:after="0" w:line="225" w:lineRule="exact"/>
        <w:rPr>
          <w:rFonts w:ascii="Times New Roman" w:cs="Times New Roman" w:eastAsia="Times New Roman" w:hAnsi="Times New Roman"/>
          <w:sz w:val="18"/>
          <w:szCs w:val="18"/>
          <w:color w:val="auto"/>
        </w:rPr>
      </w:pPr>
    </w:p>
    <w:p>
      <w:pPr>
        <w:ind w:right="40" w:firstLine="987"/>
        <w:spacing w:after="0" w:line="266" w:lineRule="auto"/>
        <w:tabs>
          <w:tab w:leader="none" w:pos="1261"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Unclaimed Money</w:t>
      </w:r>
      <w:r>
        <w:rPr>
          <w:rFonts w:ascii="Times New Roman" w:cs="Times New Roman" w:eastAsia="Times New Roman" w:hAnsi="Times New Roman"/>
          <w:sz w:val="18"/>
          <w:szCs w:val="18"/>
          <w:color w:val="auto"/>
        </w:rPr>
        <w:t>. If money for the payment of principal or interest remains unclaimed for two years, the Trustee will pay the money back to the Issuer at its written request. After that, Holders entitled to the money must look to the Issuer and the Guarantors for payment as general creditors unless an “abandoned property” law designates another Person.</w:t>
      </w:r>
    </w:p>
    <w:p>
      <w:pPr>
        <w:spacing w:after="0" w:line="175" w:lineRule="exact"/>
        <w:rPr>
          <w:rFonts w:ascii="Times New Roman" w:cs="Times New Roman" w:eastAsia="Times New Roman" w:hAnsi="Times New Roman"/>
          <w:sz w:val="18"/>
          <w:szCs w:val="18"/>
          <w:color w:val="auto"/>
        </w:rPr>
      </w:pPr>
    </w:p>
    <w:p>
      <w:pPr>
        <w:ind w:firstLine="987"/>
        <w:spacing w:after="0" w:line="255" w:lineRule="auto"/>
        <w:tabs>
          <w:tab w:leader="none" w:pos="1261"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Supplement, Waiver, Etc</w:t>
      </w:r>
      <w:r>
        <w:rPr>
          <w:rFonts w:ascii="Times New Roman" w:cs="Times New Roman" w:eastAsia="Times New Roman" w:hAnsi="Times New Roman"/>
          <w:sz w:val="18"/>
          <w:szCs w:val="18"/>
          <w:color w:val="auto"/>
        </w:rPr>
        <w:t>. The Issuer and the Trustee may, without the consent of the Holders of any outstanding Notes, amend, waive or supplement the Indenture or the Notes for certain specified purposes, including, among other things, curing ambiguities, defects or inconsistencies, maintaining the qualification of the Indenture under the TIA, providing for the assumption by a successor to the Issuer of its obligations to the Holders and making any change that does not adversely affect the rights of any Holder in any material respect. Other amendments and modifications of the Indenture or the Notes may be made by the Issuer and the Trustee with the consent of the Holders of at least a majority of the aggregate principal amount of the outstanding Notes, subject to certain exceptions requiring the consent of the Holders of the particular Notes to be affected.</w:t>
      </w:r>
    </w:p>
    <w:p>
      <w:pPr>
        <w:spacing w:after="0" w:line="1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A-1-6</w:t>
      </w:r>
    </w:p>
    <w:p>
      <w:pPr>
        <w:sectPr>
          <w:pgSz w:w="11900" w:h="16838" w:orient="portrait"/>
          <w:cols w:equalWidth="0" w:num="1">
            <w:col w:w="10940"/>
          </w:cols>
          <w:pgMar w:left="440" w:top="270" w:right="519" w:bottom="1440" w:gutter="0" w:footer="0" w:header="0"/>
        </w:sectPr>
      </w:pPr>
    </w:p>
    <w:bookmarkStart w:id="107" w:name="page108"/>
    <w:bookmarkEnd w:id="107"/>
    <w:p>
      <w:pPr>
        <w:ind w:right="120" w:firstLine="987"/>
        <w:spacing w:after="0" w:line="258" w:lineRule="auto"/>
        <w:tabs>
          <w:tab w:leader="none" w:pos="126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Restrictive Covenants</w:t>
      </w:r>
      <w:r>
        <w:rPr>
          <w:rFonts w:ascii="Times New Roman" w:cs="Times New Roman" w:eastAsia="Times New Roman" w:hAnsi="Times New Roman"/>
          <w:sz w:val="18"/>
          <w:szCs w:val="18"/>
          <w:color w:val="auto"/>
        </w:rPr>
        <w:t>. The Indenture imposes certain limitations on the ability of Parent and its Restricted Subsidiaries to, among other things, create Liens, enter into Sale and Leaseback Transactions or consolidate, merge or sell all or substantially all of the assets of Parent and its Restricted Subsidiaries and requires the Issuer to provide reports to Holders of the Notes. Such limitations are subject to a number of important qualifications and exceptions. Pursuant to Section 4.06 of the Indenture, the Issuer must annually report to the Trustee on compliance with such limitations.</w:t>
      </w:r>
    </w:p>
    <w:p>
      <w:pPr>
        <w:spacing w:after="0" w:line="183" w:lineRule="exact"/>
        <w:rPr>
          <w:rFonts w:ascii="Times New Roman" w:cs="Times New Roman" w:eastAsia="Times New Roman" w:hAnsi="Times New Roman"/>
          <w:sz w:val="18"/>
          <w:szCs w:val="18"/>
          <w:color w:val="auto"/>
        </w:rPr>
      </w:pPr>
    </w:p>
    <w:p>
      <w:pPr>
        <w:ind w:right="40" w:firstLine="987"/>
        <w:spacing w:after="0" w:line="266" w:lineRule="auto"/>
        <w:tabs>
          <w:tab w:leader="none" w:pos="126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 Corporation</w:t>
      </w:r>
      <w:r>
        <w:rPr>
          <w:rFonts w:ascii="Times New Roman" w:cs="Times New Roman" w:eastAsia="Times New Roman" w:hAnsi="Times New Roman"/>
          <w:sz w:val="18"/>
          <w:szCs w:val="18"/>
          <w:color w:val="auto"/>
        </w:rPr>
        <w:t>. When a successor corporation assumes all the obligations of its predecessor under the Notes and the Indenture and the transaction complies with the terms of Article Five of the Indenture, the predecessor corporation will, except as provided in Article Five, be released from those obligations.</w:t>
      </w:r>
    </w:p>
    <w:p>
      <w:pPr>
        <w:spacing w:after="0" w:line="175" w:lineRule="exact"/>
        <w:rPr>
          <w:rFonts w:ascii="Times New Roman" w:cs="Times New Roman" w:eastAsia="Times New Roman" w:hAnsi="Times New Roman"/>
          <w:sz w:val="18"/>
          <w:szCs w:val="18"/>
          <w:color w:val="auto"/>
        </w:rPr>
      </w:pPr>
    </w:p>
    <w:p>
      <w:pPr>
        <w:ind w:firstLine="987"/>
        <w:spacing w:after="0" w:line="254" w:lineRule="auto"/>
        <w:tabs>
          <w:tab w:leader="none" w:pos="1261"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Defaults and Remedies</w:t>
      </w:r>
      <w:r>
        <w:rPr>
          <w:rFonts w:ascii="Times New Roman" w:cs="Times New Roman" w:eastAsia="Times New Roman" w:hAnsi="Times New Roman"/>
          <w:sz w:val="18"/>
          <w:szCs w:val="18"/>
          <w:color w:val="auto"/>
        </w:rPr>
        <w:t xml:space="preserve">. Events of Default are set forth in the Indenture. If an Event of Default occurs and is continuing under the Indenture, either the Trustee, by notice in writing to the Issuer, or the Holders of at least 25% in aggregate principal amount of the Notes then outstanding, by notice in writing to the Issuer and the Trustee specifying the respective Event of Default and that it is a “notice of acceleration”, may declare the principal of and premium, if any, and accrued interest, if any, on the Notes to be due and payable, and upon such declaration of acceleration, such principal of and premium, if any, and accrued interest, if any, shall be immediately due and payable;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notwithstanding the foregoing, if an Event of Default specified in Section 6.01(7) occurs with respect to Parent or the Issuer, the principal of and premium, if any, and accrued interest, if any, on the Notes then outstanding shall become and be immediately due and payable without any declaration or other act on the part of the Trustee or any Holder.</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Notwithstanding the foregoing, if after such acceleration but before a judgment or decree based on such acceleration is obtained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the Holders of a majority in aggregate principal amount of outstanding Notes may rescind and annul such acceleration if:</w:t>
      </w:r>
    </w:p>
    <w:p>
      <w:pPr>
        <w:spacing w:after="0" w:line="99" w:lineRule="exact"/>
        <w:rPr>
          <w:sz w:val="20"/>
          <w:szCs w:val="20"/>
          <w:color w:val="auto"/>
        </w:rPr>
      </w:pPr>
    </w:p>
    <w:p>
      <w:pPr>
        <w:ind w:left="440" w:right="620" w:firstLine="419"/>
        <w:spacing w:after="0" w:line="282" w:lineRule="auto"/>
        <w:tabs>
          <w:tab w:leader="none" w:pos="111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other than nonpayment of principal, premium, if any, or interest that has become due solely because of the acceleration, have been cured or waived;</w:t>
      </w:r>
    </w:p>
    <w:p>
      <w:pPr>
        <w:spacing w:after="0" w:line="53"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1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payment of such interest is lawful, interest on overdue installments of interest and overdue principal, which has become due otherwise than by such declaration of acceleration, has been paid;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paid the Trustee its reasonable compensation and reimbursed the Trustee for its expenses, disbursements and advances;</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98" w:lineRule="exact"/>
        <w:rPr>
          <w:rFonts w:ascii="Times New Roman" w:cs="Times New Roman" w:eastAsia="Times New Roman" w:hAnsi="Times New Roman"/>
          <w:sz w:val="18"/>
          <w:szCs w:val="18"/>
          <w:color w:val="auto"/>
        </w:rPr>
      </w:pPr>
    </w:p>
    <w:p>
      <w:pPr>
        <w:ind w:left="440" w:right="400" w:firstLine="419"/>
        <w:spacing w:after="0" w:line="282" w:lineRule="auto"/>
        <w:tabs>
          <w:tab w:leader="none" w:pos="1118"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cure or waiver of an Event of Default of the type described in Section 6.01(7), the Trustee shall have received an Officers’ Certificate and an Opinion of Counsel that such Event of Default has been cured or waived.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such rescission shall affect any subsequent Default or impair any right consequent thereto.</w:t>
      </w:r>
    </w:p>
    <w:p>
      <w:pPr>
        <w:spacing w:after="0" w:line="15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A-1-7</w:t>
      </w:r>
    </w:p>
    <w:p>
      <w:pPr>
        <w:sectPr>
          <w:pgSz w:w="11900" w:h="16838" w:orient="portrait"/>
          <w:cols w:equalWidth="0" w:num="1">
            <w:col w:w="10960"/>
          </w:cols>
          <w:pgMar w:left="440" w:top="270" w:right="499" w:bottom="1440" w:gutter="0" w:footer="0" w:header="0"/>
        </w:sectPr>
      </w:pPr>
    </w:p>
    <w:bookmarkStart w:id="108" w:name="page109"/>
    <w:bookmarkEnd w:id="108"/>
    <w:p>
      <w:pPr>
        <w:ind w:firstLine="991"/>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Holders may not enforce the Indenture or the Notes except as provided in the Indenture. The Trustee may require indemnity satisfactory to it before it enforces the Indenture or the Notes. Subject to certain limitations, Holders of a majority in principal amount of the then outstanding Notes may direct the Trustee in its exercise of any trust or power. The Trustee may withhold from Holders notice of any continuing Default or Event of Default (except a Default or Event of Default relating to the payment of principal of or interest on the Notes) if it determines that withholding notice is in their best interests.</w:t>
      </w:r>
    </w:p>
    <w:p>
      <w:pPr>
        <w:spacing w:after="0" w:line="183" w:lineRule="exact"/>
        <w:rPr>
          <w:sz w:val="20"/>
          <w:szCs w:val="20"/>
          <w:color w:val="auto"/>
        </w:rPr>
      </w:pPr>
    </w:p>
    <w:p>
      <w:pPr>
        <w:ind w:right="380" w:firstLine="987"/>
        <w:spacing w:after="0" w:line="282" w:lineRule="auto"/>
        <w:tabs>
          <w:tab w:leader="none" w:pos="126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Trustee Dealings with the Issuer</w:t>
      </w:r>
      <w:r>
        <w:rPr>
          <w:rFonts w:ascii="Times New Roman" w:cs="Times New Roman" w:eastAsia="Times New Roman" w:hAnsi="Times New Roman"/>
          <w:sz w:val="18"/>
          <w:szCs w:val="18"/>
          <w:color w:val="auto"/>
        </w:rPr>
        <w:t>. The Trustee, in its individual or any other capacity, may make loans to, accept deposits from and perform services for the Issuer or its Affiliates, and may otherwise deal with the Issuer or its Affiliates, as if it were not Trustee.</w:t>
      </w:r>
    </w:p>
    <w:p>
      <w:pPr>
        <w:spacing w:after="0" w:line="161" w:lineRule="exact"/>
        <w:rPr>
          <w:rFonts w:ascii="Times New Roman" w:cs="Times New Roman" w:eastAsia="Times New Roman" w:hAnsi="Times New Roman"/>
          <w:sz w:val="18"/>
          <w:szCs w:val="18"/>
          <w:color w:val="auto"/>
        </w:rPr>
      </w:pPr>
    </w:p>
    <w:p>
      <w:pPr>
        <w:ind w:right="140" w:firstLine="987"/>
        <w:spacing w:after="0" w:line="261" w:lineRule="auto"/>
        <w:tabs>
          <w:tab w:leader="none" w:pos="126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Recourse Against Others</w:t>
      </w:r>
      <w:r>
        <w:rPr>
          <w:rFonts w:ascii="Times New Roman" w:cs="Times New Roman" w:eastAsia="Times New Roman" w:hAnsi="Times New Roman"/>
          <w:sz w:val="18"/>
          <w:szCs w:val="18"/>
          <w:color w:val="auto"/>
        </w:rPr>
        <w:t>. No director, officer, employee, incorporator or holder of Capital Stock of Parent or of any Restricted Subsidiary, as such, shall have any liability for any obligations of the Issuer or the Guarantors under the Notes, the Indenture or the Note Guarantees or for any claim based on, in respect of, or by reason of, such obligations or their creation. Each Holder of Notes by accepting a Note waives and releases all such liability.</w:t>
      </w:r>
    </w:p>
    <w:p>
      <w:pPr>
        <w:spacing w:after="0" w:line="179" w:lineRule="exact"/>
        <w:rPr>
          <w:rFonts w:ascii="Times New Roman" w:cs="Times New Roman" w:eastAsia="Times New Roman" w:hAnsi="Times New Roman"/>
          <w:sz w:val="18"/>
          <w:szCs w:val="18"/>
          <w:color w:val="auto"/>
        </w:rPr>
      </w:pPr>
    </w:p>
    <w:p>
      <w:pPr>
        <w:ind w:right="60" w:firstLine="987"/>
        <w:spacing w:after="0" w:line="261" w:lineRule="auto"/>
        <w:tabs>
          <w:tab w:leader="none" w:pos="126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Discharge</w:t>
      </w:r>
      <w:r>
        <w:rPr>
          <w:rFonts w:ascii="Times New Roman" w:cs="Times New Roman" w:eastAsia="Times New Roman" w:hAnsi="Times New Roman"/>
          <w:sz w:val="18"/>
          <w:szCs w:val="18"/>
          <w:color w:val="auto"/>
        </w:rPr>
        <w:t>. The Issuer’s obligations pursuant to the Indenture will be discharged, except for obligations pursuant to certain sections thereof, subject to the terms of the Indenture, upon the payment of all the Notes or upon the irrevocable deposit with the Trustee of cash in U.S. Dollars, U.S. Government Obligations or a combination thereof, in such amounts as will be sufficient to pay when due principal of and interest on the Notes to maturity or redemption, as the case may be.</w:t>
      </w:r>
    </w:p>
    <w:p>
      <w:pPr>
        <w:spacing w:after="0" w:line="179" w:lineRule="exact"/>
        <w:rPr>
          <w:rFonts w:ascii="Times New Roman" w:cs="Times New Roman" w:eastAsia="Times New Roman" w:hAnsi="Times New Roman"/>
          <w:sz w:val="18"/>
          <w:szCs w:val="18"/>
          <w:color w:val="auto"/>
        </w:rPr>
      </w:pPr>
    </w:p>
    <w:p>
      <w:pPr>
        <w:jc w:val="both"/>
        <w:ind w:right="40" w:firstLine="987"/>
        <w:spacing w:after="0" w:line="266" w:lineRule="auto"/>
        <w:tabs>
          <w:tab w:leader="none" w:pos="126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Guarantees</w:t>
      </w:r>
      <w:r>
        <w:rPr>
          <w:rFonts w:ascii="Times New Roman" w:cs="Times New Roman" w:eastAsia="Times New Roman" w:hAnsi="Times New Roman"/>
          <w:sz w:val="18"/>
          <w:szCs w:val="18"/>
          <w:color w:val="auto"/>
        </w:rPr>
        <w:t>. From and after the Issue Date, the Notes will be entitled to the benefits of certain Note Guarantees made for the benefit of the Holders. Reference is hereby made to the Indenture for a statement of the respective rights, limitations of rights, duties and obligations thereunder of the Guarantors, the Trustee and the Holders.</w:t>
      </w:r>
    </w:p>
    <w:p>
      <w:pPr>
        <w:spacing w:after="0" w:line="175"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Authentication</w:t>
      </w:r>
      <w:r>
        <w:rPr>
          <w:rFonts w:ascii="Times New Roman" w:cs="Times New Roman" w:eastAsia="Times New Roman" w:hAnsi="Times New Roman"/>
          <w:sz w:val="18"/>
          <w:szCs w:val="18"/>
          <w:color w:val="auto"/>
        </w:rPr>
        <w:t>. This Note shall not be valid until the Trustee signs the certificate of authentication on the other side of this Note.</w:t>
      </w:r>
    </w:p>
    <w:p>
      <w:pPr>
        <w:spacing w:after="0" w:line="225" w:lineRule="exact"/>
        <w:rPr>
          <w:rFonts w:ascii="Times New Roman" w:cs="Times New Roman" w:eastAsia="Times New Roman" w:hAnsi="Times New Roman"/>
          <w:sz w:val="18"/>
          <w:szCs w:val="18"/>
          <w:color w:val="auto"/>
        </w:rPr>
      </w:pPr>
    </w:p>
    <w:p>
      <w:pPr>
        <w:ind w:right="80" w:firstLine="987"/>
        <w:spacing w:after="0" w:line="266" w:lineRule="auto"/>
        <w:tabs>
          <w:tab w:leader="none" w:pos="126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NOTE SHALL BE GOVERNED BY AND CONSTRUED IN ACCORDANCE WITH THE LAWS OF THE STATE OF NEW YORK, BUT WITHOUT GIVING EFFECT TO APPLICABLE PRINCIPLES OF CONFLICTS OF LAW TO THE EXTENT THAT THE APPLICATION OF THE LAW OF ANOTHER JURISDICTION WOULD BE REQUIRED THEREBY.</w:t>
      </w:r>
    </w:p>
    <w:p>
      <w:pPr>
        <w:spacing w:after="0" w:line="175" w:lineRule="exact"/>
        <w:rPr>
          <w:rFonts w:ascii="Times New Roman" w:cs="Times New Roman" w:eastAsia="Times New Roman" w:hAnsi="Times New Roman"/>
          <w:sz w:val="18"/>
          <w:szCs w:val="18"/>
          <w:color w:val="auto"/>
        </w:rPr>
      </w:pPr>
    </w:p>
    <w:p>
      <w:pPr>
        <w:ind w:right="620" w:firstLine="987"/>
        <w:spacing w:after="0" w:line="266" w:lineRule="auto"/>
        <w:tabs>
          <w:tab w:leader="none" w:pos="1261" w:val="left"/>
        </w:tabs>
        <w:numPr>
          <w:ilvl w:val="0"/>
          <w:numId w:val="1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Abbreviations. Customary abbreviations may be used in the name of a Holder or an assignee, such as: TEN COM (= tenants in common), TENANT (= tenants by the entireties), JT TEN (= joint tenants with right of survivorship and not as tenants in common), CUST (= Custodian), and U/G/M/A (= Uniform Gifts to Minors Act).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A-1-8</w:t>
      </w:r>
    </w:p>
    <w:p>
      <w:pPr>
        <w:sectPr>
          <w:pgSz w:w="11900" w:h="16838" w:orient="portrait"/>
          <w:cols w:equalWidth="0" w:num="1">
            <w:col w:w="11000"/>
          </w:cols>
          <w:pgMar w:left="440" w:top="270" w:right="4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Issuer will furnish to any Holder upon written request and without charge a copy of the Indenture. Requests may be made to:</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Crown Americas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Crown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14025 Riveredge Drive, 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Tampa, FL 33637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w:t>
      </w:r>
    </w:p>
    <w:p>
      <w:pPr>
        <w:spacing w:after="0" w:line="139"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8"/>
          <w:szCs w:val="18"/>
          <w:color w:val="auto"/>
        </w:rPr>
        <w:t>A-1-9</w:t>
      </w:r>
    </w:p>
    <w:p>
      <w:pPr>
        <w:sectPr>
          <w:pgSz w:w="11900" w:h="16838" w:orient="portrait"/>
          <w:cols w:equalWidth="0" w:num="1">
            <w:col w:w="9320"/>
          </w:cols>
          <w:pgMar w:left="1420" w:top="270" w:right="1159" w:bottom="1440" w:gutter="0" w:footer="0" w:header="0"/>
        </w:sectPr>
      </w:pPr>
    </w:p>
    <w:bookmarkStart w:id="110" w:name="page111"/>
    <w:bookmarkEnd w:id="110"/>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(Insert assignee’s social security or tax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(Print or type name, address and zip code of assignee)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irrevocably appoint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-7620</wp:posOffset>
            </wp:positionV>
            <wp:extent cx="445643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45643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to transfer this Note on the books of the Issuer. The Agent may substitute another to act for him.</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Date:                    </w:t>
            </w:r>
          </w:p>
        </w:tc>
        <w:tc>
          <w:tcPr>
            <w:tcW w:w="3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 xml:space="preserve">    </w:t>
            </w:r>
          </w:p>
        </w:tc>
        <w:tc>
          <w:tcPr>
            <w:tcW w:w="5920" w:type="dxa"/>
            <w:vAlign w:val="bottom"/>
            <w:gridSpan w:val="2"/>
          </w:tcPr>
          <w:p>
            <w:pPr>
              <w:ind w:left="720"/>
              <w:spacing w:after="0"/>
              <w:rPr>
                <w:sz w:val="20"/>
                <w:szCs w:val="20"/>
                <w:color w:val="auto"/>
              </w:rPr>
            </w:pPr>
            <w:r>
              <w:rPr>
                <w:rFonts w:ascii="Times New Roman" w:cs="Times New Roman" w:eastAsia="Times New Roman" w:hAnsi="Times New Roman"/>
                <w:sz w:val="18"/>
                <w:szCs w:val="18"/>
                <w:color w:val="auto"/>
              </w:rPr>
              <w:t>Your Signature:</w:t>
            </w:r>
          </w:p>
        </w:tc>
      </w:tr>
      <w:tr>
        <w:trPr>
          <w:trHeight w:val="20"/>
        </w:trPr>
        <w:tc>
          <w:tcPr>
            <w:tcW w:w="440" w:type="dxa"/>
            <w:vAlign w:val="bottom"/>
          </w:tcPr>
          <w:p>
            <w:pPr>
              <w:spacing w:after="0" w:line="20" w:lineRule="exact"/>
              <w:rPr>
                <w:sz w:val="1"/>
                <w:szCs w:val="1"/>
                <w:color w:val="auto"/>
              </w:rPr>
            </w:pPr>
          </w:p>
        </w:tc>
        <w:tc>
          <w:tcPr>
            <w:tcW w:w="118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r>
      <w:tr>
        <w:trPr>
          <w:trHeight w:val="191"/>
        </w:trPr>
        <w:tc>
          <w:tcPr>
            <w:tcW w:w="4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4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39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(Sign exactly as your name appears on</w:t>
            </w:r>
          </w:p>
        </w:tc>
      </w:tr>
      <w:tr>
        <w:trPr>
          <w:trHeight w:val="234"/>
        </w:trPr>
        <w:tc>
          <w:tcPr>
            <w:tcW w:w="4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2020" w:type="dxa"/>
            <w:vAlign w:val="bottom"/>
          </w:tcPr>
          <w:p>
            <w:pPr>
              <w:spacing w:after="0"/>
              <w:rPr>
                <w:sz w:val="20"/>
                <w:szCs w:val="20"/>
                <w:color w:val="auto"/>
              </w:rPr>
            </w:pPr>
          </w:p>
        </w:tc>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other side of this Note)</w:t>
            </w:r>
          </w:p>
        </w:tc>
      </w:tr>
      <w:tr>
        <w:trPr>
          <w:trHeight w:val="446"/>
        </w:trPr>
        <w:tc>
          <w:tcPr>
            <w:tcW w:w="162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3"/>
              </w:rPr>
              <w:t>Signature Guarantee: </w:t>
            </w:r>
          </w:p>
        </w:tc>
        <w:tc>
          <w:tcPr>
            <w:tcW w:w="348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______________________________</w:t>
            </w:r>
          </w:p>
        </w:tc>
        <w:tc>
          <w:tcPr>
            <w:tcW w:w="2020" w:type="dxa"/>
            <w:vAlign w:val="bottom"/>
          </w:tcPr>
          <w:p>
            <w:pPr>
              <w:spacing w:after="0"/>
              <w:rPr>
                <w:sz w:val="24"/>
                <w:szCs w:val="24"/>
                <w:color w:val="auto"/>
              </w:rPr>
            </w:pPr>
          </w:p>
        </w:tc>
        <w:tc>
          <w:tcPr>
            <w:tcW w:w="3900" w:type="dxa"/>
            <w:vAlign w:val="bottom"/>
          </w:tcPr>
          <w:p>
            <w:pPr>
              <w:spacing w:after="0"/>
              <w:rPr>
                <w:sz w:val="24"/>
                <w:szCs w:val="24"/>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25" w:lineRule="exact"/>
        <w:rPr>
          <w:sz w:val="20"/>
          <w:szCs w:val="20"/>
          <w:color w:val="auto"/>
        </w:rPr>
      </w:pPr>
    </w:p>
    <w:p>
      <w:pPr>
        <w:ind w:right="20" w:firstLine="991"/>
        <w:spacing w:after="0" w:line="289" w:lineRule="auto"/>
        <w:rPr>
          <w:sz w:val="20"/>
          <w:szCs w:val="20"/>
          <w:color w:val="auto"/>
        </w:rPr>
      </w:pPr>
      <w:r>
        <w:rPr>
          <w:rFonts w:ascii="Times New Roman" w:cs="Times New Roman" w:eastAsia="Times New Roman" w:hAnsi="Times New Roman"/>
          <w:sz w:val="17"/>
          <w:szCs w:val="17"/>
          <w:color w:val="auto"/>
        </w:rPr>
        <w:t>Signatures must be guaranteed by an “eligible guarantor institution” meeting the requirements of the Registrar, which requirements include membership or participation in the Security Transfer Agent Medallion Program (“STAMP”) or such other “signature guarantee program” as may be determined by the Registrar in addition to, or in substitution for, STAMP, all in accordance with the Securities Exchange Act of 1934, as amended.</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A-1-10</w:t>
      </w:r>
    </w:p>
    <w:p>
      <w:pPr>
        <w:sectPr>
          <w:pgSz w:w="11900" w:h="16838" w:orient="portrait"/>
          <w:cols w:equalWidth="0" w:num="1">
            <w:col w:w="11020"/>
          </w:cols>
          <w:pgMar w:left="440" w:top="270" w:right="439" w:bottom="1440" w:gutter="0" w:footer="0" w:header="0"/>
        </w:sectPr>
      </w:pPr>
    </w:p>
    <w:bookmarkStart w:id="111" w:name="page112"/>
    <w:bookmarkEnd w:id="11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 OF HOLDER TO ELECT PURCHASE</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you want to elect to have all or any part of this Note purchased by the Issuer pursuant to Section 4.08, check the appropriate box:</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5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7"/>
              </w:rPr>
              <w:t>Section 4.08</w:t>
            </w:r>
          </w:p>
        </w:tc>
      </w:tr>
    </w:tbl>
    <w:p>
      <w:pPr>
        <w:spacing w:after="0" w:line="198"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If you want to have only part of the Note purchased by the Issuer pursuant to Section 4.08 of the Indenture, state the amount you elect to have purchased: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17145</wp:posOffset>
            </wp:positionV>
            <wp:extent cx="273431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($1,000 or any integral multiple thereof; </w:t>
      </w:r>
      <w:r>
        <w:rPr>
          <w:rFonts w:ascii="Times New Roman" w:cs="Times New Roman" w:eastAsia="Times New Roman" w:hAnsi="Times New Roman"/>
          <w:sz w:val="18"/>
          <w:szCs w:val="18"/>
          <w:u w:val="single" w:color="auto"/>
          <w:color w:val="auto"/>
        </w:rPr>
        <w:t>provided</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that the part not purchased must be at least $2,000)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-7620</wp:posOffset>
            </wp:positionV>
            <wp:extent cx="125666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5038090</wp:posOffset>
            </wp:positionH>
            <wp:positionV relativeFrom="paragraph">
              <wp:posOffset>17145</wp:posOffset>
            </wp:positionV>
            <wp:extent cx="195453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7"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(Sign exactly as your name appears on</w:t>
      </w:r>
    </w:p>
    <w:p>
      <w:pPr>
        <w:spacing w:after="0" w:line="23"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the face of this Note)</w:t>
      </w:r>
    </w:p>
    <w:p>
      <w:pPr>
        <w:spacing w:after="0" w:line="200" w:lineRule="exact"/>
        <w:rPr>
          <w:sz w:val="20"/>
          <w:szCs w:val="20"/>
          <w:color w:val="auto"/>
        </w:rPr>
      </w:pPr>
    </w:p>
    <w:p>
      <w:pPr>
        <w:spacing w:after="0" w:line="26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279463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25" w:lineRule="exact"/>
        <w:rPr>
          <w:sz w:val="20"/>
          <w:szCs w:val="20"/>
          <w:color w:val="auto"/>
        </w:rPr>
      </w:pPr>
    </w:p>
    <w:p>
      <w:pPr>
        <w:ind w:firstLine="991"/>
        <w:spacing w:after="0" w:line="289" w:lineRule="auto"/>
        <w:rPr>
          <w:sz w:val="20"/>
          <w:szCs w:val="20"/>
          <w:color w:val="auto"/>
        </w:rPr>
      </w:pPr>
      <w:r>
        <w:rPr>
          <w:rFonts w:ascii="Times New Roman" w:cs="Times New Roman" w:eastAsia="Times New Roman" w:hAnsi="Times New Roman"/>
          <w:sz w:val="17"/>
          <w:szCs w:val="17"/>
          <w:color w:val="auto"/>
        </w:rPr>
        <w:t>Signatures must be guaranteed by an “eligible guarantor institution” meeting the requirements of the Registrar, which requirements include membership or participation in the Security Transfer Agent Medallion Program (“STAMP”) or such other “signature guarantee program” as may be determined by the Registrar in addition to, or in substitution for, STAMP, all in accordance with the Securities Exchange Act of 1934, as amended.</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A-1-11</w:t>
      </w:r>
    </w:p>
    <w:p>
      <w:pPr>
        <w:sectPr>
          <w:pgSz w:w="11900" w:h="16838" w:orient="portrait"/>
          <w:cols w:equalWidth="0" w:num="1">
            <w:col w:w="11000"/>
          </w:cols>
          <w:pgMar w:left="440" w:top="270" w:right="459" w:bottom="1440" w:gutter="0" w:footer="0" w:header="0"/>
        </w:sectPr>
      </w:pPr>
    </w:p>
    <w:bookmarkStart w:id="112" w:name="page113"/>
    <w:bookmarkEnd w:id="112"/>
    <w:p>
      <w:pPr>
        <w:jc w:val="center"/>
        <w:ind w:right="-8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w:t>
      </w:r>
      <w:r>
        <w:rPr>
          <w:rFonts w:ascii="Times New Roman" w:cs="Times New Roman" w:eastAsia="Times New Roman" w:hAnsi="Times New Roman"/>
          <w:sz w:val="14"/>
          <w:szCs w:val="14"/>
          <w:color w:val="auto"/>
        </w:rPr>
        <w:t>CHEDULE OF</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XCHANGES OF</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NTERESTS IN</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LOBAL</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OTE</w:t>
      </w:r>
      <w:r>
        <w:rPr>
          <w:rFonts w:ascii="Times New Roman" w:cs="Times New Roman" w:eastAsia="Times New Roman" w:hAnsi="Times New Roman"/>
          <w:sz w:val="22"/>
          <w:szCs w:val="22"/>
          <w:color w:val="auto"/>
          <w:vertAlign w:val="superscript"/>
        </w:rPr>
        <w:t>*</w:t>
      </w:r>
    </w:p>
    <w:p>
      <w:pPr>
        <w:spacing w:after="0" w:line="179" w:lineRule="exact"/>
        <w:rPr>
          <w:sz w:val="20"/>
          <w:szCs w:val="20"/>
          <w:color w:val="auto"/>
        </w:rPr>
      </w:pPr>
    </w:p>
    <w:p>
      <w:pPr>
        <w:ind w:left="4" w:firstLine="991"/>
        <w:spacing w:after="0" w:line="282" w:lineRule="auto"/>
        <w:rPr>
          <w:sz w:val="20"/>
          <w:szCs w:val="20"/>
          <w:color w:val="auto"/>
        </w:rPr>
      </w:pPr>
      <w:r>
        <w:rPr>
          <w:rFonts w:ascii="Times New Roman" w:cs="Times New Roman" w:eastAsia="Times New Roman" w:hAnsi="Times New Roman"/>
          <w:sz w:val="18"/>
          <w:szCs w:val="18"/>
          <w:color w:val="auto"/>
        </w:rPr>
        <w:t>The following exchanges of a part of this Global Note for an interest in another Global Note or for a Physical Note, or exchanges of a part of another Global Note or Physical Note for an interest in this Global Note, have been made:</w:t>
      </w:r>
    </w:p>
    <w:p>
      <w:pPr>
        <w:spacing w:after="0" w:line="172" w:lineRule="exact"/>
        <w:rPr>
          <w:sz w:val="20"/>
          <w:szCs w:val="20"/>
          <w:color w:val="auto"/>
        </w:rPr>
      </w:pPr>
    </w:p>
    <w:tbl>
      <w:tblPr>
        <w:tblLayout w:type="fixed"/>
        <w:tblInd w:w="804"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 decrease in</w:t>
            </w:r>
          </w:p>
        </w:tc>
        <w:tc>
          <w:tcPr>
            <w:tcW w:w="90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 increase in</w:t>
            </w:r>
          </w:p>
        </w:tc>
        <w:tc>
          <w:tcPr>
            <w:tcW w:w="1100" w:type="dxa"/>
            <w:vAlign w:val="bottom"/>
          </w:tcPr>
          <w:p>
            <w:pPr>
              <w:spacing w:after="0"/>
              <w:rPr>
                <w:sz w:val="13"/>
                <w:szCs w:val="13"/>
                <w:color w:val="auto"/>
              </w:rPr>
            </w:pPr>
          </w:p>
        </w:tc>
        <w:tc>
          <w:tcPr>
            <w:tcW w:w="14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color w:val="auto"/>
              </w:rPr>
              <w:t>Principal Amount</w:t>
            </w:r>
          </w:p>
        </w:tc>
        <w:tc>
          <w:tcPr>
            <w:tcW w:w="3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110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of this Global Note</w:t>
            </w:r>
          </w:p>
        </w:tc>
        <w:tc>
          <w:tcPr>
            <w:tcW w:w="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0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Principal Amount</w:t>
            </w:r>
          </w:p>
        </w:tc>
        <w:tc>
          <w:tcPr>
            <w:tcW w:w="9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Principal Amount</w:t>
            </w:r>
          </w:p>
        </w:tc>
        <w:tc>
          <w:tcPr>
            <w:tcW w:w="110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following such</w:t>
            </w:r>
          </w:p>
        </w:tc>
        <w:tc>
          <w:tcPr>
            <w:tcW w:w="1680" w:type="dxa"/>
            <w:vAlign w:val="bottom"/>
            <w:gridSpan w:val="2"/>
            <w:vMerge w:val="restart"/>
          </w:tcPr>
          <w:p>
            <w:pPr>
              <w:jc w:val="center"/>
              <w:ind w:left="228"/>
              <w:spacing w:after="0"/>
              <w:rPr>
                <w:sz w:val="20"/>
                <w:szCs w:val="20"/>
                <w:color w:val="auto"/>
              </w:rPr>
            </w:pPr>
            <w:r>
              <w:rPr>
                <w:rFonts w:ascii="Times New Roman" w:cs="Times New Roman" w:eastAsia="Times New Roman" w:hAnsi="Times New Roman"/>
                <w:sz w:val="14"/>
                <w:szCs w:val="14"/>
                <w:color w:val="auto"/>
              </w:rPr>
              <w:t>Signature of authorized</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Date of Exchange</w:t>
            </w:r>
          </w:p>
        </w:tc>
        <w:tc>
          <w:tcPr>
            <w:tcW w:w="12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9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1100" w:type="dxa"/>
            <w:vAlign w:val="bottom"/>
          </w:tcPr>
          <w:p>
            <w:pPr>
              <w:spacing w:after="0"/>
              <w:rPr>
                <w:sz w:val="12"/>
                <w:szCs w:val="12"/>
                <w:color w:val="auto"/>
              </w:rPr>
            </w:pPr>
          </w:p>
        </w:tc>
        <w:tc>
          <w:tcPr>
            <w:tcW w:w="1420" w:type="dxa"/>
            <w:vAlign w:val="bottom"/>
            <w:gridSpan w:val="2"/>
          </w:tcPr>
          <w:p>
            <w:pPr>
              <w:jc w:val="center"/>
              <w:ind w:right="320"/>
              <w:spacing w:after="0" w:line="149" w:lineRule="exact"/>
              <w:rPr>
                <w:sz w:val="20"/>
                <w:szCs w:val="20"/>
                <w:color w:val="auto"/>
              </w:rPr>
            </w:pPr>
            <w:r>
              <w:rPr>
                <w:rFonts w:ascii="Times New Roman" w:cs="Times New Roman" w:eastAsia="Times New Roman" w:hAnsi="Times New Roman"/>
                <w:sz w:val="14"/>
                <w:szCs w:val="14"/>
                <w:color w:val="auto"/>
              </w:rPr>
              <w:t>decrease</w:t>
            </w:r>
          </w:p>
        </w:tc>
        <w:tc>
          <w:tcPr>
            <w:tcW w:w="1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40" w:type="dxa"/>
            <w:vAlign w:val="bottom"/>
            <w:tcBorders>
              <w:bottom w:val="single" w:sz="8" w:color="auto"/>
            </w:tcBorders>
            <w:vMerge w:val="continue"/>
          </w:tcPr>
          <w:p>
            <w:pPr>
              <w:spacing w:after="0"/>
              <w:rPr>
                <w:sz w:val="14"/>
                <w:szCs w:val="14"/>
                <w:color w:val="auto"/>
              </w:rPr>
            </w:pPr>
          </w:p>
        </w:tc>
        <w:tc>
          <w:tcPr>
            <w:tcW w:w="128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this Global Note</w:t>
            </w:r>
          </w:p>
        </w:tc>
        <w:tc>
          <w:tcPr>
            <w:tcW w:w="90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this Global Note</w:t>
            </w:r>
          </w:p>
        </w:tc>
        <w:tc>
          <w:tcPr>
            <w:tcW w:w="1100" w:type="dxa"/>
            <w:vAlign w:val="bottom"/>
          </w:tcPr>
          <w:p>
            <w:pPr>
              <w:spacing w:after="0"/>
              <w:rPr>
                <w:sz w:val="14"/>
                <w:szCs w:val="14"/>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(or increase)</w:t>
            </w:r>
          </w:p>
        </w:tc>
        <w:tc>
          <w:tcPr>
            <w:tcW w:w="3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signatory of Trustee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411480</wp:posOffset>
            </wp:positionV>
            <wp:extent cx="77152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200" w:lineRule="exact"/>
        <w:rPr>
          <w:sz w:val="20"/>
          <w:szCs w:val="20"/>
          <w:color w:val="auto"/>
        </w:rPr>
      </w:pPr>
    </w:p>
    <w:p>
      <w:pPr>
        <w:spacing w:after="0" w:line="374" w:lineRule="exact"/>
        <w:rPr>
          <w:sz w:val="20"/>
          <w:szCs w:val="20"/>
          <w:color w:val="auto"/>
        </w:rPr>
      </w:pPr>
    </w:p>
    <w:p>
      <w:pPr>
        <w:ind w:left="424" w:hanging="424"/>
        <w:spacing w:after="0"/>
        <w:tabs>
          <w:tab w:leader="none" w:pos="424" w:val="left"/>
        </w:tabs>
        <w:numPr>
          <w:ilvl w:val="0"/>
          <w:numId w:val="11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in Global Securities only.</w:t>
      </w:r>
    </w:p>
    <w:p>
      <w:pPr>
        <w:spacing w:after="0" w:line="130"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A-1-12</w:t>
      </w:r>
    </w:p>
    <w:p>
      <w:pPr>
        <w:sectPr>
          <w:pgSz w:w="11900" w:h="16838" w:orient="portrait"/>
          <w:cols w:equalWidth="0" w:num="1">
            <w:col w:w="10924"/>
          </w:cols>
          <w:pgMar w:left="436" w:top="270" w:right="539" w:bottom="1440" w:gutter="0" w:footer="0" w:header="0"/>
        </w:sectPr>
      </w:pPr>
    </w:p>
    <w:bookmarkStart w:id="113" w:name="page114"/>
    <w:bookmarkEnd w:id="113"/>
    <w:tbl>
      <w:tblPr>
        <w:tblLayout w:type="fixed"/>
        <w:tblInd w:w="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5920" w:type="dxa"/>
            <w:vAlign w:val="bottom"/>
          </w:tcPr>
          <w:p>
            <w:pPr>
              <w:spacing w:after="0"/>
              <w:rPr>
                <w:sz w:val="17"/>
                <w:szCs w:val="17"/>
                <w:color w:val="auto"/>
              </w:rPr>
            </w:pPr>
          </w:p>
        </w:tc>
        <w:tc>
          <w:tcPr>
            <w:tcW w:w="10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color w:val="auto"/>
                <w:w w:val="99"/>
              </w:rPr>
              <w:t>EXHIBIT A-2</w:t>
            </w:r>
          </w:p>
        </w:tc>
      </w:tr>
      <w:tr>
        <w:trPr>
          <w:trHeight w:val="345"/>
        </w:trPr>
        <w:tc>
          <w:tcPr>
            <w:tcW w:w="4040" w:type="dxa"/>
            <w:vAlign w:val="bottom"/>
          </w:tcPr>
          <w:p>
            <w:pPr>
              <w:spacing w:after="0"/>
              <w:rPr>
                <w:sz w:val="24"/>
                <w:szCs w:val="24"/>
                <w:color w:val="auto"/>
              </w:rPr>
            </w:pPr>
          </w:p>
        </w:tc>
        <w:tc>
          <w:tcPr>
            <w:tcW w:w="6480" w:type="dxa"/>
            <w:vAlign w:val="bottom"/>
            <w:gridSpan w:val="2"/>
          </w:tcPr>
          <w:p>
            <w:pPr>
              <w:jc w:val="center"/>
              <w:ind w:right="3450"/>
              <w:spacing w:after="0"/>
              <w:rPr>
                <w:sz w:val="20"/>
                <w:szCs w:val="20"/>
                <w:color w:val="auto"/>
              </w:rPr>
            </w:pPr>
            <w:r>
              <w:rPr>
                <w:rFonts w:ascii="Times New Roman" w:cs="Times New Roman" w:eastAsia="Times New Roman" w:hAnsi="Times New Roman"/>
                <w:sz w:val="18"/>
                <w:szCs w:val="18"/>
                <w:color w:val="auto"/>
                <w:w w:val="99"/>
              </w:rPr>
              <w:t>[FORM OF UNRESTRICTED NOTE]</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24"/>
        </w:trPr>
        <w:tc>
          <w:tcPr>
            <w:tcW w:w="4040" w:type="dxa"/>
            <w:vAlign w:val="bottom"/>
          </w:tcPr>
          <w:p>
            <w:pPr>
              <w:spacing w:after="0"/>
              <w:rPr>
                <w:sz w:val="24"/>
                <w:szCs w:val="24"/>
                <w:color w:val="auto"/>
              </w:rPr>
            </w:pPr>
          </w:p>
        </w:tc>
        <w:tc>
          <w:tcPr>
            <w:tcW w:w="6480" w:type="dxa"/>
            <w:vAlign w:val="bottom"/>
            <w:gridSpan w:val="2"/>
          </w:tcPr>
          <w:p>
            <w:pPr>
              <w:jc w:val="center"/>
              <w:ind w:right="3470"/>
              <w:spacing w:after="0"/>
              <w:rPr>
                <w:sz w:val="20"/>
                <w:szCs w:val="20"/>
                <w:color w:val="auto"/>
              </w:rPr>
            </w:pPr>
            <w:r>
              <w:rPr>
                <w:rFonts w:ascii="Times New Roman" w:cs="Times New Roman" w:eastAsia="Times New Roman" w:hAnsi="Times New Roman"/>
                <w:sz w:val="18"/>
                <w:szCs w:val="18"/>
                <w:b w:val="1"/>
                <w:bCs w:val="1"/>
                <w:color w:val="auto"/>
              </w:rPr>
              <w:t>CROWN AMERICAS LLC</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24"/>
        </w:trPr>
        <w:tc>
          <w:tcPr>
            <w:tcW w:w="4040" w:type="dxa"/>
            <w:vAlign w:val="bottom"/>
          </w:tcPr>
          <w:p>
            <w:pPr>
              <w:ind w:left="3940"/>
              <w:spacing w:after="0"/>
              <w:rPr>
                <w:sz w:val="20"/>
                <w:szCs w:val="20"/>
                <w:color w:val="auto"/>
              </w:rPr>
            </w:pPr>
            <w:r>
              <w:rPr>
                <w:rFonts w:ascii="Times New Roman" w:cs="Times New Roman" w:eastAsia="Times New Roman" w:hAnsi="Times New Roman"/>
                <w:sz w:val="11"/>
                <w:szCs w:val="11"/>
                <w:color w:val="auto"/>
                <w:w w:val="72"/>
              </w:rPr>
              <w:t> </w:t>
            </w:r>
          </w:p>
        </w:tc>
        <w:tc>
          <w:tcPr>
            <w:tcW w:w="6480" w:type="dxa"/>
            <w:vAlign w:val="bottom"/>
            <w:gridSpan w:val="2"/>
          </w:tcPr>
          <w:p>
            <w:pPr>
              <w:jc w:val="right"/>
              <w:ind w:right="3350"/>
              <w:spacing w:after="0"/>
              <w:rPr>
                <w:sz w:val="20"/>
                <w:szCs w:val="20"/>
                <w:color w:val="auto"/>
              </w:rPr>
            </w:pPr>
            <w:r>
              <w:rPr>
                <w:rFonts w:ascii="Times New Roman" w:cs="Times New Roman" w:eastAsia="Times New Roman" w:hAnsi="Times New Roman"/>
                <w:sz w:val="18"/>
                <w:szCs w:val="18"/>
                <w:color w:val="auto"/>
              </w:rPr>
              <w:t>      5.875% SENIOR NOTE DUE 2033</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324"/>
        </w:trPr>
        <w:tc>
          <w:tcPr>
            <w:tcW w:w="10520" w:type="dxa"/>
            <w:vAlign w:val="bottom"/>
            <w:gridSpan w:val="3"/>
          </w:tcPr>
          <w:p>
            <w:pPr>
              <w:jc w:val="center"/>
              <w:ind w:left="421"/>
              <w:spacing w:after="0"/>
              <w:rPr>
                <w:sz w:val="20"/>
                <w:szCs w:val="20"/>
                <w:color w:val="auto"/>
              </w:rPr>
            </w:pPr>
            <w:r>
              <w:rPr>
                <w:rFonts w:ascii="Times New Roman" w:cs="Times New Roman" w:eastAsia="Times New Roman" w:hAnsi="Times New Roman"/>
                <w:sz w:val="18"/>
                <w:szCs w:val="18"/>
                <w:b w:val="1"/>
                <w:bCs w:val="1"/>
                <w:color w:val="auto"/>
                <w:w w:val="99"/>
              </w:rPr>
              <w:t>[</w:t>
            </w:r>
            <w:r>
              <w:rPr>
                <w:rFonts w:ascii="Times New Roman" w:cs="Times New Roman" w:eastAsia="Times New Roman" w:hAnsi="Times New Roman"/>
                <w:sz w:val="18"/>
                <w:szCs w:val="18"/>
                <w:b w:val="1"/>
                <w:bCs w:val="1"/>
                <w:i w:val="1"/>
                <w:iCs w:val="1"/>
                <w:color w:val="auto"/>
                <w:w w:val="99"/>
              </w:rPr>
              <w:t>Insert Global Note Legend</w:t>
            </w:r>
            <w:r>
              <w:rPr>
                <w:rFonts w:ascii="Times New Roman" w:cs="Times New Roman" w:eastAsia="Times New Roman" w:hAnsi="Times New Roman"/>
                <w:sz w:val="18"/>
                <w:szCs w:val="18"/>
                <w:b w:val="1"/>
                <w:bCs w:val="1"/>
                <w:color w:val="auto"/>
                <w:w w:val="99"/>
              </w:rPr>
              <w:t xml:space="preserve">, </w:t>
            </w:r>
            <w:r>
              <w:rPr>
                <w:rFonts w:ascii="Times New Roman" w:cs="Times New Roman" w:eastAsia="Times New Roman" w:hAnsi="Times New Roman"/>
                <w:sz w:val="18"/>
                <w:szCs w:val="18"/>
                <w:b w:val="1"/>
                <w:bCs w:val="1"/>
                <w:i w:val="1"/>
                <w:iCs w:val="1"/>
                <w:color w:val="auto"/>
                <w:w w:val="99"/>
              </w:rPr>
              <w:t>if applicable</w:t>
            </w:r>
            <w:r>
              <w:rPr>
                <w:rFonts w:ascii="Times New Roman" w:cs="Times New Roman" w:eastAsia="Times New Roman" w:hAnsi="Times New Roman"/>
                <w:sz w:val="18"/>
                <w:szCs w:val="18"/>
                <w:b w:val="1"/>
                <w:bCs w:val="1"/>
                <w:color w:val="auto"/>
                <w:w w:val="99"/>
              </w:rPr>
              <w:t>]</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41"/>
        </w:trPr>
        <w:tc>
          <w:tcPr>
            <w:tcW w:w="4040" w:type="dxa"/>
            <w:vAlign w:val="bottom"/>
          </w:tcPr>
          <w:p>
            <w:pPr>
              <w:spacing w:after="0"/>
              <w:rPr>
                <w:sz w:val="20"/>
                <w:szCs w:val="20"/>
                <w:color w:val="auto"/>
              </w:rPr>
            </w:pPr>
            <w:r>
              <w:rPr>
                <w:rFonts w:ascii="Times New Roman" w:cs="Times New Roman" w:eastAsia="Times New Roman" w:hAnsi="Times New Roman"/>
                <w:sz w:val="18"/>
                <w:szCs w:val="18"/>
                <w:color w:val="auto"/>
              </w:rPr>
              <w:t>No. [   ]</w:t>
            </w:r>
          </w:p>
        </w:tc>
        <w:tc>
          <w:tcPr>
            <w:tcW w:w="6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CUSIP No. [ 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040" w:type="dxa"/>
            <w:vAlign w:val="bottom"/>
          </w:tcPr>
          <w:p>
            <w:pPr>
              <w:spacing w:after="0"/>
              <w:rPr>
                <w:sz w:val="18"/>
                <w:szCs w:val="18"/>
                <w:color w:val="auto"/>
              </w:rPr>
            </w:pPr>
          </w:p>
        </w:tc>
        <w:tc>
          <w:tcPr>
            <w:tcW w:w="64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ISIN No. [ 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040" w:type="dxa"/>
            <w:vAlign w:val="bottom"/>
          </w:tcPr>
          <w:p>
            <w:pPr>
              <w:spacing w:after="0"/>
              <w:rPr>
                <w:sz w:val="20"/>
                <w:szCs w:val="20"/>
                <w:color w:val="auto"/>
              </w:rPr>
            </w:pPr>
          </w:p>
        </w:tc>
        <w:tc>
          <w:tcPr>
            <w:tcW w:w="59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right="20" w:firstLine="991"/>
        <w:spacing w:after="0" w:line="266" w:lineRule="auto"/>
        <w:rPr>
          <w:sz w:val="20"/>
          <w:szCs w:val="20"/>
          <w:color w:val="auto"/>
        </w:rPr>
      </w:pPr>
      <w:r>
        <w:rPr>
          <w:rFonts w:ascii="Times New Roman" w:cs="Times New Roman" w:eastAsia="Times New Roman" w:hAnsi="Times New Roman"/>
          <w:sz w:val="18"/>
          <w:szCs w:val="18"/>
          <w:color w:val="auto"/>
        </w:rPr>
        <w:t>Crown Americas LLC, a Pennsylvania limited liability company (“</w:t>
      </w:r>
      <w:r>
        <w:rPr>
          <w:rFonts w:ascii="Times New Roman" w:cs="Times New Roman" w:eastAsia="Times New Roman" w:hAnsi="Times New Roman"/>
          <w:sz w:val="18"/>
          <w:szCs w:val="18"/>
          <w:u w:val="single" w:color="auto"/>
          <w:color w:val="auto"/>
        </w:rPr>
        <w:t>Crown Americas</w:t>
      </w:r>
      <w:r>
        <w:rPr>
          <w:rFonts w:ascii="Times New Roman" w:cs="Times New Roman" w:eastAsia="Times New Roman" w:hAnsi="Times New Roman"/>
          <w:sz w:val="18"/>
          <w:szCs w:val="18"/>
          <w:color w:val="auto"/>
        </w:rPr>
        <w:t>”), as issuer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for value received, promises to pay to [        ] or registered assigns the principal sum of [        ] (or such other principal amount as shall be set forth in the Schedule of Exchanges of Interests in Global Note attached hereto), on June 1, 2033.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Payment Dates:   June 1 and December 1, commencing December 1,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Record Dates:   May 15 and November 15 (whether or not a Business Day).</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Reference is made to the further provisions of this Note contained herein, which will for all purposes have the same effect as if set forth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place.</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A-2-1</w:t>
      </w:r>
    </w:p>
    <w:p>
      <w:pPr>
        <w:sectPr>
          <w:pgSz w:w="11900" w:h="16838" w:orient="portrait"/>
          <w:cols w:equalWidth="0" w:num="1">
            <w:col w:w="11020"/>
          </w:cols>
          <w:pgMar w:left="440" w:top="256" w:right="439" w:bottom="1440" w:gutter="0" w:footer="0" w:header="0"/>
        </w:sectPr>
      </w:pPr>
    </w:p>
    <w:bookmarkStart w:id="114" w:name="page115"/>
    <w:bookmarkEnd w:id="114"/>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Issuer has caused this Note to be signed by two of its duly authorized officers.</w:t>
      </w:r>
    </w:p>
    <w:p>
      <w:pPr>
        <w:spacing w:after="0" w:line="26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CROWN AMERICAS LLC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A-2-2</w:t>
      </w:r>
    </w:p>
    <w:p>
      <w:pPr>
        <w:sectPr>
          <w:pgSz w:w="11900" w:h="16838" w:orient="portrait"/>
          <w:cols w:equalWidth="0" w:num="1">
            <w:col w:w="9039"/>
          </w:cols>
          <w:pgMar w:left="1420" w:top="270" w:right="1440" w:bottom="1440" w:gutter="0" w:footer="0" w:header="0"/>
        </w:sectPr>
      </w:pPr>
    </w:p>
    <w:bookmarkStart w:id="115" w:name="page116"/>
    <w:bookmarkEnd w:id="115"/>
    <w:p>
      <w:pPr>
        <w:ind w:left="44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 of Authentication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is one of the 5.875% Senior Notes due 2033 referred to in the within-mentioned Indenture.</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7"/>
          <w:szCs w:val="17"/>
          <w:color w:val="auto"/>
        </w:rPr>
        <w:t>U.S. BANK TRUST COMPANY, NATIONAL</w:t>
      </w:r>
    </w:p>
    <w:p>
      <w:pPr>
        <w:spacing w:after="0" w:line="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ASSOCIATION, as Trustee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27, 2025</w:t>
      </w:r>
    </w:p>
    <w:p>
      <w:pPr>
        <w:spacing w:after="0" w:line="158" w:lineRule="exact"/>
        <w:rPr>
          <w:sz w:val="20"/>
          <w:szCs w:val="20"/>
          <w:color w:val="auto"/>
        </w:rPr>
      </w:pPr>
    </w:p>
    <w:p>
      <w:pPr>
        <w:ind w:left="5280"/>
        <w:spacing w:after="0"/>
        <w:rPr>
          <w:sz w:val="20"/>
          <w:szCs w:val="20"/>
          <w:color w:val="auto"/>
        </w:rPr>
      </w:pPr>
      <w:r>
        <w:rPr>
          <w:rFonts w:ascii="Times New Roman" w:cs="Times New Roman" w:eastAsia="Times New Roman" w:hAnsi="Times New Roman"/>
          <w:sz w:val="18"/>
          <w:szCs w:val="18"/>
          <w:color w:val="auto"/>
        </w:rPr>
        <w:t>A-2-3</w:t>
      </w:r>
    </w:p>
    <w:p>
      <w:pPr>
        <w:sectPr>
          <w:pgSz w:w="11900" w:h="16838" w:orient="portrait"/>
          <w:cols w:equalWidth="0" w:num="1">
            <w:col w:w="10019"/>
          </w:cols>
          <w:pgMar w:left="440" w:top="270" w:right="1440" w:bottom="1440" w:gutter="0" w:footer="0" w:header="0"/>
        </w:sectPr>
      </w:pPr>
    </w:p>
    <w:bookmarkStart w:id="116" w:name="page117"/>
    <w:bookmarkEnd w:id="116"/>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[FORM OF REVERSE OF UNRESTRICTED NOTE]</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CROWN AMERICAS LLC</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5.875% SENIOR NOTE DUE 2033</w:t>
      </w:r>
    </w:p>
    <w:p>
      <w:pPr>
        <w:spacing w:after="0" w:line="225" w:lineRule="exact"/>
        <w:rPr>
          <w:sz w:val="20"/>
          <w:szCs w:val="20"/>
          <w:color w:val="auto"/>
        </w:rPr>
      </w:pPr>
    </w:p>
    <w:p>
      <w:pPr>
        <w:ind w:right="60" w:firstLine="987"/>
        <w:spacing w:after="0" w:line="256" w:lineRule="auto"/>
        <w:tabs>
          <w:tab w:leader="none" w:pos="1171"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 Crown Americas LLC, a Pennsylvania limited liability company (“</w:t>
      </w:r>
      <w:r>
        <w:rPr>
          <w:rFonts w:ascii="Times New Roman" w:cs="Times New Roman" w:eastAsia="Times New Roman" w:hAnsi="Times New Roman"/>
          <w:sz w:val="18"/>
          <w:szCs w:val="18"/>
          <w:u w:val="single" w:color="auto"/>
          <w:color w:val="auto"/>
        </w:rPr>
        <w:t>Crown Americas</w:t>
      </w:r>
      <w:r>
        <w:rPr>
          <w:rFonts w:ascii="Times New Roman" w:cs="Times New Roman" w:eastAsia="Times New Roman" w:hAnsi="Times New Roman"/>
          <w:sz w:val="18"/>
          <w:szCs w:val="18"/>
          <w:color w:val="auto"/>
        </w:rPr>
        <w:t>”), as issuer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promises to pay interest on the principal amount set forth on the face hereof at a rate of 5.875% per annum. Interest hereon will accrue from and including the most recent date to which interest has been paid or, if no interest has been paid, from and including May 27, 2025 to but excluding the date on which interest is paid. Interest shall be payable in arrears on each June 1 and December 1, commencing December 1, 2025. Interest will be computed on the basis of a 360-day year of twelve 30-day months and actual days elapsed. The Issuer shall pay interest on overdue principal and on overdue interest (to the full extent permitted by law) at the rate borne by the Notes.</w:t>
      </w:r>
    </w:p>
    <w:p>
      <w:pPr>
        <w:spacing w:after="0" w:line="187" w:lineRule="exact"/>
        <w:rPr>
          <w:rFonts w:ascii="Times New Roman" w:cs="Times New Roman" w:eastAsia="Times New Roman" w:hAnsi="Times New Roman"/>
          <w:sz w:val="18"/>
          <w:szCs w:val="18"/>
          <w:color w:val="auto"/>
        </w:rPr>
      </w:pPr>
    </w:p>
    <w:p>
      <w:pPr>
        <w:jc w:val="both"/>
        <w:ind w:firstLine="987"/>
        <w:spacing w:after="0" w:line="261" w:lineRule="auto"/>
        <w:tabs>
          <w:tab w:leader="none" w:pos="1171"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Payment</w:t>
      </w:r>
      <w:r>
        <w:rPr>
          <w:rFonts w:ascii="Times New Roman" w:cs="Times New Roman" w:eastAsia="Times New Roman" w:hAnsi="Times New Roman"/>
          <w:sz w:val="18"/>
          <w:szCs w:val="18"/>
          <w:color w:val="auto"/>
        </w:rPr>
        <w:t>. The Issuer will pay interest hereon (except defaulted interest) to the Persons who are registered Holders at the close of business on May 15 or November 15 preceding the Interest Payment Date (whether or not a Business Day). Holders must surrender Notes to a Paying Agent to collect principal payments. The Issuer will pay principal and interest in U.S. Dollars. Interest may be paid by check mailed to the Holder entitled thereto at the address indicated on the register maintained by the Registrar for the Notes.</w:t>
      </w:r>
    </w:p>
    <w:p>
      <w:pPr>
        <w:spacing w:after="0" w:line="179" w:lineRule="exact"/>
        <w:rPr>
          <w:rFonts w:ascii="Times New Roman" w:cs="Times New Roman" w:eastAsia="Times New Roman" w:hAnsi="Times New Roman"/>
          <w:sz w:val="18"/>
          <w:szCs w:val="18"/>
          <w:color w:val="auto"/>
        </w:rPr>
      </w:pPr>
    </w:p>
    <w:p>
      <w:pPr>
        <w:ind w:right="240" w:firstLine="987"/>
        <w:spacing w:after="0" w:line="266" w:lineRule="auto"/>
        <w:tabs>
          <w:tab w:leader="none" w:pos="1171"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Paying Agent and Registrar</w:t>
      </w:r>
      <w:r>
        <w:rPr>
          <w:rFonts w:ascii="Times New Roman" w:cs="Times New Roman" w:eastAsia="Times New Roman" w:hAnsi="Times New Roman"/>
          <w:sz w:val="18"/>
          <w:szCs w:val="18"/>
          <w:color w:val="auto"/>
        </w:rPr>
        <w:t>. Initially, U.S. Bank Trust Company, National Association (the “</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will act as a Paying Agent and Registrar. The Issuer may change any Paying Agent or Registrar without notice. The Issuer or any Affiliate thereof may act as Paying Agent or Registrar.</w:t>
      </w:r>
    </w:p>
    <w:p>
      <w:pPr>
        <w:spacing w:after="0" w:line="175" w:lineRule="exact"/>
        <w:rPr>
          <w:rFonts w:ascii="Times New Roman" w:cs="Times New Roman" w:eastAsia="Times New Roman" w:hAnsi="Times New Roman"/>
          <w:sz w:val="18"/>
          <w:szCs w:val="18"/>
          <w:color w:val="auto"/>
        </w:rPr>
      </w:pPr>
    </w:p>
    <w:p>
      <w:pPr>
        <w:ind w:right="100" w:firstLine="987"/>
        <w:spacing w:after="0" w:line="258" w:lineRule="auto"/>
        <w:tabs>
          <w:tab w:leader="none" w:pos="1171"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The Issuer issued the Notes under an Indenture dated as of May 27, 2025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among the Issuer, the Guarantors and the Trustee. This is one of an issue of Notes of the Issuer issued, or to be issued, under the Indenture. The terms of the Notes include those stated in the Indenture and those made part of the Indenture by reference to the Trust Indenture Act of 1939 (15 U.S. Code §§ 77aaa-77bbbb), as amended from time to time. The Notes are subject to all such terms, and Holders are referred to the Indenture and such Act for a statement of them. Capitalized and certain other terms used herein and not otherwise defined have the meanings set forth in the Indenture.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C-4</w:t>
      </w:r>
    </w:p>
    <w:p>
      <w:pPr>
        <w:sectPr>
          <w:pgSz w:w="11900" w:h="16838" w:orient="portrait"/>
          <w:cols w:equalWidth="0" w:num="1">
            <w:col w:w="11000"/>
          </w:cols>
          <w:pgMar w:left="440" w:top="270" w:right="459" w:bottom="1440" w:gutter="0" w:footer="0" w:header="0"/>
        </w:sectPr>
      </w:pPr>
    </w:p>
    <w:bookmarkStart w:id="117" w:name="page118"/>
    <w:bookmarkEnd w:id="117"/>
    <w:p>
      <w:pPr>
        <w:ind w:left="1164" w:hanging="173"/>
        <w:spacing w:after="0"/>
        <w:tabs>
          <w:tab w:leader="none" w:pos="1164" w:val="left"/>
        </w:tabs>
        <w:numPr>
          <w:ilvl w:val="0"/>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Optional Redemption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60" w:firstLine="987"/>
        <w:spacing w:after="0" w:line="266" w:lineRule="auto"/>
        <w:tabs>
          <w:tab w:leader="none" w:pos="124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June 1, 2028, the Issuer may redeem the Notes, at its option, in whole at any time or in part from time to time, at the following redemption prices, expressed as percentages of the principal amount thereof, plus accrued and unpaid interest, if any, to but excluding the applicable redemption date, if redeemed during the twelve-month period commencing on June 1 of any year set forth below:</w:t>
      </w:r>
    </w:p>
    <w:p>
      <w:pPr>
        <w:spacing w:after="0" w:line="196" w:lineRule="exact"/>
        <w:rPr>
          <w:sz w:val="20"/>
          <w:szCs w:val="20"/>
          <w:color w:val="auto"/>
        </w:rPr>
      </w:pPr>
    </w:p>
    <w:tbl>
      <w:tblPr>
        <w:tblLayout w:type="fixed"/>
        <w:tblInd w:w="1764" w:type="dxa"/>
        <w:tblCellMar>
          <w:top w:w="0" w:type="dxa"/>
          <w:left w:w="0" w:type="dxa"/>
          <w:bottom w:w="0" w:type="dxa"/>
          <w:right w:w="0" w:type="dxa"/>
        </w:tblCellMar>
      </w:tblPr>
      <w:tr>
        <w:trPr>
          <w:trHeight w:val="173"/>
        </w:trPr>
        <w:tc>
          <w:tcPr>
            <w:tcW w:w="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w w:val="94"/>
              </w:rPr>
              <w:t>Year</w:t>
            </w:r>
          </w:p>
        </w:tc>
        <w:tc>
          <w:tcPr>
            <w:tcW w:w="6300" w:type="dxa"/>
            <w:vAlign w:val="bottom"/>
          </w:tcPr>
          <w:p>
            <w:pPr>
              <w:spacing w:after="0"/>
              <w:rPr>
                <w:sz w:val="15"/>
                <w:szCs w:val="15"/>
                <w:color w:val="auto"/>
              </w:rPr>
            </w:pPr>
          </w:p>
        </w:tc>
        <w:tc>
          <w:tcPr>
            <w:tcW w:w="88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20"/>
        </w:trPr>
        <w:tc>
          <w:tcPr>
            <w:tcW w:w="660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2028</w:t>
            </w: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600" w:type="dxa"/>
            <w:vAlign w:val="bottom"/>
            <w:gridSpan w:val="2"/>
            <w:vMerge w:val="continue"/>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line="203" w:lineRule="exact"/>
              <w:rPr>
                <w:sz w:val="20"/>
                <w:szCs w:val="20"/>
                <w:color w:val="auto"/>
              </w:rPr>
            </w:pPr>
            <w:r>
              <w:rPr>
                <w:rFonts w:ascii="Times New Roman" w:cs="Times New Roman" w:eastAsia="Times New Roman" w:hAnsi="Times New Roman"/>
                <w:sz w:val="18"/>
                <w:szCs w:val="18"/>
                <w:color w:val="auto"/>
              </w:rPr>
              <w:t>102.938%</w:t>
            </w:r>
          </w:p>
        </w:tc>
        <w:tc>
          <w:tcPr>
            <w:tcW w:w="0" w:type="dxa"/>
            <w:vAlign w:val="bottom"/>
          </w:tcPr>
          <w:p>
            <w:pPr>
              <w:spacing w:after="0"/>
              <w:rPr>
                <w:sz w:val="1"/>
                <w:szCs w:val="1"/>
                <w:color w:val="auto"/>
              </w:rPr>
            </w:pPr>
          </w:p>
        </w:tc>
      </w:tr>
      <w:tr>
        <w:trPr>
          <w:trHeight w:val="216"/>
        </w:trPr>
        <w:tc>
          <w:tcPr>
            <w:tcW w:w="6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2029</w:t>
            </w:r>
          </w:p>
        </w:tc>
        <w:tc>
          <w:tcPr>
            <w:tcW w:w="8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101.469%</w:t>
            </w:r>
          </w:p>
        </w:tc>
        <w:tc>
          <w:tcPr>
            <w:tcW w:w="0" w:type="dxa"/>
            <w:vAlign w:val="bottom"/>
          </w:tcPr>
          <w:p>
            <w:pPr>
              <w:spacing w:after="0"/>
              <w:rPr>
                <w:sz w:val="1"/>
                <w:szCs w:val="1"/>
                <w:color w:val="auto"/>
              </w:rPr>
            </w:pPr>
          </w:p>
        </w:tc>
      </w:tr>
      <w:tr>
        <w:trPr>
          <w:trHeight w:val="216"/>
        </w:trPr>
        <w:tc>
          <w:tcPr>
            <w:tcW w:w="6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 and thereafter</w:t>
            </w:r>
          </w:p>
        </w:tc>
        <w:tc>
          <w:tcPr>
            <w:tcW w:w="88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100.000%</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 w:right="80" w:firstLine="987"/>
        <w:spacing w:after="0" w:line="258" w:lineRule="auto"/>
        <w:tabs>
          <w:tab w:leader="none" w:pos="1250" w:val="left"/>
        </w:tabs>
        <w:numPr>
          <w:ilvl w:val="1"/>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addition, prior to June 1, 2028, the Issuer may redeem the Notes, at its option, in whole at any time or in part from time to time, at a redemption price equal to 100% of the principal amount thereof,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accrued and unpaid interest, if any, to but excluding the applicable Make-Whole Redemption Date,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the Make-Whole Premium (a “</w:t>
      </w:r>
      <w:r>
        <w:rPr>
          <w:rFonts w:ascii="Times New Roman" w:cs="Times New Roman" w:eastAsia="Times New Roman" w:hAnsi="Times New Roman"/>
          <w:sz w:val="18"/>
          <w:szCs w:val="18"/>
          <w:u w:val="single" w:color="auto"/>
          <w:color w:val="auto"/>
        </w:rPr>
        <w:t>Make-Whole Redemption</w:t>
      </w:r>
      <w:r>
        <w:rPr>
          <w:rFonts w:ascii="Times New Roman" w:cs="Times New Roman" w:eastAsia="Times New Roman" w:hAnsi="Times New Roman"/>
          <w:sz w:val="18"/>
          <w:szCs w:val="18"/>
          <w:color w:val="auto"/>
        </w:rPr>
        <w:t>”). The Issuer shall notify the Trustee of the Make-Whole Premium by delivering to the Trustee, on or before the applicable Make-Whole Redemption Date, an Officer’s Certificate showing the calculation thereof in reasonable detail, and the Trustee shall have no responsibility for verifying or otherwise for such calculation.</w:t>
      </w:r>
    </w:p>
    <w:p>
      <w:pPr>
        <w:spacing w:after="0" w:line="183" w:lineRule="exact"/>
        <w:rPr>
          <w:rFonts w:ascii="Times New Roman" w:cs="Times New Roman" w:eastAsia="Times New Roman" w:hAnsi="Times New Roman"/>
          <w:sz w:val="18"/>
          <w:szCs w:val="18"/>
          <w:color w:val="auto"/>
        </w:rPr>
      </w:pPr>
    </w:p>
    <w:p>
      <w:pPr>
        <w:ind w:left="4" w:right="40" w:firstLine="987"/>
        <w:spacing w:after="0" w:line="268" w:lineRule="auto"/>
        <w:tabs>
          <w:tab w:leader="none" w:pos="1240" w:val="left"/>
        </w:tabs>
        <w:numPr>
          <w:ilvl w:val="1"/>
          <w:numId w:val="1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Notwithstanding the foregoing, on or prior to June 1, 2028, the Issuer, on one or more occasions, may, at its option, redeem up to 40% in aggregate principal amount of Notes (including Additional Notes) originally issued under the Indenture at a redemption price equal to 105.875% of their principal amount, plus accrued and unpaid interest, if any, to but excluding the applicable redemption date, with the net cash proceeds of one or more Equity Offerings by Parent to the extent that the net cash proceeds thereof are contributed to the common equity capital of Crown Americas or are used to subscribe from Crown Americas’ shares of its Qualified Capital Stock;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(1) at least 60% in aggregate principal amount of the Notes (including Additional Notes) originally issued under the Indenture remain outstanding immediately after the occurrence of each such redemption and</w:t>
      </w:r>
    </w:p>
    <w:p>
      <w:pPr>
        <w:spacing w:after="0" w:line="4" w:lineRule="exact"/>
        <w:rPr>
          <w:rFonts w:ascii="Times New Roman" w:cs="Times New Roman" w:eastAsia="Times New Roman" w:hAnsi="Times New Roman"/>
          <w:sz w:val="17"/>
          <w:szCs w:val="17"/>
          <w:color w:val="auto"/>
        </w:rPr>
      </w:pPr>
    </w:p>
    <w:p>
      <w:pPr>
        <w:ind w:left="264" w:hanging="264"/>
        <w:spacing w:after="0"/>
        <w:tabs>
          <w:tab w:leader="none" w:pos="264"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redemption occurs within 90 days of the date of the closing of any such Equity Offering.</w:t>
      </w:r>
    </w:p>
    <w:p>
      <w:pPr>
        <w:spacing w:after="0" w:line="206" w:lineRule="exact"/>
        <w:rPr>
          <w:rFonts w:ascii="Times New Roman" w:cs="Times New Roman" w:eastAsia="Times New Roman" w:hAnsi="Times New Roman"/>
          <w:sz w:val="18"/>
          <w:szCs w:val="18"/>
          <w:color w:val="auto"/>
        </w:rPr>
      </w:pPr>
    </w:p>
    <w:p>
      <w:pPr>
        <w:ind w:left="4" w:right="220" w:firstLine="987"/>
        <w:spacing w:after="0" w:line="266" w:lineRule="auto"/>
        <w:tabs>
          <w:tab w:leader="none" w:pos="125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Issuer may acquire Notes by means other than a redemption, whether by tender offer, open market purchases, negotiated transactions or otherwise, in accordance with applicable securities laws, so long as such acquisition does not otherwise violate the terms of the Indenture.</w:t>
      </w:r>
    </w:p>
    <w:p>
      <w:pPr>
        <w:spacing w:after="0" w:line="176" w:lineRule="exact"/>
        <w:rPr>
          <w:sz w:val="20"/>
          <w:szCs w:val="20"/>
          <w:color w:val="auto"/>
        </w:rPr>
      </w:pPr>
    </w:p>
    <w:p>
      <w:pPr>
        <w:ind w:left="4" w:firstLine="987"/>
        <w:spacing w:after="0" w:line="261" w:lineRule="auto"/>
        <w:tabs>
          <w:tab w:leader="none" w:pos="1175" w:val="left"/>
        </w:tabs>
        <w:numPr>
          <w:ilvl w:val="0"/>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 of Redemption</w:t>
      </w:r>
      <w:r>
        <w:rPr>
          <w:rFonts w:ascii="Times New Roman" w:cs="Times New Roman" w:eastAsia="Times New Roman" w:hAnsi="Times New Roman"/>
          <w:sz w:val="18"/>
          <w:szCs w:val="18"/>
          <w:color w:val="auto"/>
        </w:rPr>
        <w:t>. Notices of redemption shall be mailed by first class mail or sent electronically at least 30 but not more than 60 days before the Redemption Date to each Holder of Notes to be redeemed at its registered address. If any Note is to be redeemed in part only, the notice of redemption that relates to such Note shall state the portion of the principal amount thereof to be redeemed. Any redemption and notice thereof may, in the Issuer’s discretion, be subject to the satisfaction of one or more conditions precedent described in the notice relating to such redemption.</w:t>
      </w:r>
    </w:p>
    <w:p>
      <w:pPr>
        <w:spacing w:after="0" w:line="112"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C-5</w:t>
      </w:r>
    </w:p>
    <w:p>
      <w:pPr>
        <w:sectPr>
          <w:pgSz w:w="11900" w:h="16838" w:orient="portrait"/>
          <w:cols w:equalWidth="0" w:num="1">
            <w:col w:w="11004"/>
          </w:cols>
          <w:pgMar w:left="436" w:top="270" w:right="459" w:bottom="1440" w:gutter="0" w:footer="0" w:header="0"/>
        </w:sectPr>
      </w:pPr>
    </w:p>
    <w:bookmarkStart w:id="118" w:name="page119"/>
    <w:bookmarkEnd w:id="118"/>
    <w:p>
      <w:pPr>
        <w:ind w:left="1100" w:hanging="173"/>
        <w:spacing w:after="0"/>
        <w:tabs>
          <w:tab w:leader="none" w:pos="11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[Reserved]</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0" w:right="80" w:firstLine="987"/>
        <w:spacing w:after="0" w:line="312" w:lineRule="auto"/>
        <w:tabs>
          <w:tab w:leader="none" w:pos="1111"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Offers To Purchase</w:t>
      </w:r>
      <w:r>
        <w:rPr>
          <w:rFonts w:ascii="Times New Roman" w:cs="Times New Roman" w:eastAsia="Times New Roman" w:hAnsi="Times New Roman"/>
          <w:sz w:val="17"/>
          <w:szCs w:val="17"/>
          <w:color w:val="auto"/>
        </w:rPr>
        <w:t>. The Indenture provides that upon the occurrence of a Change of Control Repurchase Event and subject to further limitations contained therein, the Issuer shall make an offer to purchase outstanding Notes in accordance with the procedures set forth in the Indenture.</w:t>
      </w:r>
    </w:p>
    <w:p>
      <w:pPr>
        <w:spacing w:after="0" w:line="139" w:lineRule="exact"/>
        <w:rPr>
          <w:rFonts w:ascii="Times New Roman" w:cs="Times New Roman" w:eastAsia="Times New Roman" w:hAnsi="Times New Roman"/>
          <w:sz w:val="17"/>
          <w:szCs w:val="17"/>
          <w:color w:val="auto"/>
        </w:rPr>
      </w:pPr>
    </w:p>
    <w:p>
      <w:pPr>
        <w:ind w:left="-60" w:right="80" w:firstLine="987"/>
        <w:spacing w:after="0" w:line="256" w:lineRule="auto"/>
        <w:tabs>
          <w:tab w:leader="none" w:pos="1111"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Denominations, Transfer, Exchange</w:t>
      </w:r>
      <w:r>
        <w:rPr>
          <w:rFonts w:ascii="Times New Roman" w:cs="Times New Roman" w:eastAsia="Times New Roman" w:hAnsi="Times New Roman"/>
          <w:sz w:val="18"/>
          <w:szCs w:val="18"/>
          <w:color w:val="auto"/>
        </w:rPr>
        <w:t>. The Notes are in registered form without coupons in denominations of $2,000 and integral multiples of $1,000 in excess thereof. A Holder may transfer or exchange Notes in accordance with the Indenture. The Registrar may require a Holder, among other things, to furnish appropriate endorsements and transfer documents and to pay to it any taxes and fees required by law or permitted by the Indenture. The Registrar need not register the transfer of or exchange any Notes or portion of a Note selected for redemption, or register the transfer of or exchange any Notes for a period of 15 days before a mailing of notice of redemption or of any Note selected, called or being called for redemption except the unredeemed portion of any Note being redeemed in part.</w:t>
      </w:r>
    </w:p>
    <w:p>
      <w:pPr>
        <w:spacing w:after="0" w:line="187" w:lineRule="exact"/>
        <w:rPr>
          <w:rFonts w:ascii="Times New Roman" w:cs="Times New Roman" w:eastAsia="Times New Roman" w:hAnsi="Times New Roman"/>
          <w:sz w:val="18"/>
          <w:szCs w:val="18"/>
          <w:color w:val="auto"/>
        </w:rPr>
      </w:pPr>
    </w:p>
    <w:p>
      <w:pPr>
        <w:ind w:left="1200" w:hanging="273"/>
        <w:spacing w:after="0"/>
        <w:tabs>
          <w:tab w:leader="none" w:pos="1200"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Persons Deemed Owners</w:t>
      </w:r>
      <w:r>
        <w:rPr>
          <w:rFonts w:ascii="Times New Roman" w:cs="Times New Roman" w:eastAsia="Times New Roman" w:hAnsi="Times New Roman"/>
          <w:sz w:val="18"/>
          <w:szCs w:val="18"/>
          <w:color w:val="auto"/>
        </w:rPr>
        <w:t>. The registered Holder of this Note may be treated as the owner of this Note for all purposes.</w:t>
      </w:r>
    </w:p>
    <w:p>
      <w:pPr>
        <w:spacing w:after="0" w:line="225" w:lineRule="exact"/>
        <w:rPr>
          <w:rFonts w:ascii="Times New Roman" w:cs="Times New Roman" w:eastAsia="Times New Roman" w:hAnsi="Times New Roman"/>
          <w:sz w:val="18"/>
          <w:szCs w:val="18"/>
          <w:color w:val="auto"/>
        </w:rPr>
      </w:pPr>
    </w:p>
    <w:p>
      <w:pPr>
        <w:ind w:left="-60" w:right="40" w:firstLine="987"/>
        <w:spacing w:after="0" w:line="266" w:lineRule="auto"/>
        <w:tabs>
          <w:tab w:leader="none" w:pos="1194"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Unclaimed Money</w:t>
      </w:r>
      <w:r>
        <w:rPr>
          <w:rFonts w:ascii="Times New Roman" w:cs="Times New Roman" w:eastAsia="Times New Roman" w:hAnsi="Times New Roman"/>
          <w:sz w:val="18"/>
          <w:szCs w:val="18"/>
          <w:color w:val="auto"/>
        </w:rPr>
        <w:t>. If money for the payment of principal or interest remains unclaimed for two years, the Trustee will pay the money back to the Issuer at its written request. After that, Holders entitled to the money must look to the Issuer and the Guarantors for payment as general creditors unless an “abandoned property” law designates another Person.</w:t>
      </w:r>
    </w:p>
    <w:p>
      <w:pPr>
        <w:spacing w:after="0" w:line="175" w:lineRule="exact"/>
        <w:rPr>
          <w:rFonts w:ascii="Times New Roman" w:cs="Times New Roman" w:eastAsia="Times New Roman" w:hAnsi="Times New Roman"/>
          <w:sz w:val="18"/>
          <w:szCs w:val="18"/>
          <w:color w:val="auto"/>
        </w:rPr>
      </w:pPr>
    </w:p>
    <w:p>
      <w:pPr>
        <w:ind w:left="-60" w:firstLine="987"/>
        <w:spacing w:after="0" w:line="255" w:lineRule="auto"/>
        <w:tabs>
          <w:tab w:leader="none" w:pos="1201"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Supplement, Waiver, Etc</w:t>
      </w:r>
      <w:r>
        <w:rPr>
          <w:rFonts w:ascii="Times New Roman" w:cs="Times New Roman" w:eastAsia="Times New Roman" w:hAnsi="Times New Roman"/>
          <w:sz w:val="18"/>
          <w:szCs w:val="18"/>
          <w:color w:val="auto"/>
        </w:rPr>
        <w:t>. The Issuer and the Trustee may, without the consent of the Holders of any outstanding Notes, amend, waive or supplement the Indenture or the Notes for certain specified purposes, including, among other things, curing ambiguities, defects or inconsistencies, maintaining the qualification of the Indenture under the TIA, providing for the assumption by a successor to the Issuer of its obligations to the Holders and making any change that does not adversely affect the rights of any Holder in any material respect. Other amendments and modifications of the Indenture or the Notes may be made by the Issuer and the Trustee with the consent of the Holders of at least a majority of the aggregate principal amount of the outstanding Notes, subject to certain exceptions requiring the consent of the Holders of the particular Notes to be affected.</w:t>
      </w:r>
    </w:p>
    <w:p>
      <w:pPr>
        <w:spacing w:after="0" w:line="188" w:lineRule="exact"/>
        <w:rPr>
          <w:rFonts w:ascii="Times New Roman" w:cs="Times New Roman" w:eastAsia="Times New Roman" w:hAnsi="Times New Roman"/>
          <w:sz w:val="18"/>
          <w:szCs w:val="18"/>
          <w:color w:val="auto"/>
        </w:rPr>
      </w:pPr>
    </w:p>
    <w:p>
      <w:pPr>
        <w:ind w:left="-60" w:right="100" w:firstLine="987"/>
        <w:spacing w:after="0" w:line="258" w:lineRule="auto"/>
        <w:tabs>
          <w:tab w:leader="none" w:pos="1201" w:val="left"/>
        </w:tabs>
        <w:numPr>
          <w:ilvl w:val="0"/>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Restrictive Covenants</w:t>
      </w:r>
      <w:r>
        <w:rPr>
          <w:rFonts w:ascii="Times New Roman" w:cs="Times New Roman" w:eastAsia="Times New Roman" w:hAnsi="Times New Roman"/>
          <w:sz w:val="18"/>
          <w:szCs w:val="18"/>
          <w:color w:val="auto"/>
        </w:rPr>
        <w:t>. The Indenture imposes certain limitations on the ability of Parent and its Restricted Subsidiaries to, among other things, create Liens, enter into Sale and Leaseback Transactions or consolidate, merge or sell all or substantially all of the assets of Parent and its Restricted Subsidiaries and requires the Issuer to provide reports to Holders of the Notes. Such limitations are subject to a number of important qualifications and exceptions. Pursuant to Section 4.06 of the Indenture, the Issuer must annually report to the Trustee on compliance with such limitations.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C-6</w:t>
      </w:r>
    </w:p>
    <w:p>
      <w:pPr>
        <w:sectPr>
          <w:pgSz w:w="11900" w:h="16838" w:orient="portrait"/>
          <w:cols w:equalWidth="0" w:num="1">
            <w:col w:w="10880"/>
          </w:cols>
          <w:pgMar w:left="500" w:top="270" w:right="519" w:bottom="1440" w:gutter="0" w:footer="0" w:header="0"/>
        </w:sectPr>
      </w:pPr>
    </w:p>
    <w:bookmarkStart w:id="119" w:name="page120"/>
    <w:bookmarkEnd w:id="119"/>
    <w:p>
      <w:pPr>
        <w:ind w:right="80" w:firstLine="987"/>
        <w:spacing w:after="0" w:line="266" w:lineRule="auto"/>
        <w:tabs>
          <w:tab w:leader="none" w:pos="126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Successor Corporation</w:t>
      </w:r>
      <w:r>
        <w:rPr>
          <w:rFonts w:ascii="Times New Roman" w:cs="Times New Roman" w:eastAsia="Times New Roman" w:hAnsi="Times New Roman"/>
          <w:sz w:val="18"/>
          <w:szCs w:val="18"/>
          <w:color w:val="auto"/>
        </w:rPr>
        <w:t>. When a successor corporation assumes all the obligations of its predecessor under the Notes and the Indenture and the transaction complies with the terms of Article Five of the Indenture, the predecessor corporation will, except as provided in Article Five, be released from those obligations.</w:t>
      </w:r>
    </w:p>
    <w:p>
      <w:pPr>
        <w:spacing w:after="0" w:line="175" w:lineRule="exact"/>
        <w:rPr>
          <w:rFonts w:ascii="Times New Roman" w:cs="Times New Roman" w:eastAsia="Times New Roman" w:hAnsi="Times New Roman"/>
          <w:sz w:val="18"/>
          <w:szCs w:val="18"/>
          <w:color w:val="auto"/>
        </w:rPr>
      </w:pPr>
    </w:p>
    <w:p>
      <w:pPr>
        <w:ind w:right="40" w:firstLine="987"/>
        <w:spacing w:after="0" w:line="254" w:lineRule="auto"/>
        <w:tabs>
          <w:tab w:leader="none" w:pos="1261"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Defaults and Remedies</w:t>
      </w:r>
      <w:r>
        <w:rPr>
          <w:rFonts w:ascii="Times New Roman" w:cs="Times New Roman" w:eastAsia="Times New Roman" w:hAnsi="Times New Roman"/>
          <w:sz w:val="18"/>
          <w:szCs w:val="18"/>
          <w:color w:val="auto"/>
        </w:rPr>
        <w:t xml:space="preserve">. Events of Default are set forth in the Indenture. If an Event of Default occurs and is continuing under the Indenture, either the Trustee, by notice in writing to the Issuer, or the Holders of at least 25% in aggregate principal amount of the Notes then outstanding, by notice in writing to the Issuer and the Trustee specifying the respective Event of Default and that it is a “notice of acceleration”, may declare the principal of and premium, if any, and accrued interest, if any, on the Notes to be due and payable, and upon such declaration of acceleration, such principal of and premium, if any, and accrued interest, if any, shall be immediately due and payable; </w:t>
      </w: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notwithstanding the foregoing, if an Event of Default specified in Section 6.01(7) occurs with respect to Parent or the Issuer, the principal of and premium, if any, and accrued interest, if any, on the Notes then outstanding shall become and be immediately due and payable without any declaration or other act on the part of the Trustee or any Holder.</w:t>
      </w:r>
    </w:p>
    <w:p>
      <w:pPr>
        <w:spacing w:after="0" w:line="19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Notwithstanding the foregoing, if after such acceleration but before a judgment or decree based on such acceleration is obtained by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Trustee, the Holders of a majority in aggregate principal amount of outstanding Notes may rescind and annul such acceleration if:</w:t>
      </w:r>
    </w:p>
    <w:p>
      <w:pPr>
        <w:spacing w:after="0" w:line="99" w:lineRule="exact"/>
        <w:rPr>
          <w:sz w:val="20"/>
          <w:szCs w:val="20"/>
          <w:color w:val="auto"/>
        </w:rPr>
      </w:pPr>
    </w:p>
    <w:p>
      <w:pPr>
        <w:ind w:left="440" w:right="660" w:firstLine="419"/>
        <w:spacing w:after="0" w:line="282" w:lineRule="auto"/>
        <w:tabs>
          <w:tab w:leader="none" w:pos="111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Events of Default, other than nonpayment of principal, premium, if any, or interest that has become due solely because of the acceleration, have been cured or waived;</w:t>
      </w:r>
    </w:p>
    <w:p>
      <w:pPr>
        <w:spacing w:after="0" w:line="53"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1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payment of such interest is lawful, interest on overdue installments of interest and overdue principal, which has become due otherwise than by such declaration of acceleration, has been paid;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has paid the Trustee its reasonable compensation and reimbursed the Trustee for its expenses, disbursements and advances;</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98" w:lineRule="exact"/>
        <w:rPr>
          <w:rFonts w:ascii="Times New Roman" w:cs="Times New Roman" w:eastAsia="Times New Roman" w:hAnsi="Times New Roman"/>
          <w:sz w:val="18"/>
          <w:szCs w:val="18"/>
          <w:color w:val="auto"/>
        </w:rPr>
      </w:pPr>
    </w:p>
    <w:p>
      <w:pPr>
        <w:ind w:left="440" w:right="440" w:firstLine="419"/>
        <w:spacing w:after="0" w:line="282" w:lineRule="auto"/>
        <w:tabs>
          <w:tab w:leader="none" w:pos="1118"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the cure or waiver of an Event of Default of the type described in Section 6.01(7), the Trustee shall have received an Officers’ Certificate and an Opinion of Counsel that such Event of Default has been cured or waived.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 such rescission shall affect any subsequent Default or impair any right consequent thereto.</w:t>
      </w:r>
    </w:p>
    <w:p>
      <w:pPr>
        <w:spacing w:after="0" w:line="22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Holders may not enforce the Indenture or the Notes except as provided in the Indenture. The Trustee may require indemnity satisfactory to it before it enforces the Indenture or the Notes. Subject to certain limitations, Holders of a majority in principal amount of the then outstanding Notes may direct the Trustee in its exercise of any trust or power. The Trustee may withhold from Holders notice of any continuing Default or Event of Default (except a Default or Event of Default relating to the payment of principal of or interest on the Notes) if it determines that withholding notice is in their best interests.</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C-7</w:t>
      </w:r>
    </w:p>
    <w:p>
      <w:pPr>
        <w:sectPr>
          <w:pgSz w:w="11900" w:h="16838" w:orient="portrait"/>
          <w:cols w:equalWidth="0" w:num="1">
            <w:col w:w="11000"/>
          </w:cols>
          <w:pgMar w:left="440" w:top="270" w:right="459" w:bottom="1440" w:gutter="0" w:footer="0" w:header="0"/>
        </w:sectPr>
      </w:pPr>
    </w:p>
    <w:bookmarkStart w:id="120" w:name="page121"/>
    <w:bookmarkEnd w:id="120"/>
    <w:p>
      <w:pPr>
        <w:ind w:left="-40" w:right="340" w:firstLine="987"/>
        <w:spacing w:after="0" w:line="282" w:lineRule="auto"/>
        <w:tabs>
          <w:tab w:leader="none" w:pos="1221"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Trustee Dealings with the Issuer</w:t>
      </w:r>
      <w:r>
        <w:rPr>
          <w:rFonts w:ascii="Times New Roman" w:cs="Times New Roman" w:eastAsia="Times New Roman" w:hAnsi="Times New Roman"/>
          <w:sz w:val="18"/>
          <w:szCs w:val="18"/>
          <w:color w:val="auto"/>
        </w:rPr>
        <w:t>. The Trustee, in its individual or any other capacity, may make loans to, accept deposits from and perform services for the Issuer or its Affiliates, and may otherwise deal with the Issuer or its Affiliates, as if it were not Trustee.</w:t>
      </w:r>
    </w:p>
    <w:p>
      <w:pPr>
        <w:spacing w:after="0" w:line="161" w:lineRule="exact"/>
        <w:rPr>
          <w:rFonts w:ascii="Times New Roman" w:cs="Times New Roman" w:eastAsia="Times New Roman" w:hAnsi="Times New Roman"/>
          <w:sz w:val="18"/>
          <w:szCs w:val="18"/>
          <w:color w:val="auto"/>
        </w:rPr>
      </w:pPr>
    </w:p>
    <w:p>
      <w:pPr>
        <w:ind w:left="-40" w:right="100" w:firstLine="987"/>
        <w:spacing w:after="0" w:line="261" w:lineRule="auto"/>
        <w:tabs>
          <w:tab w:leader="none" w:pos="1221"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Recourse Against Others</w:t>
      </w:r>
      <w:r>
        <w:rPr>
          <w:rFonts w:ascii="Times New Roman" w:cs="Times New Roman" w:eastAsia="Times New Roman" w:hAnsi="Times New Roman"/>
          <w:sz w:val="18"/>
          <w:szCs w:val="18"/>
          <w:color w:val="auto"/>
        </w:rPr>
        <w:t>. No director, officer, employee, incorporator or holder of Capital Stock of Parent or of any Restricted Subsidiary, as such, shall have any liability for any obligations of the Issuer or the Guarantors under the Notes, the Indenture or the Note Guarantees or for any claim based on, in respect of, or by reason of, such obligations or their creation. Each Holder of Notes by accepting a Note waives and releases all such liability.</w:t>
      </w:r>
    </w:p>
    <w:p>
      <w:pPr>
        <w:spacing w:after="0" w:line="179" w:lineRule="exact"/>
        <w:rPr>
          <w:rFonts w:ascii="Times New Roman" w:cs="Times New Roman" w:eastAsia="Times New Roman" w:hAnsi="Times New Roman"/>
          <w:sz w:val="18"/>
          <w:szCs w:val="18"/>
          <w:color w:val="auto"/>
        </w:rPr>
      </w:pPr>
    </w:p>
    <w:p>
      <w:pPr>
        <w:ind w:left="-40" w:right="20" w:firstLine="987"/>
        <w:spacing w:after="0" w:line="261" w:lineRule="auto"/>
        <w:tabs>
          <w:tab w:leader="none" w:pos="1221"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Discharge</w:t>
      </w:r>
      <w:r>
        <w:rPr>
          <w:rFonts w:ascii="Times New Roman" w:cs="Times New Roman" w:eastAsia="Times New Roman" w:hAnsi="Times New Roman"/>
          <w:sz w:val="18"/>
          <w:szCs w:val="18"/>
          <w:color w:val="auto"/>
        </w:rPr>
        <w:t>. The Issuer’s obligations pursuant to the Indenture will be discharged, except for obligations pursuant to certain sections thereof, subject to the terms of the Indenture, upon the payment of all the Notes or upon the irrevocable deposit with the Trustee of cash in U.S. Dollars, U.S. Government Obligations or a combination thereof, in such amounts as will be sufficient to pay when due principal of and interest on the Notes to maturity or redemption, as the case may be.</w:t>
      </w:r>
    </w:p>
    <w:p>
      <w:pPr>
        <w:spacing w:after="0" w:line="179" w:lineRule="exact"/>
        <w:rPr>
          <w:rFonts w:ascii="Times New Roman" w:cs="Times New Roman" w:eastAsia="Times New Roman" w:hAnsi="Times New Roman"/>
          <w:sz w:val="18"/>
          <w:szCs w:val="18"/>
          <w:color w:val="auto"/>
        </w:rPr>
      </w:pPr>
    </w:p>
    <w:p>
      <w:pPr>
        <w:jc w:val="both"/>
        <w:ind w:left="-40" w:firstLine="987"/>
        <w:spacing w:after="0" w:line="266" w:lineRule="auto"/>
        <w:tabs>
          <w:tab w:leader="none" w:pos="1221"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Guarantees</w:t>
      </w:r>
      <w:r>
        <w:rPr>
          <w:rFonts w:ascii="Times New Roman" w:cs="Times New Roman" w:eastAsia="Times New Roman" w:hAnsi="Times New Roman"/>
          <w:sz w:val="18"/>
          <w:szCs w:val="18"/>
          <w:color w:val="auto"/>
        </w:rPr>
        <w:t>. From and after the Issue Date, the Notes will be entitled to the benefits of certain Note Guarantees made for the benefit of the Holders. Reference is hereby made to the Indenture for a statement of the respective rights, limitations of rights, duties and obligations thereunder of the Guarantors, the Trustee and the Holders.</w:t>
      </w:r>
    </w:p>
    <w:p>
      <w:pPr>
        <w:spacing w:after="0" w:line="175" w:lineRule="exact"/>
        <w:rPr>
          <w:rFonts w:ascii="Times New Roman" w:cs="Times New Roman" w:eastAsia="Times New Roman" w:hAnsi="Times New Roman"/>
          <w:sz w:val="18"/>
          <w:szCs w:val="18"/>
          <w:color w:val="auto"/>
        </w:rPr>
      </w:pPr>
    </w:p>
    <w:p>
      <w:pPr>
        <w:ind w:left="1220" w:hanging="273"/>
        <w:spacing w:after="0"/>
        <w:tabs>
          <w:tab w:leader="none" w:pos="1220"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Authentication</w:t>
      </w:r>
      <w:r>
        <w:rPr>
          <w:rFonts w:ascii="Times New Roman" w:cs="Times New Roman" w:eastAsia="Times New Roman" w:hAnsi="Times New Roman"/>
          <w:sz w:val="18"/>
          <w:szCs w:val="18"/>
          <w:color w:val="auto"/>
        </w:rPr>
        <w:t>. This Note shall not be valid until the Trustee signs the certificate of authentication on the other side of this Note.</w:t>
      </w:r>
    </w:p>
    <w:p>
      <w:pPr>
        <w:spacing w:after="0" w:line="225" w:lineRule="exact"/>
        <w:rPr>
          <w:rFonts w:ascii="Times New Roman" w:cs="Times New Roman" w:eastAsia="Times New Roman" w:hAnsi="Times New Roman"/>
          <w:sz w:val="18"/>
          <w:szCs w:val="18"/>
          <w:color w:val="auto"/>
        </w:rPr>
      </w:pPr>
    </w:p>
    <w:p>
      <w:pPr>
        <w:ind w:left="-40" w:right="40" w:firstLine="987"/>
        <w:spacing w:after="0" w:line="266" w:lineRule="auto"/>
        <w:tabs>
          <w:tab w:leader="none" w:pos="1221"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NOTE SHALL BE GOVERNED BY AND CONSTRUED IN ACCORDANCE WITH THE LAWS OF THE STATE OF NEW YORK, BUT WITHOUT GIVING EFFECT TO APPLICABLE PRINCIPLES OF CONFLICTS OF LAW TO THE EXTENT THAT THE APPLICATION OF THE LAW OF ANOTHER JURISDICTION WOULD BE REQUIRED THEREBY.</w:t>
      </w:r>
    </w:p>
    <w:p>
      <w:pPr>
        <w:spacing w:after="0" w:line="175" w:lineRule="exact"/>
        <w:rPr>
          <w:rFonts w:ascii="Times New Roman" w:cs="Times New Roman" w:eastAsia="Times New Roman" w:hAnsi="Times New Roman"/>
          <w:sz w:val="18"/>
          <w:szCs w:val="18"/>
          <w:color w:val="auto"/>
        </w:rPr>
      </w:pPr>
    </w:p>
    <w:p>
      <w:pPr>
        <w:ind w:left="-40" w:right="580" w:firstLine="987"/>
        <w:spacing w:after="0" w:line="266" w:lineRule="auto"/>
        <w:tabs>
          <w:tab w:leader="none" w:pos="1221" w:val="left"/>
        </w:tabs>
        <w:numPr>
          <w:ilvl w:val="0"/>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Abbreviations. Customary abbreviations may be used in the name of a Holder or an assignee, such as: TEN COM (= tenants in common), TENANT (= tenants by the entireties), JT TEN (= joint tenants with right of survivorship and not as tenants in common), CUST (= Custodian), and U/G/M/A (= Uniform Gifts to Minors Act).</w:t>
      </w:r>
    </w:p>
    <w:p>
      <w:pPr>
        <w:spacing w:after="0" w:line="176"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The Issuer will furnish to any Holder upon written request and without charge a copy of the Indenture. Requests may be made to:</w:t>
      </w:r>
    </w:p>
    <w:p>
      <w:pPr>
        <w:spacing w:after="0" w:line="11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Crown Americas LLC</w:t>
      </w:r>
    </w:p>
    <w:p>
      <w:pPr>
        <w:spacing w:after="0" w:line="27"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c/o Crown Holdings, Inc.</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Attn: Corporate Secretary</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14025 Riveredge Drive, Suite 300</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Tampa, FL 33637</w:t>
      </w:r>
    </w:p>
    <w:p>
      <w:pPr>
        <w:spacing w:after="0" w:line="9"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18"/>
          <w:szCs w:val="18"/>
          <w:color w:val="auto"/>
        </w:rPr>
        <w:t>Telephone: ***</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C-8</w:t>
      </w:r>
    </w:p>
    <w:p>
      <w:pPr>
        <w:sectPr>
          <w:pgSz w:w="11900" w:h="16838" w:orient="portrait"/>
          <w:cols w:equalWidth="0" w:num="1">
            <w:col w:w="10920"/>
          </w:cols>
          <w:pgMar w:left="480" w:top="270" w:right="499" w:bottom="1440" w:gutter="0" w:footer="0" w:header="0"/>
        </w:sectPr>
      </w:pPr>
    </w:p>
    <w:bookmarkStart w:id="121" w:name="page122"/>
    <w:bookmarkEnd w:id="121"/>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ASSIGNMENT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 or we assign and transfer this Note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(Insert assignee’s social security or tax I.D.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180340</wp:posOffset>
            </wp:positionV>
            <wp:extent cx="699516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(Print or type name, address and zip code of assignee)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and irrevocably appoint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1111250</wp:posOffset>
            </wp:positionH>
            <wp:positionV relativeFrom="paragraph">
              <wp:posOffset>-7620</wp:posOffset>
            </wp:positionV>
            <wp:extent cx="574167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741670"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Agent to transfer this Note on the books of the Issuer. The Agent may substitute another to act for him.</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 xml:space="preserve">Date:                          </w:t>
            </w:r>
          </w:p>
        </w:tc>
        <w:tc>
          <w:tcPr>
            <w:tcW w:w="5980" w:type="dxa"/>
            <w:vAlign w:val="bottom"/>
            <w:gridSpan w:val="2"/>
          </w:tcPr>
          <w:p>
            <w:pPr>
              <w:ind w:left="780"/>
              <w:spacing w:after="0"/>
              <w:rPr>
                <w:sz w:val="20"/>
                <w:szCs w:val="20"/>
                <w:color w:val="auto"/>
              </w:rPr>
            </w:pPr>
            <w:r>
              <w:rPr>
                <w:rFonts w:ascii="Times New Roman" w:cs="Times New Roman" w:eastAsia="Times New Roman" w:hAnsi="Times New Roman"/>
                <w:sz w:val="18"/>
                <w:szCs w:val="18"/>
                <w:color w:val="auto"/>
              </w:rPr>
              <w:t>Your Signature:</w:t>
            </w:r>
          </w:p>
        </w:tc>
      </w:tr>
      <w:tr>
        <w:trPr>
          <w:trHeight w:val="21"/>
        </w:trPr>
        <w:tc>
          <w:tcPr>
            <w:tcW w:w="440" w:type="dxa"/>
            <w:vAlign w:val="bottom"/>
          </w:tcPr>
          <w:p>
            <w:pPr>
              <w:spacing w:after="0" w:line="20" w:lineRule="exact"/>
              <w:rPr>
                <w:sz w:val="1"/>
                <w:szCs w:val="1"/>
                <w:color w:val="auto"/>
              </w:rPr>
            </w:pPr>
          </w:p>
        </w:tc>
        <w:tc>
          <w:tcPr>
            <w:tcW w:w="1620" w:type="dxa"/>
            <w:vAlign w:val="bottom"/>
            <w:tcBorders>
              <w:top w:val="single" w:sz="8" w:color="auto"/>
            </w:tcBorders>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900" w:type="dxa"/>
            <w:vAlign w:val="bottom"/>
            <w:tcBorders>
              <w:bottom w:val="single" w:sz="8" w:color="auto"/>
            </w:tcBorders>
          </w:tcPr>
          <w:p>
            <w:pPr>
              <w:spacing w:after="0" w:line="20" w:lineRule="exact"/>
              <w:rPr>
                <w:sz w:val="1"/>
                <w:szCs w:val="1"/>
                <w:color w:val="auto"/>
              </w:rPr>
            </w:pPr>
          </w:p>
        </w:tc>
      </w:tr>
      <w:tr>
        <w:trPr>
          <w:trHeight w:val="191"/>
        </w:trPr>
        <w:tc>
          <w:tcPr>
            <w:tcW w:w="44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98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3900" w:type="dxa"/>
            <w:vAlign w:val="bottom"/>
          </w:tcPr>
          <w:p>
            <w:pPr>
              <w:ind w:left="100"/>
              <w:spacing w:after="0" w:line="191" w:lineRule="exact"/>
              <w:rPr>
                <w:sz w:val="20"/>
                <w:szCs w:val="20"/>
                <w:color w:val="auto"/>
              </w:rPr>
            </w:pPr>
            <w:r>
              <w:rPr>
                <w:rFonts w:ascii="Times New Roman" w:cs="Times New Roman" w:eastAsia="Times New Roman" w:hAnsi="Times New Roman"/>
                <w:sz w:val="18"/>
                <w:szCs w:val="18"/>
                <w:color w:val="auto"/>
              </w:rPr>
              <w:t>(Sign exactly as your name appears on</w:t>
            </w:r>
          </w:p>
        </w:tc>
      </w:tr>
      <w:tr>
        <w:trPr>
          <w:trHeight w:val="234"/>
        </w:trPr>
        <w:tc>
          <w:tcPr>
            <w:tcW w:w="4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98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39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the other side of this Note)</w:t>
            </w:r>
          </w:p>
        </w:tc>
      </w:tr>
      <w:tr>
        <w:trPr>
          <w:trHeight w:val="446"/>
        </w:trPr>
        <w:tc>
          <w:tcPr>
            <w:tcW w:w="50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Signature Guarantee: ______________________________</w:t>
            </w:r>
          </w:p>
        </w:tc>
        <w:tc>
          <w:tcPr>
            <w:tcW w:w="2080" w:type="dxa"/>
            <w:vAlign w:val="bottom"/>
          </w:tcPr>
          <w:p>
            <w:pPr>
              <w:spacing w:after="0"/>
              <w:rPr>
                <w:sz w:val="24"/>
                <w:szCs w:val="24"/>
                <w:color w:val="auto"/>
              </w:rPr>
            </w:pPr>
          </w:p>
        </w:tc>
        <w:tc>
          <w:tcPr>
            <w:tcW w:w="3900" w:type="dxa"/>
            <w:vAlign w:val="bottom"/>
          </w:tcPr>
          <w:p>
            <w:pPr>
              <w:spacing w:after="0"/>
              <w:rPr>
                <w:sz w:val="24"/>
                <w:szCs w:val="24"/>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25" w:lineRule="exact"/>
        <w:rPr>
          <w:sz w:val="20"/>
          <w:szCs w:val="20"/>
          <w:color w:val="auto"/>
        </w:rPr>
      </w:pPr>
    </w:p>
    <w:p>
      <w:pPr>
        <w:ind w:right="20" w:firstLine="991"/>
        <w:spacing w:after="0" w:line="289" w:lineRule="auto"/>
        <w:rPr>
          <w:sz w:val="20"/>
          <w:szCs w:val="20"/>
          <w:color w:val="auto"/>
        </w:rPr>
      </w:pPr>
      <w:r>
        <w:rPr>
          <w:rFonts w:ascii="Times New Roman" w:cs="Times New Roman" w:eastAsia="Times New Roman" w:hAnsi="Times New Roman"/>
          <w:sz w:val="17"/>
          <w:szCs w:val="17"/>
          <w:color w:val="auto"/>
        </w:rPr>
        <w:t>Signatures must be guaranteed by an “eligible guarantor institution” meeting the requirements of the Registrar, which requirements include membership or participation in the Security Transfer Agent Medallion Program (“STAMP”) or such other “signature guarantee program” as may be determined by the Registrar in addition to, or in substitution for, STAMP, all in accordance with the Securities Exchange Act of 1934, as amended.</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C-9</w:t>
      </w:r>
    </w:p>
    <w:p>
      <w:pPr>
        <w:sectPr>
          <w:pgSz w:w="11900" w:h="16838" w:orient="portrait"/>
          <w:cols w:equalWidth="0" w:num="1">
            <w:col w:w="11020"/>
          </w:cols>
          <w:pgMar w:left="440" w:top="270" w:right="439" w:bottom="1440" w:gutter="0" w:footer="0" w:header="0"/>
        </w:sectPr>
      </w:pPr>
    </w:p>
    <w:bookmarkStart w:id="122" w:name="page123"/>
    <w:bookmarkEnd w:id="122"/>
    <w:p>
      <w:pPr>
        <w:jc w:val="cente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OPTION OF HOLDER TO ELECT PURCHASE</w:t>
      </w:r>
    </w:p>
    <w:p>
      <w:pPr>
        <w:spacing w:after="0" w:line="225" w:lineRule="exact"/>
        <w:rPr>
          <w:sz w:val="20"/>
          <w:szCs w:val="20"/>
          <w:color w:val="auto"/>
        </w:rPr>
      </w:pPr>
    </w:p>
    <w:p>
      <w:pPr>
        <w:ind w:right="600" w:firstLine="991"/>
        <w:spacing w:after="0" w:line="282" w:lineRule="auto"/>
        <w:rPr>
          <w:sz w:val="20"/>
          <w:szCs w:val="20"/>
          <w:color w:val="auto"/>
        </w:rPr>
      </w:pPr>
      <w:r>
        <w:rPr>
          <w:rFonts w:ascii="Times New Roman" w:cs="Times New Roman" w:eastAsia="Times New Roman" w:hAnsi="Times New Roman"/>
          <w:sz w:val="18"/>
          <w:szCs w:val="18"/>
          <w:color w:val="auto"/>
        </w:rPr>
        <w:t>If you want to elect to have all or any part of this Note purchased by the Issuer pursuant to Section 4.08 of the Indenture, check the appropriate box:</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54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 xml:space="preserve">      </w:t>
            </w:r>
          </w:p>
        </w:tc>
        <w:tc>
          <w:tcPr>
            <w:tcW w:w="10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7"/>
              </w:rPr>
              <w:t>Section 4.08</w:t>
            </w:r>
          </w:p>
        </w:tc>
      </w:tr>
    </w:tbl>
    <w:p>
      <w:pPr>
        <w:spacing w:after="0" w:line="198" w:lineRule="exact"/>
        <w:rPr>
          <w:sz w:val="20"/>
          <w:szCs w:val="20"/>
          <w:color w:val="auto"/>
        </w:rPr>
      </w:pPr>
    </w:p>
    <w:p>
      <w:pPr>
        <w:ind w:right="180" w:firstLine="991"/>
        <w:spacing w:after="0" w:line="282" w:lineRule="auto"/>
        <w:rPr>
          <w:sz w:val="20"/>
          <w:szCs w:val="20"/>
          <w:color w:val="auto"/>
        </w:rPr>
      </w:pPr>
      <w:r>
        <w:rPr>
          <w:rFonts w:ascii="Times New Roman" w:cs="Times New Roman" w:eastAsia="Times New Roman" w:hAnsi="Times New Roman"/>
          <w:sz w:val="18"/>
          <w:szCs w:val="18"/>
          <w:color w:val="auto"/>
        </w:rPr>
        <w:t>If you want to have only part of the Note purchased by the Issuer pursuant to Section 4.08 of the Indenture, state the amount you elect to have purchased:</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17145</wp:posOffset>
            </wp:positionV>
            <wp:extent cx="273431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734310" cy="8255"/>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($1,000 or any integral multiple thereof; </w:t>
      </w:r>
      <w:r>
        <w:rPr>
          <w:rFonts w:ascii="Times New Roman" w:cs="Times New Roman" w:eastAsia="Times New Roman" w:hAnsi="Times New Roman"/>
          <w:sz w:val="18"/>
          <w:szCs w:val="18"/>
          <w:u w:val="single" w:color="auto"/>
          <w:color w:val="auto"/>
        </w:rPr>
        <w:t>provided</w:t>
      </w:r>
    </w:p>
    <w:p>
      <w:pPr>
        <w:spacing w:after="0" w:line="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that the part not purchased must be at least $2,000)</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273685</wp:posOffset>
            </wp:positionH>
            <wp:positionV relativeFrom="paragraph">
              <wp:posOffset>-7620</wp:posOffset>
            </wp:positionV>
            <wp:extent cx="205676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056765" cy="8255"/>
                    </a:xfrm>
                    <a:prstGeom prst="rect">
                      <a:avLst/>
                    </a:prstGeom>
                    <a:noFill/>
                  </pic:spPr>
                </pic:pic>
              </a:graphicData>
            </a:graphic>
          </wp:anchor>
        </w:drawing>
      </w:r>
    </w:p>
    <w:p>
      <w:pPr>
        <w:spacing w:after="0" w:line="23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Your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5038090</wp:posOffset>
            </wp:positionH>
            <wp:positionV relativeFrom="paragraph">
              <wp:posOffset>17145</wp:posOffset>
            </wp:positionV>
            <wp:extent cx="195453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7"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(Sign exactly as your name appears on</w:t>
      </w:r>
    </w:p>
    <w:p>
      <w:pPr>
        <w:spacing w:after="0" w:line="23"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8"/>
          <w:szCs w:val="18"/>
          <w:color w:val="auto"/>
        </w:rPr>
        <w:t>the face of this Note)</w:t>
      </w:r>
    </w:p>
    <w:p>
      <w:pPr>
        <w:spacing w:after="0" w:line="200" w:lineRule="exact"/>
        <w:rPr>
          <w:sz w:val="20"/>
          <w:szCs w:val="20"/>
          <w:color w:val="auto"/>
        </w:rPr>
      </w:pPr>
    </w:p>
    <w:p>
      <w:pPr>
        <w:spacing w:after="0" w:line="263"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-127635</wp:posOffset>
            </wp:positionV>
            <wp:extent cx="279463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SIGNATURE GUARANTEE</w:t>
      </w:r>
    </w:p>
    <w:p>
      <w:pPr>
        <w:spacing w:after="0" w:line="225" w:lineRule="exact"/>
        <w:rPr>
          <w:sz w:val="20"/>
          <w:szCs w:val="20"/>
          <w:color w:val="auto"/>
        </w:rPr>
      </w:pPr>
    </w:p>
    <w:p>
      <w:pPr>
        <w:ind w:firstLine="991"/>
        <w:spacing w:after="0" w:line="289" w:lineRule="auto"/>
        <w:rPr>
          <w:sz w:val="20"/>
          <w:szCs w:val="20"/>
          <w:color w:val="auto"/>
        </w:rPr>
      </w:pPr>
      <w:r>
        <w:rPr>
          <w:rFonts w:ascii="Times New Roman" w:cs="Times New Roman" w:eastAsia="Times New Roman" w:hAnsi="Times New Roman"/>
          <w:sz w:val="17"/>
          <w:szCs w:val="17"/>
          <w:color w:val="auto"/>
        </w:rPr>
        <w:t>Signatures must be guaranteed by an “eligible guarantor institution” meeting the requirements of the Registrar, which requirements include membership or participation in the Security Transfer Agent Medallion Program (“STAMP”) or such other “signature guarantee program” as may be determined by the Registrar in addition to, or in substitution for, STAMP, all in accordance with the Securities Exchange Act of 1934, as amended.</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C-10</w:t>
      </w:r>
    </w:p>
    <w:p>
      <w:pPr>
        <w:sectPr>
          <w:pgSz w:w="11900" w:h="16838" w:orient="portrait"/>
          <w:cols w:equalWidth="0" w:num="1">
            <w:col w:w="11000"/>
          </w:cols>
          <w:pgMar w:left="440" w:top="270" w:right="459" w:bottom="1440" w:gutter="0" w:footer="0" w:header="0"/>
        </w:sectPr>
      </w:pPr>
    </w:p>
    <w:bookmarkStart w:id="123" w:name="page124"/>
    <w:bookmarkEnd w:id="123"/>
    <w:p>
      <w:pPr>
        <w:jc w:val="center"/>
        <w:ind w:right="-83"/>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w:t>
      </w:r>
      <w:r>
        <w:rPr>
          <w:rFonts w:ascii="Times New Roman" w:cs="Times New Roman" w:eastAsia="Times New Roman" w:hAnsi="Times New Roman"/>
          <w:sz w:val="14"/>
          <w:szCs w:val="14"/>
          <w:color w:val="auto"/>
        </w:rPr>
        <w:t>CHEDULE OF</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4"/>
          <w:szCs w:val="14"/>
          <w:color w:val="auto"/>
        </w:rPr>
        <w:t>XCHANGES OF</w:t>
      </w:r>
      <w:r>
        <w:rPr>
          <w:rFonts w:ascii="Times New Roman" w:cs="Times New Roman" w:eastAsia="Times New Roman" w:hAnsi="Times New Roman"/>
          <w:sz w:val="18"/>
          <w:szCs w:val="18"/>
          <w:color w:val="auto"/>
        </w:rPr>
        <w:t xml:space="preserve"> I</w:t>
      </w:r>
      <w:r>
        <w:rPr>
          <w:rFonts w:ascii="Times New Roman" w:cs="Times New Roman" w:eastAsia="Times New Roman" w:hAnsi="Times New Roman"/>
          <w:sz w:val="14"/>
          <w:szCs w:val="14"/>
          <w:color w:val="auto"/>
        </w:rPr>
        <w:t>NTERESTS IN</w:t>
      </w:r>
      <w:r>
        <w:rPr>
          <w:rFonts w:ascii="Times New Roman" w:cs="Times New Roman" w:eastAsia="Times New Roman" w:hAnsi="Times New Roman"/>
          <w:sz w:val="18"/>
          <w:szCs w:val="18"/>
          <w:color w:val="auto"/>
        </w:rPr>
        <w:t xml:space="preserve"> G</w:t>
      </w:r>
      <w:r>
        <w:rPr>
          <w:rFonts w:ascii="Times New Roman" w:cs="Times New Roman" w:eastAsia="Times New Roman" w:hAnsi="Times New Roman"/>
          <w:sz w:val="14"/>
          <w:szCs w:val="14"/>
          <w:color w:val="auto"/>
        </w:rPr>
        <w:t>LOBAL</w:t>
      </w:r>
      <w:r>
        <w:rPr>
          <w:rFonts w:ascii="Times New Roman" w:cs="Times New Roman" w:eastAsia="Times New Roman" w:hAnsi="Times New Roman"/>
          <w:sz w:val="18"/>
          <w:szCs w:val="18"/>
          <w:color w:val="auto"/>
        </w:rPr>
        <w:t xml:space="preserve"> N</w:t>
      </w:r>
      <w:r>
        <w:rPr>
          <w:rFonts w:ascii="Times New Roman" w:cs="Times New Roman" w:eastAsia="Times New Roman" w:hAnsi="Times New Roman"/>
          <w:sz w:val="14"/>
          <w:szCs w:val="14"/>
          <w:color w:val="auto"/>
        </w:rPr>
        <w:t>OTE</w:t>
      </w:r>
      <w:r>
        <w:rPr>
          <w:rFonts w:ascii="Times New Roman" w:cs="Times New Roman" w:eastAsia="Times New Roman" w:hAnsi="Times New Roman"/>
          <w:sz w:val="22"/>
          <w:szCs w:val="22"/>
          <w:color w:val="auto"/>
          <w:vertAlign w:val="superscript"/>
        </w:rPr>
        <w:t>*</w:t>
      </w:r>
    </w:p>
    <w:p>
      <w:pPr>
        <w:spacing w:after="0" w:line="179" w:lineRule="exact"/>
        <w:rPr>
          <w:sz w:val="20"/>
          <w:szCs w:val="20"/>
          <w:color w:val="auto"/>
        </w:rPr>
      </w:pPr>
    </w:p>
    <w:p>
      <w:pPr>
        <w:ind w:left="4" w:firstLine="991"/>
        <w:spacing w:after="0" w:line="282" w:lineRule="auto"/>
        <w:rPr>
          <w:sz w:val="20"/>
          <w:szCs w:val="20"/>
          <w:color w:val="auto"/>
        </w:rPr>
      </w:pPr>
      <w:r>
        <w:rPr>
          <w:rFonts w:ascii="Times New Roman" w:cs="Times New Roman" w:eastAsia="Times New Roman" w:hAnsi="Times New Roman"/>
          <w:sz w:val="18"/>
          <w:szCs w:val="18"/>
          <w:color w:val="auto"/>
        </w:rPr>
        <w:t>The following exchanges of a part of this Global Note for an interest in another Global Note or for a Physical Note, or exchanges of a part of another Global Note or Physical Note for an interest in this Global Note, have been made:</w:t>
      </w:r>
    </w:p>
    <w:p>
      <w:pPr>
        <w:spacing w:after="0" w:line="172" w:lineRule="exact"/>
        <w:rPr>
          <w:sz w:val="20"/>
          <w:szCs w:val="20"/>
          <w:color w:val="auto"/>
        </w:rPr>
      </w:pPr>
    </w:p>
    <w:tbl>
      <w:tblPr>
        <w:tblLayout w:type="fixed"/>
        <w:tblInd w:w="804" w:type="dxa"/>
        <w:tblCellMar>
          <w:top w:w="0" w:type="dxa"/>
          <w:left w:w="0" w:type="dxa"/>
          <w:bottom w:w="0" w:type="dxa"/>
          <w:right w:w="0" w:type="dxa"/>
        </w:tblCellMar>
      </w:tblPr>
      <w:tr>
        <w:trPr>
          <w:trHeight w:val="161"/>
        </w:trPr>
        <w:tc>
          <w:tcPr>
            <w:tcW w:w="10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 decrease in</w:t>
            </w:r>
          </w:p>
        </w:tc>
        <w:tc>
          <w:tcPr>
            <w:tcW w:w="90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color w:val="auto"/>
              </w:rPr>
              <w:t>Amount of increase in</w:t>
            </w:r>
          </w:p>
        </w:tc>
        <w:tc>
          <w:tcPr>
            <w:tcW w:w="2520" w:type="dxa"/>
            <w:vAlign w:val="bottom"/>
            <w:gridSpan w:val="3"/>
          </w:tcPr>
          <w:p>
            <w:pPr>
              <w:jc w:val="center"/>
              <w:ind w:left="708"/>
              <w:spacing w:after="0"/>
              <w:rPr>
                <w:sz w:val="20"/>
                <w:szCs w:val="20"/>
                <w:color w:val="auto"/>
              </w:rPr>
            </w:pPr>
            <w:r>
              <w:rPr>
                <w:rFonts w:ascii="Times New Roman" w:cs="Times New Roman" w:eastAsia="Times New Roman" w:hAnsi="Times New Roman"/>
                <w:sz w:val="14"/>
                <w:szCs w:val="14"/>
                <w:color w:val="auto"/>
              </w:rPr>
              <w:t>Principal Amount</w:t>
            </w:r>
          </w:p>
        </w:tc>
        <w:tc>
          <w:tcPr>
            <w:tcW w:w="32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2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520" w:type="dxa"/>
            <w:vAlign w:val="bottom"/>
            <w:gridSpan w:val="3"/>
          </w:tcPr>
          <w:p>
            <w:pPr>
              <w:jc w:val="center"/>
              <w:ind w:left="708"/>
              <w:spacing w:after="0" w:line="149" w:lineRule="exact"/>
              <w:rPr>
                <w:sz w:val="20"/>
                <w:szCs w:val="20"/>
                <w:color w:val="auto"/>
              </w:rPr>
            </w:pPr>
            <w:r>
              <w:rPr>
                <w:rFonts w:ascii="Times New Roman" w:cs="Times New Roman" w:eastAsia="Times New Roman" w:hAnsi="Times New Roman"/>
                <w:sz w:val="14"/>
                <w:szCs w:val="14"/>
                <w:color w:val="auto"/>
              </w:rPr>
              <w:t>of this Global Note</w:t>
            </w:r>
          </w:p>
        </w:tc>
        <w:tc>
          <w:tcPr>
            <w:tcW w:w="3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04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Principal Amount</w:t>
            </w:r>
          </w:p>
        </w:tc>
        <w:tc>
          <w:tcPr>
            <w:tcW w:w="9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Principal Amount</w:t>
            </w:r>
          </w:p>
        </w:tc>
        <w:tc>
          <w:tcPr>
            <w:tcW w:w="2520" w:type="dxa"/>
            <w:vAlign w:val="bottom"/>
            <w:gridSpan w:val="3"/>
          </w:tcPr>
          <w:p>
            <w:pPr>
              <w:jc w:val="center"/>
              <w:ind w:left="708"/>
              <w:spacing w:after="0" w:line="149" w:lineRule="exact"/>
              <w:rPr>
                <w:sz w:val="20"/>
                <w:szCs w:val="20"/>
                <w:color w:val="auto"/>
              </w:rPr>
            </w:pPr>
            <w:r>
              <w:rPr>
                <w:rFonts w:ascii="Times New Roman" w:cs="Times New Roman" w:eastAsia="Times New Roman" w:hAnsi="Times New Roman"/>
                <w:sz w:val="14"/>
                <w:szCs w:val="14"/>
                <w:color w:val="auto"/>
              </w:rPr>
              <w:t>following such</w:t>
            </w:r>
          </w:p>
        </w:tc>
        <w:tc>
          <w:tcPr>
            <w:tcW w:w="1680" w:type="dxa"/>
            <w:vAlign w:val="bottom"/>
            <w:gridSpan w:val="2"/>
            <w:vMerge w:val="restart"/>
          </w:tcPr>
          <w:p>
            <w:pPr>
              <w:jc w:val="center"/>
              <w:ind w:left="228"/>
              <w:spacing w:after="0"/>
              <w:rPr>
                <w:sz w:val="20"/>
                <w:szCs w:val="20"/>
                <w:color w:val="auto"/>
              </w:rPr>
            </w:pPr>
            <w:r>
              <w:rPr>
                <w:rFonts w:ascii="Times New Roman" w:cs="Times New Roman" w:eastAsia="Times New Roman" w:hAnsi="Times New Roman"/>
                <w:sz w:val="14"/>
                <w:szCs w:val="14"/>
                <w:color w:val="auto"/>
              </w:rPr>
              <w:t>Signature of authorized</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Date of Exchange</w:t>
            </w:r>
          </w:p>
        </w:tc>
        <w:tc>
          <w:tcPr>
            <w:tcW w:w="128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90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of</w:t>
            </w:r>
          </w:p>
        </w:tc>
        <w:tc>
          <w:tcPr>
            <w:tcW w:w="1280" w:type="dxa"/>
            <w:vAlign w:val="bottom"/>
          </w:tcPr>
          <w:p>
            <w:pPr>
              <w:spacing w:after="0"/>
              <w:rPr>
                <w:sz w:val="12"/>
                <w:szCs w:val="12"/>
                <w:color w:val="auto"/>
              </w:rPr>
            </w:pPr>
          </w:p>
        </w:tc>
        <w:tc>
          <w:tcPr>
            <w:tcW w:w="1240" w:type="dxa"/>
            <w:vAlign w:val="bottom"/>
            <w:gridSpan w:val="2"/>
          </w:tcPr>
          <w:p>
            <w:pPr>
              <w:jc w:val="center"/>
              <w:ind w:right="500"/>
              <w:spacing w:after="0" w:line="149" w:lineRule="exact"/>
              <w:rPr>
                <w:sz w:val="20"/>
                <w:szCs w:val="20"/>
                <w:color w:val="auto"/>
              </w:rPr>
            </w:pPr>
            <w:r>
              <w:rPr>
                <w:rFonts w:ascii="Times New Roman" w:cs="Times New Roman" w:eastAsia="Times New Roman" w:hAnsi="Times New Roman"/>
                <w:sz w:val="14"/>
                <w:szCs w:val="14"/>
                <w:color w:val="auto"/>
              </w:rPr>
              <w:t>decrease</w:t>
            </w:r>
          </w:p>
        </w:tc>
        <w:tc>
          <w:tcPr>
            <w:tcW w:w="16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1040" w:type="dxa"/>
            <w:vAlign w:val="bottom"/>
            <w:tcBorders>
              <w:bottom w:val="single" w:sz="8" w:color="auto"/>
            </w:tcBorders>
            <w:vMerge w:val="continue"/>
          </w:tcPr>
          <w:p>
            <w:pPr>
              <w:spacing w:after="0"/>
              <w:rPr>
                <w:sz w:val="14"/>
                <w:szCs w:val="14"/>
                <w:color w:val="auto"/>
              </w:rPr>
            </w:pPr>
          </w:p>
        </w:tc>
        <w:tc>
          <w:tcPr>
            <w:tcW w:w="1280" w:type="dxa"/>
            <w:vAlign w:val="bottom"/>
          </w:tcPr>
          <w:p>
            <w:pPr>
              <w:spacing w:after="0"/>
              <w:rPr>
                <w:sz w:val="14"/>
                <w:szCs w:val="14"/>
                <w:color w:val="auto"/>
              </w:rPr>
            </w:pPr>
          </w:p>
        </w:tc>
        <w:tc>
          <w:tcPr>
            <w:tcW w:w="13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this Global Note</w:t>
            </w:r>
          </w:p>
        </w:tc>
        <w:tc>
          <w:tcPr>
            <w:tcW w:w="900" w:type="dxa"/>
            <w:vAlign w:val="bottom"/>
          </w:tcPr>
          <w:p>
            <w:pPr>
              <w:spacing w:after="0"/>
              <w:rPr>
                <w:sz w:val="14"/>
                <w:szCs w:val="14"/>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this Global Note</w:t>
            </w:r>
          </w:p>
        </w:tc>
        <w:tc>
          <w:tcPr>
            <w:tcW w:w="1280" w:type="dxa"/>
            <w:vAlign w:val="bottom"/>
          </w:tcPr>
          <w:p>
            <w:pPr>
              <w:spacing w:after="0"/>
              <w:rPr>
                <w:sz w:val="14"/>
                <w:szCs w:val="14"/>
                <w:color w:val="auto"/>
              </w:rPr>
            </w:pP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(or increase)</w:t>
            </w:r>
          </w:p>
        </w:tc>
        <w:tc>
          <w:tcPr>
            <w:tcW w:w="5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signatory of Trustee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171450</wp:posOffset>
            </wp:positionV>
            <wp:extent cx="77152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96" w:lineRule="exact"/>
        <w:rPr>
          <w:sz w:val="20"/>
          <w:szCs w:val="20"/>
          <w:color w:val="auto"/>
        </w:rPr>
      </w:pPr>
    </w:p>
    <w:p>
      <w:pPr>
        <w:ind w:left="424" w:hanging="424"/>
        <w:spacing w:after="0"/>
        <w:tabs>
          <w:tab w:leader="none" w:pos="424" w:val="left"/>
        </w:tabs>
        <w:numPr>
          <w:ilvl w:val="0"/>
          <w:numId w:val="12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Insert in Global Securities only.</w:t>
      </w:r>
    </w:p>
    <w:p>
      <w:pPr>
        <w:spacing w:after="0" w:line="130"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C-11</w:t>
      </w:r>
    </w:p>
    <w:p>
      <w:pPr>
        <w:sectPr>
          <w:pgSz w:w="11900" w:h="16838" w:orient="portrait"/>
          <w:cols w:equalWidth="0" w:num="1">
            <w:col w:w="10924"/>
          </w:cols>
          <w:pgMar w:left="436" w:top="270" w:right="539" w:bottom="1440" w:gutter="0" w:footer="0" w:header="0"/>
        </w:sectPr>
      </w:pPr>
    </w:p>
    <w:bookmarkStart w:id="124" w:name="page125"/>
    <w:bookmarkEnd w:id="124"/>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LEGEND FOR RESTRICTED SECURITIES]</w:t>
      </w:r>
    </w:p>
    <w:p>
      <w:pPr>
        <w:spacing w:after="0" w:line="225" w:lineRule="exact"/>
        <w:rPr>
          <w:sz w:val="20"/>
          <w:szCs w:val="20"/>
          <w:color w:val="auto"/>
        </w:rPr>
      </w:pPr>
    </w:p>
    <w:p>
      <w:pPr>
        <w:ind w:right="160" w:firstLine="991"/>
        <w:spacing w:after="0" w:line="282" w:lineRule="auto"/>
        <w:rPr>
          <w:sz w:val="20"/>
          <w:szCs w:val="20"/>
          <w:color w:val="auto"/>
        </w:rPr>
      </w:pPr>
      <w:r>
        <w:rPr>
          <w:rFonts w:ascii="Times New Roman" w:cs="Times New Roman" w:eastAsia="Times New Roman" w:hAnsi="Times New Roman"/>
          <w:sz w:val="18"/>
          <w:szCs w:val="18"/>
          <w:color w:val="auto"/>
        </w:rPr>
        <w:t>Any Restricted Note authenticated and delivered hereunder shall bear a legend (which would be in addition to any other legends required in the case of a Global Note) in substantially the following form:</w:t>
      </w:r>
    </w:p>
    <w:p>
      <w:pPr>
        <w:spacing w:after="0" w:line="54" w:lineRule="exact"/>
        <w:rPr>
          <w:sz w:val="20"/>
          <w:szCs w:val="20"/>
          <w:color w:val="auto"/>
        </w:rPr>
      </w:pPr>
    </w:p>
    <w:p>
      <w:pPr>
        <w:ind w:left="440" w:right="20"/>
        <w:spacing w:after="0" w:line="252" w:lineRule="auto"/>
        <w:rPr>
          <w:sz w:val="20"/>
          <w:szCs w:val="20"/>
          <w:color w:val="auto"/>
        </w:rPr>
      </w:pPr>
      <w:r>
        <w:rPr>
          <w:rFonts w:ascii="Times New Roman" w:cs="Times New Roman" w:eastAsia="Times New Roman" w:hAnsi="Times New Roman"/>
          <w:sz w:val="18"/>
          <w:szCs w:val="18"/>
          <w:color w:val="auto"/>
        </w:rPr>
        <w:t>THIS SECURITY HAS NOT BEEN REGISTERED UNDER THE U.S. SECURITIES ACT OF 1933, AS AMENDED (THE “SECURITIES ACT”), OR THE SECURITIES LAWS OF ANY STATE OR OTHER JURISDICTION, AND, ACCORDINGLY, MAY NOT BE OFFERED OR SOLD EXCEPT AS SET FORTH BELOW. BY ITS ACQUISITION HEREOF, THE HOLDER (1) REPRESENTS THAT (A) IT IS A “QUALIFIED INSTITUTIONAL BUYER” (AS DEFINED IN RULE 144A UNDER THE SECURITIES ACT), (B) IT IS NOT A U.S. PERSON AND IS ACQUIRING THIS SECURITY IN AN OFFSHORE TRANSACTION IN COMPLIANCE WITH RULE 904 UNDER THE SECURITIES ACT OR (C) IT IS AN ACCREDITED INVESTOR (AS DEFINED IN RULE 501(a)(1), (2), (3), OR (7) UNDER THE SECURITIES ACT (AN “ACCREDITED INVESTOR”), (2) AGREES THAT IT WILL NOT, ON ITS OWN BEHALF AND ON BEHALF OF ANY INVESTOR FOR WHICH IT HAS PURCHASED SECURITIES, PRIOR TO THE DATE (THE “RESALE RESTRICTION TERMINATION DATE”) WHICH IS [IN THE CASE OF RULE 144A NOTES: ONE YEAR] [ IN THE CASE OF REGULATION S NOTES:</w:t>
      </w:r>
    </w:p>
    <w:p>
      <w:pPr>
        <w:spacing w:after="0" w:line="6" w:lineRule="exact"/>
        <w:rPr>
          <w:sz w:val="20"/>
          <w:szCs w:val="20"/>
          <w:color w:val="auto"/>
        </w:rPr>
      </w:pPr>
    </w:p>
    <w:p>
      <w:pPr>
        <w:ind w:left="440" w:right="20"/>
        <w:spacing w:after="0" w:line="250" w:lineRule="auto"/>
        <w:rPr>
          <w:sz w:val="20"/>
          <w:szCs w:val="20"/>
          <w:color w:val="auto"/>
        </w:rPr>
      </w:pPr>
      <w:r>
        <w:rPr>
          <w:rFonts w:ascii="Times New Roman" w:cs="Times New Roman" w:eastAsia="Times New Roman" w:hAnsi="Times New Roman"/>
          <w:sz w:val="18"/>
          <w:szCs w:val="18"/>
          <w:color w:val="auto"/>
        </w:rPr>
        <w:t>40 DAYS] (OR SUCH SHORTER PERIOD OF TIME AS PERMITTED BY [RULE 144] [REGULATION S] UNDER THE SECURITIES ACT OR ANY SUCCESSOR PROVISION THEREUNDER) AFTER THE LATER OF THE ORIGINAL ISSUE DATE OF THIS SECURITY AND THE LAST DATE ON WHICH THE ISSUER OR ANY AFFILIATE OF THE ISSUER WAS THE OWNER OF THIS SECURITY (OR ANY PREDECESSOR OF THIS SECURITY) OR, IF LATER, THE LAST DATE UPON WHICH ADDITIONAL NOTES (AS DEFINED IN THE INDENTURE) HAVE BEEN ISSUED, OFFER, RESELL OR OTHERWISE TRANSFER THIS SECURITY EXCEPT (A) TO THE ISSUER OR ANY SUBSIDIARY THEREOF, (B) INSIDE THE UNITED STATES TO A QUALIFIED INSTITUTIONAL BUYER IN COMPLIANCE WITH RULE 144A UNDER THE SECURITIES ACT, (C) INSIDE THE UNITED STATES TO AN ACCREDITED INVESTOR THAT, PRIOR TO SUCH TRANSFER, FURNISHES (OR HAS FURNISHED ON ITS BEHALF BY A U.S. BROKER-DEALER) TO THE TRUSTEE A SIGNED LETTER CONTAINING CERTAIN REPRESENTATIONS AND AGREEMENTS RELATING TO THE RESTRICTIONS ON TRANSFER OF THIS SECURITY (THE FORM OF WHICH LETTER CAN BE OBTAINED FROM THE TRUSTEE FOR THIS SECURITY),</w:t>
      </w:r>
    </w:p>
    <w:p>
      <w:pPr>
        <w:spacing w:after="0" w:line="4" w:lineRule="exact"/>
        <w:rPr>
          <w:sz w:val="20"/>
          <w:szCs w:val="20"/>
          <w:color w:val="auto"/>
        </w:rPr>
      </w:pPr>
    </w:p>
    <w:p>
      <w:pPr>
        <w:ind w:left="440" w:right="100" w:hanging="4"/>
        <w:spacing w:after="0" w:line="255" w:lineRule="auto"/>
        <w:tabs>
          <w:tab w:leader="none" w:pos="735"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OUTSIDE THE UNITED STATES IN AN OFFSHORE TRANSACTION IN COMPLIANCE WITH RULE 904 UNDER THE SECURITIES ACT (IF AVAILABLE), (E) PURSUANT TO THE EXEMPTION FROM REGISTRATION PROVIDED BY RULE 144 UNDER THE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1020"/>
          </w:cols>
          <w:pgMar w:left="440" w:top="270" w:right="439" w:bottom="1440" w:gutter="0" w:footer="0" w:header="0"/>
        </w:sectPr>
      </w:pPr>
    </w:p>
    <w:bookmarkStart w:id="125" w:name="page126"/>
    <w:bookmarkEnd w:id="125"/>
    <w:p>
      <w:pPr>
        <w:ind w:left="4" w:right="240"/>
        <w:spacing w:after="0" w:line="276"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ACT (IF AVAILABLE), (F) IN ACCORDANCE WITH ANOTHER EXEMPTION FROM THE REGISTRATION REQUIREMENTS OF THE SECURITIES ACT (AND BASED UPON AN OPINION OF COUNSEL IF THE ISSUER SO REQUESTS), OR</w:t>
      </w:r>
    </w:p>
    <w:p>
      <w:pPr>
        <w:spacing w:after="0" w:line="1" w:lineRule="exact"/>
        <w:rPr>
          <w:sz w:val="20"/>
          <w:szCs w:val="20"/>
          <w:color w:val="auto"/>
        </w:rPr>
      </w:pPr>
    </w:p>
    <w:p>
      <w:pPr>
        <w:ind w:left="4" w:hanging="4"/>
        <w:spacing w:after="0" w:line="251" w:lineRule="auto"/>
        <w:tabs>
          <w:tab w:leader="none" w:pos="29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AN EFFECTIVE REGISTRATION STATEMENT UNDER THE SECURITIES ACT AND (3) AGREES THAT IT WILL GIVE TO EACH PERSON TO WHOM THIS SECURITY IS TRANSFERRED A NOTICE SUBSTANTIALLY TO THE EFFECT OF THIS LEGEND. IN CONNECTION WITH ANY TRANSFER OF THIS SECURITY WITHIN ONE YEAR AFTER THE ORIGINAL ISSUANCE OF THIS SECURITY, IF THE PROPOSED TRANSFEREE IS AN ACCREDITED INVESTOR, THE HOLDER MUST, PRIOR TO SUCH TRANSFER, FURNISH TO THE TRUSTEE AND THE ISSUER SUCH CERTIFICATIONS, LEGAL OPINIONS OR OTHER INFORMATION AS EITHER OF THEM MAY REASONABLY REQUIRE TO CONFIRM THAT SUCH TRANSFER IS BEING MADE PURSUANT TO AN EXEMPTION FROM, OR IN A TRANSACTION NOT SUBJECT TO, THE REGISTRATION REQUIREMENTS OF THE SECURITIES ACT. AS USED HEREIN, THE TERMS “OFFSHORE TRANSACTION,” “UNITED STATES” AND “U.S. PERSON” HAVE THE MEANING GIVEN TO THEM BY REGULATION S UNDER THE SECURITIES ACT.</w:t>
      </w:r>
    </w:p>
    <w:p>
      <w:pPr>
        <w:spacing w:after="0" w:line="126"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0564"/>
          </w:cols>
          <w:pgMar w:left="876" w:top="270" w:right="459" w:bottom="1440" w:gutter="0" w:footer="0" w:header="0"/>
        </w:sectPr>
      </w:pPr>
    </w:p>
    <w:bookmarkStart w:id="126" w:name="page127"/>
    <w:bookmarkEnd w:id="126"/>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LEGEND FOR GLOBAL NOTE]</w:t>
      </w:r>
    </w:p>
    <w:p>
      <w:pPr>
        <w:spacing w:after="0" w:line="225" w:lineRule="exact"/>
        <w:rPr>
          <w:sz w:val="20"/>
          <w:szCs w:val="20"/>
          <w:color w:val="auto"/>
        </w:rPr>
      </w:pPr>
    </w:p>
    <w:p>
      <w:pPr>
        <w:ind w:right="220" w:firstLine="991"/>
        <w:spacing w:after="0" w:line="282" w:lineRule="auto"/>
        <w:rPr>
          <w:sz w:val="20"/>
          <w:szCs w:val="20"/>
          <w:color w:val="auto"/>
        </w:rPr>
      </w:pPr>
      <w:r>
        <w:rPr>
          <w:rFonts w:ascii="Times New Roman" w:cs="Times New Roman" w:eastAsia="Times New Roman" w:hAnsi="Times New Roman"/>
          <w:sz w:val="18"/>
          <w:szCs w:val="18"/>
          <w:color w:val="auto"/>
        </w:rPr>
        <w:t>Any Global Note authenticated and delivered hereunder shall bear a legend (which would be in addition to any other legends required in the case of a Restricted Note) in substantially the following form:</w:t>
      </w:r>
    </w:p>
    <w:p>
      <w:pPr>
        <w:spacing w:after="0" w:line="54"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THIS NOTE IS A GLOBAL NOTE WITHIN THE MEANING OF THE INDENTURE HEREINAFTER REFERRED TO AND IS REGISTERED IN THE NAME OF A DEPOSITORY OR A NOMINEE OF A DEPOSITORY. THIS NOTE IS NOT EXCHANGEABLE FOR NOTES REGISTERED IN THE NAME OF A PERSON OTHER THAN THE DEPOSITORY OR ITS NOMINEE EXCEPT IN THE LIMITED CIRCUMSTANCES DESCRIBED IN THE INDENTURE, AND NO TRANSFER OF THIS NOTE (OTHER THAN A TRANSFER OF THIS NOTE AS A WHOLE BY THE DEPOSITORY TO A NOMINEE OF THE DEPOSITORY OR BY A NOMINEE OF THE DEPOSITORY TO THE DEPOSITORY OR ANOTHER NOMINEE OF THE DEPOSITORY) MAY BE REGISTERED EXCEPT IN THE LIMITED CIRCUMSTANCES DESCRIBED IN THE INDENTURE.</w:t>
      </w:r>
    </w:p>
    <w:p>
      <w:pPr>
        <w:spacing w:after="0" w:line="189"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UNLESS THIS CERTIFICATE IS PRESENTED BY AN AUTHORIZED REPRESENTATIVE OF THE DEPOSITORY TRUST COMPANY, A NEW YORK CORPORATION (“DTC”), TO THE ISSUER OR ITS AGENT FOR REGISTRATION OF TRANSFER, EXCHANGE, OR PAYMENT, AND ANY CERTIFICATE ISSUED IS REGISTERED IN THE NAME OF CEDE &amp; CO. OR IN SUCH OTHER NAME AS IS REQUESTED BY AN AUTHORIZED REPRESENTATIVE OF DTC (AND ANY PAYMENT IS MADE TO CEDE &amp; CO. OR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C-1</w:t>
      </w:r>
    </w:p>
    <w:p>
      <w:pPr>
        <w:sectPr>
          <w:pgSz w:w="11900" w:h="16838" w:orient="portrait"/>
          <w:cols w:equalWidth="0" w:num="1">
            <w:col w:w="11020"/>
          </w:cols>
          <w:pgMar w:left="440" w:top="270" w:right="439" w:bottom="1440" w:gutter="0" w:footer="0" w:header="0"/>
        </w:sectPr>
      </w:pPr>
    </w:p>
    <w:bookmarkStart w:id="127" w:name="page128"/>
    <w:bookmarkEnd w:id="127"/>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D</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LEGEND FOR NOTE ISSUED WITH OID]</w:t>
      </w:r>
    </w:p>
    <w:p>
      <w:pPr>
        <w:spacing w:after="0" w:line="225" w:lineRule="exact"/>
        <w:rPr>
          <w:sz w:val="20"/>
          <w:szCs w:val="20"/>
          <w:color w:val="auto"/>
        </w:rPr>
      </w:pPr>
    </w:p>
    <w:p>
      <w:pPr>
        <w:ind w:right="200" w:firstLine="991"/>
        <w:spacing w:after="0" w:line="266" w:lineRule="auto"/>
        <w:rPr>
          <w:sz w:val="20"/>
          <w:szCs w:val="20"/>
          <w:color w:val="auto"/>
        </w:rPr>
      </w:pPr>
      <w:r>
        <w:rPr>
          <w:rFonts w:ascii="Times New Roman" w:cs="Times New Roman" w:eastAsia="Times New Roman" w:hAnsi="Times New Roman"/>
          <w:sz w:val="18"/>
          <w:szCs w:val="18"/>
          <w:color w:val="auto"/>
        </w:rPr>
        <w:t>Any Note issued with more than de minimis original issue discount for U.S. Federal Income Tax purposes authenticated and delivered hereunder shall bear a legend (which would be in addition to any other legends required in the case of a Restricted Note) in substantially the following form:</w:t>
      </w:r>
    </w:p>
    <w:p>
      <w:pPr>
        <w:spacing w:after="0" w:line="68" w:lineRule="exact"/>
        <w:rPr>
          <w:sz w:val="20"/>
          <w:szCs w:val="20"/>
          <w:color w:val="auto"/>
        </w:rPr>
      </w:pPr>
    </w:p>
    <w:p>
      <w:pPr>
        <w:ind w:right="60" w:firstLine="991"/>
        <w:spacing w:after="0" w:line="261" w:lineRule="auto"/>
        <w:rPr>
          <w:sz w:val="20"/>
          <w:szCs w:val="20"/>
          <w:color w:val="auto"/>
        </w:rPr>
      </w:pPr>
      <w:r>
        <w:rPr>
          <w:rFonts w:ascii="Times New Roman" w:cs="Times New Roman" w:eastAsia="Times New Roman" w:hAnsi="Times New Roman"/>
          <w:sz w:val="18"/>
          <w:szCs w:val="18"/>
          <w:color w:val="auto"/>
        </w:rPr>
        <w:t>“THIS NOTE IS ISSUED WITH ORIGINAL ISSUE DISCOUNT FOR PURPOSES OF SECTION 1271 ET SEQ. OF THE INTERNAL REVENUE CODE. A HOLDER MAY OBTAIN THE ISSUE PRICE, AMOUNT OF ORIGINAL ISSUE DISCOUNT, ISSUE DATE AND YIELD TO MATURITY FOR SUCH NOTE BY SUBMITTING A REQUEST FOR SUCH INFORMATION TO THE ISSUER AT THE FOLLOWING ADDRESS: 14025 RIVEREDGE DRIVE, SUITE 300, TAMPA, FL 33637.”</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D-1</w:t>
      </w:r>
    </w:p>
    <w:p>
      <w:pPr>
        <w:sectPr>
          <w:pgSz w:w="11900" w:h="16838" w:orient="portrait"/>
          <w:cols w:equalWidth="0" w:num="1">
            <w:col w:w="11020"/>
          </w:cols>
          <w:pgMar w:left="440" w:top="270" w:right="439" w:bottom="1440" w:gutter="0" w:footer="0" w:header="0"/>
        </w:sectPr>
      </w:pPr>
    </w:p>
    <w:bookmarkStart w:id="128" w:name="page129"/>
    <w:bookmarkEnd w:id="128"/>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 OF LEGEND FOR TEMPORARY REGULATION S NOTE]</w:t>
      </w:r>
    </w:p>
    <w:p>
      <w:pPr>
        <w:spacing w:after="0" w:line="225" w:lineRule="exact"/>
        <w:rPr>
          <w:sz w:val="20"/>
          <w:szCs w:val="20"/>
          <w:color w:val="auto"/>
        </w:rPr>
      </w:pPr>
    </w:p>
    <w:p>
      <w:pPr>
        <w:ind w:right="600" w:firstLine="991"/>
        <w:spacing w:after="0" w:line="312" w:lineRule="auto"/>
        <w:rPr>
          <w:sz w:val="20"/>
          <w:szCs w:val="20"/>
          <w:color w:val="auto"/>
        </w:rPr>
      </w:pPr>
      <w:r>
        <w:rPr>
          <w:rFonts w:ascii="Times New Roman" w:cs="Times New Roman" w:eastAsia="Times New Roman" w:hAnsi="Times New Roman"/>
          <w:sz w:val="17"/>
          <w:szCs w:val="17"/>
          <w:color w:val="auto"/>
        </w:rPr>
        <w:t>Any Regulation S Note authenticated and delivered hereunder shall bear a legend (which would be in addition to any other legends required in the case of a Restricted Note) for the 40 day distribution period (as defined in Regulation S) in substantially the following form:</w:t>
      </w:r>
    </w:p>
    <w:p>
      <w:pPr>
        <w:spacing w:after="0" w:line="32" w:lineRule="exact"/>
        <w:rPr>
          <w:sz w:val="20"/>
          <w:szCs w:val="20"/>
          <w:color w:val="auto"/>
        </w:rPr>
      </w:pPr>
    </w:p>
    <w:p>
      <w:pPr>
        <w:jc w:val="both"/>
        <w:ind w:right="840" w:firstLine="991"/>
        <w:spacing w:after="0" w:line="266" w:lineRule="auto"/>
        <w:rPr>
          <w:sz w:val="20"/>
          <w:szCs w:val="20"/>
          <w:color w:val="auto"/>
        </w:rPr>
      </w:pPr>
      <w:r>
        <w:rPr>
          <w:rFonts w:ascii="Times New Roman" w:cs="Times New Roman" w:eastAsia="Times New Roman" w:hAnsi="Times New Roman"/>
          <w:sz w:val="18"/>
          <w:szCs w:val="18"/>
          <w:color w:val="auto"/>
        </w:rPr>
        <w:t>“BY ITS ACQUISITION HEREOF, THE HOLDER HEREOF REPRESENTS THAT IT IS NOT A U.S. PERSON, NOR IS IT PURCHASING FOR THE ACCOUNT OF A U.S. PERSON, AND IS ACQUIRING THIS NOTE IN AN OFFSHORE TRANSACTION IN ACCORDANCE WITH REGULATION S UNDER THE SECURITIES ACT.”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E-1</w:t>
      </w:r>
    </w:p>
    <w:p>
      <w:pPr>
        <w:sectPr>
          <w:pgSz w:w="11900" w:h="16838" w:orient="portrait"/>
          <w:cols w:equalWidth="0" w:num="1">
            <w:col w:w="11020"/>
          </w:cols>
          <w:pgMar w:left="440" w:top="270" w:right="439" w:bottom="1440" w:gutter="0" w:footer="0" w:header="0"/>
        </w:sectPr>
      </w:pPr>
    </w:p>
    <w:bookmarkStart w:id="129" w:name="page130"/>
    <w:bookmarkEnd w:id="129"/>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F</w:t>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CERTIFICATE OF TRANSFER</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Crown Americas LLC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 Crown Holdings, Inc.</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14025 Riveredge Drive, Suite 300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Tampa, FL 33637</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ind w:left="4"/>
        <w:spacing w:after="0" w:line="196" w:lineRule="auto"/>
        <w:rPr>
          <w:sz w:val="20"/>
          <w:szCs w:val="20"/>
          <w:color w:val="auto"/>
        </w:rPr>
      </w:pPr>
      <w:r>
        <w:rPr>
          <w:rFonts w:ascii="Times New Roman" w:cs="Times New Roman" w:eastAsia="Times New Roman" w:hAnsi="Times New Roman"/>
          <w:sz w:val="18"/>
          <w:szCs w:val="18"/>
          <w:color w:val="auto"/>
        </w:rPr>
        <w:t>1735 Market St., 43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Mail Station: EX-PA-WBSP</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Telephone: ***</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Facsimile: ***</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Michael Judge</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5.875% Senior Notes due 2033</w:t>
      </w:r>
    </w:p>
    <w:p>
      <w:pPr>
        <w:spacing w:after="0" w:line="225" w:lineRule="exact"/>
        <w:rPr>
          <w:sz w:val="20"/>
          <w:szCs w:val="20"/>
          <w:color w:val="auto"/>
        </w:rPr>
      </w:pPr>
    </w:p>
    <w:p>
      <w:pPr>
        <w:ind w:left="4584"/>
        <w:spacing w:after="0"/>
        <w:rPr>
          <w:sz w:val="20"/>
          <w:szCs w:val="20"/>
          <w:color w:val="auto"/>
        </w:rPr>
      </w:pPr>
      <w:r>
        <w:rPr>
          <w:rFonts w:ascii="Times New Roman" w:cs="Times New Roman" w:eastAsia="Times New Roman" w:hAnsi="Times New Roman"/>
          <w:sz w:val="18"/>
          <w:szCs w:val="18"/>
          <w:color w:val="auto"/>
        </w:rPr>
        <w:t>(CUSIP _____________)</w:t>
      </w:r>
    </w:p>
    <w:p>
      <w:pPr>
        <w:spacing w:after="0" w:line="27" w:lineRule="exact"/>
        <w:rPr>
          <w:sz w:val="20"/>
          <w:szCs w:val="20"/>
          <w:color w:val="auto"/>
        </w:rPr>
      </w:pPr>
    </w:p>
    <w:p>
      <w:pPr>
        <w:ind w:left="4584"/>
        <w:spacing w:after="0"/>
        <w:rPr>
          <w:sz w:val="20"/>
          <w:szCs w:val="20"/>
          <w:color w:val="auto"/>
        </w:rPr>
      </w:pPr>
      <w:r>
        <w:rPr>
          <w:rFonts w:ascii="Times New Roman" w:cs="Times New Roman" w:eastAsia="Times New Roman" w:hAnsi="Times New Roman"/>
          <w:sz w:val="18"/>
          <w:szCs w:val="18"/>
          <w:color w:val="auto"/>
        </w:rPr>
        <w:t>(ISIN _______________)</w:t>
      </w:r>
    </w:p>
    <w:p>
      <w:pPr>
        <w:spacing w:after="0" w:line="207" w:lineRule="exact"/>
        <w:rPr>
          <w:sz w:val="20"/>
          <w:szCs w:val="20"/>
          <w:color w:val="auto"/>
        </w:rPr>
      </w:pPr>
    </w:p>
    <w:p>
      <w:pPr>
        <w:ind w:left="4" w:right="80"/>
        <w:spacing w:after="0" w:line="266" w:lineRule="auto"/>
        <w:rPr>
          <w:sz w:val="20"/>
          <w:szCs w:val="20"/>
          <w:color w:val="auto"/>
        </w:rPr>
      </w:pPr>
      <w:r>
        <w:rPr>
          <w:rFonts w:ascii="Times New Roman" w:cs="Times New Roman" w:eastAsia="Times New Roman" w:hAnsi="Times New Roman"/>
          <w:sz w:val="18"/>
          <w:szCs w:val="18"/>
          <w:color w:val="auto"/>
        </w:rPr>
        <w:t>Reference is hereby made to the Indenture, dated as of May 27, 2025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by and among Crown Americas LLC (“</w:t>
      </w:r>
      <w:r>
        <w:rPr>
          <w:rFonts w:ascii="Times New Roman" w:cs="Times New Roman" w:eastAsia="Times New Roman" w:hAnsi="Times New Roman"/>
          <w:sz w:val="18"/>
          <w:szCs w:val="18"/>
          <w:u w:val="single" w:color="auto"/>
          <w:color w:val="auto"/>
        </w:rPr>
        <w:t>Crown Americas</w:t>
      </w:r>
      <w:r>
        <w:rPr>
          <w:rFonts w:ascii="Times New Roman" w:cs="Times New Roman" w:eastAsia="Times New Roman" w:hAnsi="Times New Roman"/>
          <w:sz w:val="18"/>
          <w:szCs w:val="18"/>
          <w:color w:val="auto"/>
        </w:rPr>
        <w:t>”), as issuer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the Guarantors and U.S. Bank Trust Company, National Association, as trustee. Capitalized terms used but not defined herein shall have the meanings given to them in the Indenture.</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______________ (the “</w:t>
      </w:r>
      <w:r>
        <w:rPr>
          <w:rFonts w:ascii="Times New Roman" w:cs="Times New Roman" w:eastAsia="Times New Roman" w:hAnsi="Times New Roman"/>
          <w:sz w:val="18"/>
          <w:szCs w:val="18"/>
          <w:u w:val="single" w:color="auto"/>
          <w:color w:val="auto"/>
        </w:rPr>
        <w:t>Transferor</w:t>
      </w:r>
      <w:r>
        <w:rPr>
          <w:rFonts w:ascii="Times New Roman" w:cs="Times New Roman" w:eastAsia="Times New Roman" w:hAnsi="Times New Roman"/>
          <w:sz w:val="18"/>
          <w:szCs w:val="18"/>
          <w:color w:val="auto"/>
        </w:rPr>
        <w:t>”) owns and proposes to transfer the Note[s] or interest in such Note[s] specified in Annex A hereto, in</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the principal amount of ___________ in such Note[s] or interests (the “</w:t>
      </w:r>
      <w:r>
        <w:rPr>
          <w:rFonts w:ascii="Times New Roman" w:cs="Times New Roman" w:eastAsia="Times New Roman" w:hAnsi="Times New Roman"/>
          <w:sz w:val="18"/>
          <w:szCs w:val="18"/>
          <w:u w:val="single" w:color="auto"/>
          <w:color w:val="auto"/>
        </w:rPr>
        <w:t>Transfer</w:t>
      </w:r>
      <w:r>
        <w:rPr>
          <w:rFonts w:ascii="Times New Roman" w:cs="Times New Roman" w:eastAsia="Times New Roman" w:hAnsi="Times New Roman"/>
          <w:sz w:val="18"/>
          <w:szCs w:val="18"/>
          <w:color w:val="auto"/>
        </w:rPr>
        <w:t>”), to __________ (the “</w:t>
      </w:r>
      <w:r>
        <w:rPr>
          <w:rFonts w:ascii="Times New Roman" w:cs="Times New Roman" w:eastAsia="Times New Roman" w:hAnsi="Times New Roman"/>
          <w:sz w:val="18"/>
          <w:szCs w:val="18"/>
          <w:u w:val="single" w:color="auto"/>
          <w:color w:val="auto"/>
        </w:rPr>
        <w:t>Transferee</w:t>
      </w:r>
      <w:r>
        <w:rPr>
          <w:rFonts w:ascii="Times New Roman" w:cs="Times New Roman" w:eastAsia="Times New Roman" w:hAnsi="Times New Roman"/>
          <w:sz w:val="18"/>
          <w:szCs w:val="18"/>
          <w:color w:val="auto"/>
        </w:rPr>
        <w:t>”), as further specified in Annex A</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hereto. In connection with the Transfer, the Transferor hereby certifies that:</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[CHECK ALL THAT APPLY]</w:t>
      </w:r>
    </w:p>
    <w:p>
      <w:pPr>
        <w:spacing w:after="0" w:line="184" w:lineRule="exact"/>
        <w:rPr>
          <w:sz w:val="20"/>
          <w:szCs w:val="20"/>
          <w:color w:val="auto"/>
        </w:rPr>
      </w:pPr>
    </w:p>
    <w:p>
      <w:pPr>
        <w:jc w:val="both"/>
        <w:ind w:left="4" w:right="280" w:hanging="4"/>
        <w:spacing w:after="0" w:line="231" w:lineRule="exact"/>
        <w:tabs>
          <w:tab w:leader="none" w:pos="184" w:val="left"/>
        </w:tabs>
        <w:numPr>
          <w:ilvl w:val="0"/>
          <w:numId w:val="12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Check if Transferee will take delivery of a beneficial interest in a Rule 144A Global Note or a Physical Note pursuant to Rule 144A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Transfer is being effected pursuant to and in accordance with Rule 144A under the United States Securities Act of 1933, as amended (the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and, accordingly, the Transferor hereby further certifies that the beneficial interest or Physical Note is being transferred to a Person that the Transferor reasonably believed and believes is purchasing the beneficial interest or Physical Note for its</w:t>
      </w:r>
    </w:p>
    <w:p>
      <w:pPr>
        <w:spacing w:after="0" w:line="13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F-1</w:t>
      </w:r>
    </w:p>
    <w:p>
      <w:pPr>
        <w:sectPr>
          <w:pgSz w:w="11900" w:h="16838" w:orient="portrait"/>
          <w:cols w:equalWidth="0" w:num="1">
            <w:col w:w="11024"/>
          </w:cols>
          <w:pgMar w:left="436" w:top="270" w:right="439" w:bottom="1440" w:gutter="0" w:footer="0" w:header="0"/>
        </w:sectPr>
      </w:pPr>
    </w:p>
    <w:bookmarkStart w:id="130" w:name="page131"/>
    <w:bookmarkEnd w:id="130"/>
    <w:p>
      <w:pPr>
        <w:ind w:left="4" w:right="120"/>
        <w:spacing w:after="0" w:line="27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own account, or for one or more accounts with respect to which such Person exercises sole investment discretion, and such Person and each such account is a “qualified institutional buyer” within the meaning of Rule 144A in a transaction meeting the requirements of Rule 144A and such Transfer is in compliance with any applicable blue sky securities laws of any state of the United States. Upon consummation of the proposed Transfer in accordance with the terms of the Indenture, the transferred beneficial interest or Physical Note will be subject to the restrictions on transfer enumerated in the Private Placement Legend printed on the Rule 144A Global Note and/or the Physical Note and in the Indenture and the Securities Act.</w:t>
      </w:r>
    </w:p>
    <w:p>
      <w:pPr>
        <w:spacing w:after="0" w:line="127" w:lineRule="exact"/>
        <w:rPr>
          <w:sz w:val="20"/>
          <w:szCs w:val="20"/>
          <w:color w:val="auto"/>
        </w:rPr>
      </w:pPr>
    </w:p>
    <w:p>
      <w:pPr>
        <w:ind w:left="4" w:hanging="4"/>
        <w:spacing w:after="0" w:line="221" w:lineRule="exact"/>
        <w:tabs>
          <w:tab w:leader="none" w:pos="184" w:val="left"/>
        </w:tabs>
        <w:numPr>
          <w:ilvl w:val="0"/>
          <w:numId w:val="13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Check if Transferee will take delivery of a beneficial interest in a Regulation S Global Note or a Physical Note pursuant to Regulation 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Transfer is being effected pursuant to and in accordance with Rule 903 or Rule 904 under the Securities Act and, accordingly, the Transferor hereby further certifies that (i) the Transfer is not being made to a person in the United States and (x) at the time the buy order was originated, the Transferee was outside the United States or such Transferor and any Person acting on its behalf reasonably believed and believes that the Transferee was outside the United States or (y) the transaction was executed in, on or through the facilities of a designated offshore securities market and neither such Transferor nor any Person acting on its behalf knows that the transaction was prearranged with a buyer in the United States, (ii) no directed selling efforts have been made in contravention of the requirements of Rule 903(b) or Rule 904(b) of Regulation S under the Securities Act, (iii) the transaction is not part of a plan or scheme to evade the registration requirements of the Securities Act and (iv) if the proposed transfer is being made prior to the expiration of the Restricted Period, the transfer is not being made to a U.S. Person or for the account or benefit of a U.S. Person (other than an Initial Purchaser). Upon consummation of the proposed transfer in accordance with the terms of the Indenture, the transferred beneficial interest or Physical Note will be subject to the restrictions on Transfer enumerated in the Private Placement Legend printed on the Regulation S Global Note and/or the Physical Note and in the Indenture and the Securities Act.</w:t>
      </w:r>
    </w:p>
    <w:p>
      <w:pPr>
        <w:spacing w:after="0" w:line="158" w:lineRule="exact"/>
        <w:rPr>
          <w:rFonts w:ascii="Times New Roman" w:cs="Times New Roman" w:eastAsia="Times New Roman" w:hAnsi="Times New Roman"/>
          <w:sz w:val="18"/>
          <w:szCs w:val="18"/>
          <w:color w:val="auto"/>
        </w:rPr>
      </w:pPr>
    </w:p>
    <w:p>
      <w:pPr>
        <w:ind w:left="4" w:right="20" w:hanging="4"/>
        <w:spacing w:after="0" w:line="231" w:lineRule="exact"/>
        <w:tabs>
          <w:tab w:leader="none" w:pos="184" w:val="left"/>
        </w:tabs>
        <w:numPr>
          <w:ilvl w:val="0"/>
          <w:numId w:val="13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Check and complete if Transferee will take delivery of a beneficial interest in the Global Note or a Physical Note pursuant to any provision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of the Securities Act other than Rule 144A or Regulation 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Transfer is being effected in compliance with the transfer restrictions applicable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beneficial interests in Restricted Global Notes and Restricted Physical Notes and pursuant to and in accordance with the Securities Act and any applicable blue sky securities laws of any state of the United States, and accordingly the Transferor hereby further certifies that (check one):</w:t>
      </w:r>
    </w:p>
    <w:p>
      <w:pPr>
        <w:spacing w:after="0" w:line="51" w:lineRule="exact"/>
        <w:rPr>
          <w:sz w:val="20"/>
          <w:szCs w:val="20"/>
          <w:color w:val="auto"/>
        </w:rPr>
      </w:pPr>
    </w:p>
    <w:p>
      <w:pPr>
        <w:ind w:left="5424" w:right="2400" w:hanging="4561"/>
        <w:spacing w:after="0" w:line="300" w:lineRule="exact"/>
        <w:tabs>
          <w:tab w:leader="none" w:pos="1099" w:val="left"/>
        </w:tabs>
        <w:numPr>
          <w:ilvl w:val="0"/>
          <w:numId w:val="13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effected pursuant to and in accordance with Rule 144 under the Securities Act; or</w:t>
      </w:r>
    </w:p>
    <w:p>
      <w:pPr>
        <w:spacing w:after="0" w:line="49" w:lineRule="exact"/>
        <w:rPr>
          <w:rFonts w:ascii="Times New Roman" w:cs="Times New Roman" w:eastAsia="Times New Roman" w:hAnsi="Times New Roman"/>
          <w:sz w:val="18"/>
          <w:szCs w:val="18"/>
          <w:color w:val="auto"/>
        </w:rPr>
      </w:pPr>
    </w:p>
    <w:p>
      <w:pPr>
        <w:ind w:left="1124" w:hanging="261"/>
        <w:spacing w:after="0" w:line="207" w:lineRule="exact"/>
        <w:tabs>
          <w:tab w:leader="none" w:pos="1124" w:val="left"/>
        </w:tabs>
        <w:numPr>
          <w:ilvl w:val="0"/>
          <w:numId w:val="13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effected to the Issuer or a Subsidiary thereof;</w:t>
      </w:r>
    </w:p>
    <w:p>
      <w:pPr>
        <w:spacing w:after="0" w:line="266" w:lineRule="exact"/>
        <w:rPr>
          <w:sz w:val="20"/>
          <w:szCs w:val="20"/>
          <w:color w:val="auto"/>
        </w:rPr>
      </w:pPr>
    </w:p>
    <w:p>
      <w:pPr>
        <w:ind w:left="5424"/>
        <w:spacing w:after="0"/>
        <w:rPr>
          <w:sz w:val="20"/>
          <w:szCs w:val="20"/>
          <w:color w:val="auto"/>
        </w:rPr>
      </w:pPr>
      <w:r>
        <w:rPr>
          <w:rFonts w:ascii="Times New Roman" w:cs="Times New Roman" w:eastAsia="Times New Roman" w:hAnsi="Times New Roman"/>
          <w:sz w:val="18"/>
          <w:szCs w:val="18"/>
          <w:color w:val="auto"/>
        </w:rPr>
        <w:t>or</w:t>
      </w:r>
    </w:p>
    <w:p>
      <w:pPr>
        <w:spacing w:after="0" w:line="158" w:lineRule="exact"/>
        <w:rPr>
          <w:sz w:val="20"/>
          <w:szCs w:val="20"/>
          <w:color w:val="auto"/>
        </w:rPr>
      </w:pPr>
    </w:p>
    <w:p>
      <w:pPr>
        <w:ind w:left="5384"/>
        <w:spacing w:after="0"/>
        <w:rPr>
          <w:sz w:val="20"/>
          <w:szCs w:val="20"/>
          <w:color w:val="auto"/>
        </w:rPr>
      </w:pPr>
      <w:r>
        <w:rPr>
          <w:rFonts w:ascii="Times New Roman" w:cs="Times New Roman" w:eastAsia="Times New Roman" w:hAnsi="Times New Roman"/>
          <w:sz w:val="18"/>
          <w:szCs w:val="18"/>
          <w:color w:val="auto"/>
        </w:rPr>
        <w:t>F-2</w:t>
      </w:r>
    </w:p>
    <w:p>
      <w:pPr>
        <w:sectPr>
          <w:pgSz w:w="11900" w:h="16838" w:orient="portrait"/>
          <w:cols w:equalWidth="0" w:num="1">
            <w:col w:w="11004"/>
          </w:cols>
          <w:pgMar w:left="436" w:top="270" w:right="459" w:bottom="1440" w:gutter="0" w:footer="0" w:header="0"/>
        </w:sectPr>
      </w:pPr>
    </w:p>
    <w:bookmarkStart w:id="131" w:name="page132"/>
    <w:bookmarkEnd w:id="131"/>
    <w:p>
      <w:pPr>
        <w:ind w:left="444" w:right="380" w:firstLine="419"/>
        <w:spacing w:after="0" w:line="245" w:lineRule="exact"/>
        <w:tabs>
          <w:tab w:leader="none" w:pos="1112" w:val="left"/>
        </w:tabs>
        <w:numPr>
          <w:ilvl w:val="0"/>
          <w:numId w:val="132"/>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color w:val="auto"/>
        </w:rPr>
        <w:t xml:space="preserve"> such Transfer is being effected pursuant to an effective registration statement under the Securities Act and in compliance with the prospectus delivery requirements of the Securities Act;</w:t>
      </w:r>
    </w:p>
    <w:p>
      <w:pPr>
        <w:spacing w:after="0" w:line="9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or</w:t>
      </w:r>
    </w:p>
    <w:p>
      <w:pPr>
        <w:spacing w:after="0" w:line="76" w:lineRule="exact"/>
        <w:rPr>
          <w:sz w:val="20"/>
          <w:szCs w:val="20"/>
          <w:color w:val="auto"/>
        </w:rPr>
      </w:pPr>
    </w:p>
    <w:p>
      <w:pPr>
        <w:ind w:left="444" w:firstLine="419"/>
        <w:spacing w:after="0" w:line="222" w:lineRule="exact"/>
        <w:tabs>
          <w:tab w:leader="none" w:pos="1122" w:val="left"/>
        </w:tabs>
        <w:numPr>
          <w:ilvl w:val="1"/>
          <w:numId w:val="13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such Transfer is being effected to an Institutional Accredited Investor and pursuant to an exemption from the registration requirements of the Securities Act other than Rule 144A, Rule 144 or Rule 904, and the Transferor hereby further certifies that it has not engaged in any general solicitation within the meaning of Regulation D under the Securities Act and the Transfer complies with the transfer restrictions applicable to beneficial interests in a Restricted Global Note or Restricted Physical Notes and the requirements of the exemption claimed, which certification is supported by (1) a certificate executed by the Transferee in the form of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to the Indenture and (2) if such Transfer is in respect of a principal amount of Notes at the time of transfer of less than $250,000, an Opinion of Counsel provided by the Transferor or the Transferee (a copy of which the Transferor has attached to this certification), to the effect that such Transfer is in compliance with the Securities Act. Upon consummation of the proposed transfer in accordance with the terms of the Indenture, the transferred beneficial interest or Physical Note will be subject to the restrictions on transfer enumerated in the Private Placement Legend printed on the Global Note and/or the Physical Notes and in the Indenture and the Securities Act.</w:t>
      </w:r>
    </w:p>
    <w:p>
      <w:pPr>
        <w:spacing w:after="0" w:line="159" w:lineRule="exact"/>
        <w:rPr>
          <w:rFonts w:ascii="Times New Roman" w:cs="Times New Roman" w:eastAsia="Times New Roman" w:hAnsi="Times New Roman"/>
          <w:sz w:val="18"/>
          <w:szCs w:val="18"/>
          <w:color w:val="auto"/>
        </w:rPr>
      </w:pPr>
    </w:p>
    <w:p>
      <w:pPr>
        <w:ind w:left="184" w:hanging="184"/>
        <w:spacing w:after="0" w:line="207" w:lineRule="exact"/>
        <w:tabs>
          <w:tab w:leader="none" w:pos="184" w:val="left"/>
        </w:tabs>
        <w:numPr>
          <w:ilvl w:val="0"/>
          <w:numId w:val="13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Transferee will take delivery of a beneficial interest in an Unrestricted Global Note or an Unrestricted Physical Note.</w:t>
      </w:r>
    </w:p>
    <w:p>
      <w:pPr>
        <w:spacing w:after="0" w:line="225" w:lineRule="exact"/>
        <w:rPr>
          <w:rFonts w:ascii="Times New Roman" w:cs="Times New Roman" w:eastAsia="Times New Roman" w:hAnsi="Times New Roman"/>
          <w:sz w:val="18"/>
          <w:szCs w:val="18"/>
          <w:color w:val="auto"/>
        </w:rPr>
      </w:pPr>
    </w:p>
    <w:p>
      <w:pPr>
        <w:ind w:left="4" w:right="160" w:firstLine="987"/>
        <w:spacing w:after="0" w:line="226" w:lineRule="exact"/>
        <w:tabs>
          <w:tab w:leader="none" w:pos="1240" w:val="left"/>
        </w:tabs>
        <w:numPr>
          <w:ilvl w:val="2"/>
          <w:numId w:val="13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Transfer is pursuant to Rule 144. </w:t>
      </w:r>
      <w:r>
        <w:rPr>
          <w:rFonts w:ascii="Times New Roman" w:cs="Times New Roman" w:eastAsia="Times New Roman" w:hAnsi="Times New Roman"/>
          <w:sz w:val="18"/>
          <w:szCs w:val="18"/>
          <w:color w:val="auto"/>
        </w:rPr>
        <w:t>(i) The Transfer is being effected pursuant to and in accordance with Rule 144 under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Physical Note will no longer be subject to the restrictions on transfer enumerated in the Private Placement Legend printed on the Restricted Global Notes, on Restricted Physical Notes and in the Indenture.</w:t>
      </w:r>
    </w:p>
    <w:p>
      <w:pPr>
        <w:spacing w:after="0" w:line="161" w:lineRule="exact"/>
        <w:rPr>
          <w:rFonts w:ascii="Times New Roman" w:cs="Times New Roman" w:eastAsia="Times New Roman" w:hAnsi="Times New Roman"/>
          <w:sz w:val="18"/>
          <w:szCs w:val="18"/>
          <w:color w:val="auto"/>
        </w:rPr>
      </w:pPr>
    </w:p>
    <w:p>
      <w:pPr>
        <w:ind w:left="4" w:right="60" w:firstLine="987"/>
        <w:spacing w:after="0" w:line="226" w:lineRule="exact"/>
        <w:tabs>
          <w:tab w:leader="none" w:pos="1250" w:val="left"/>
        </w:tabs>
        <w:numPr>
          <w:ilvl w:val="2"/>
          <w:numId w:val="134"/>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Transfer is pursuant to Regulation S. </w:t>
      </w:r>
      <w:r>
        <w:rPr>
          <w:rFonts w:ascii="Times New Roman" w:cs="Times New Roman" w:eastAsia="Times New Roman" w:hAnsi="Times New Roman"/>
          <w:sz w:val="18"/>
          <w:szCs w:val="18"/>
          <w:color w:val="auto"/>
        </w:rPr>
        <w:t>(i) The Transfer is being effected pursuant to and in accordance with Rule 903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Rule 904 under the Securities Act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Physical Note will no longer be subject to the restrictions on transfer enumerated in the Private Placement Legend printed on the Restricted Global Notes, on Restricted Physical Notes and in the Indenture.</w:t>
      </w:r>
    </w:p>
    <w:p>
      <w:pPr>
        <w:spacing w:after="0" w:line="135"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F-3</w:t>
      </w:r>
    </w:p>
    <w:p>
      <w:pPr>
        <w:sectPr>
          <w:pgSz w:w="11900" w:h="16838" w:orient="portrait"/>
          <w:cols w:equalWidth="0" w:num="1">
            <w:col w:w="11004"/>
          </w:cols>
          <w:pgMar w:left="436" w:top="229" w:right="459" w:bottom="1440" w:gutter="0" w:footer="0" w:header="0"/>
        </w:sectPr>
      </w:pPr>
    </w:p>
    <w:bookmarkStart w:id="132" w:name="page133"/>
    <w:bookmarkEnd w:id="132"/>
    <w:p>
      <w:pPr>
        <w:ind w:right="160" w:firstLine="987"/>
        <w:spacing w:after="0" w:line="225" w:lineRule="exact"/>
        <w:tabs>
          <w:tab w:leader="none" w:pos="1236" w:val="left"/>
        </w:tabs>
        <w:numPr>
          <w:ilvl w:val="0"/>
          <w:numId w:val="13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 xml:space="preserve"> Check if Transfer is pursuant to Other Exemption. </w:t>
      </w:r>
      <w:r>
        <w:rPr>
          <w:rFonts w:ascii="Times New Roman" w:cs="Times New Roman" w:eastAsia="Times New Roman" w:hAnsi="Times New Roman"/>
          <w:sz w:val="18"/>
          <w:szCs w:val="18"/>
          <w:color w:val="auto"/>
        </w:rPr>
        <w:t>(i) The Transfer is being effected pursuant to and in compliance with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exemption from the registration requirements of the Securities Act other than Rule 144, Rule 903 or Rule 904 and in compliance with the transfer restrictions contained in the Indenture and any applicable blue sky securities laws of any State of the United States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Physical Note will not be subject to the restrictions on transfer enumerated in the Private Placement Legend printed on the Restricted Global Notes or Restricted Physical Notes and in the Indenture.</w:t>
      </w:r>
    </w:p>
    <w:p>
      <w:pPr>
        <w:spacing w:after="0" w:line="158" w:lineRule="exact"/>
        <w:rPr>
          <w:rFonts w:ascii="Times New Roman" w:cs="Times New Roman" w:eastAsia="Times New Roman" w:hAnsi="Times New Roman"/>
          <w:sz w:val="18"/>
          <w:szCs w:val="18"/>
          <w:color w:val="auto"/>
        </w:rPr>
      </w:pPr>
    </w:p>
    <w:p>
      <w:pPr>
        <w:ind w:firstLine="987"/>
        <w:spacing w:after="0" w:line="226" w:lineRule="exact"/>
        <w:tabs>
          <w:tab w:leader="none" w:pos="1246" w:val="left"/>
        </w:tabs>
        <w:numPr>
          <w:ilvl w:val="0"/>
          <w:numId w:val="135"/>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Check if Transfer is pursuant to an Effective Registration Statement. </w:t>
      </w:r>
      <w:r>
        <w:rPr>
          <w:rFonts w:ascii="Times New Roman" w:cs="Times New Roman" w:eastAsia="Times New Roman" w:hAnsi="Times New Roman"/>
          <w:sz w:val="18"/>
          <w:szCs w:val="18"/>
          <w:color w:val="auto"/>
        </w:rPr>
        <w:t>(i) The Transfer is being effected pursuant to and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compliance with an effective registration statement under the Securities Act and any applicable blue sky securities laws of any State of the United States and in compliance with the prospectus delivery requirements of the Securities Act and (ii) the restrictions on transfer contained in the Indenture and the Private Placement Legend are not required in order to maintain compliance with the Securities Act. Upon consummation of the proposed Transfer in accordance with the terms of the Indenture, the transferred beneficial interest or Physical Note will not be subject to the restrictions on transfer enumerated in the Private Placement Legend printed on the Restricted Global Notes or Restricted Physical Notes and in the Indenture.</w:t>
      </w:r>
    </w:p>
    <w:p>
      <w:pPr>
        <w:spacing w:after="0" w:line="20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certificate and the statements contained herein are made for your benefit and the benefit of the Issuer.</w:t>
      </w:r>
    </w:p>
    <w:p>
      <w:pPr>
        <w:spacing w:after="0" w:line="200" w:lineRule="exact"/>
        <w:rPr>
          <w:sz w:val="20"/>
          <w:szCs w:val="20"/>
          <w:color w:val="auto"/>
        </w:rPr>
      </w:pPr>
    </w:p>
    <w:p>
      <w:pPr>
        <w:spacing w:after="0" w:line="34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[Insert Name of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-7620</wp:posOffset>
            </wp:positionV>
            <wp:extent cx="125666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spacing w:after="0" w:line="13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F-4</w:t>
      </w:r>
    </w:p>
    <w:p>
      <w:pPr>
        <w:sectPr>
          <w:pgSz w:w="11900" w:h="16838" w:orient="portrait"/>
          <w:cols w:equalWidth="0" w:num="1">
            <w:col w:w="10960"/>
          </w:cols>
          <w:pgMar w:left="440" w:top="229" w:right="499" w:bottom="1440" w:gutter="0" w:footer="0" w:header="0"/>
        </w:sectPr>
      </w:pPr>
    </w:p>
    <w:bookmarkStart w:id="133" w:name="page134"/>
    <w:bookmarkEnd w:id="133"/>
    <w:p>
      <w:pPr>
        <w:jc w:val="right"/>
        <w:ind w:right="26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ANNEX A TO CERTIFICATE OF TRANSFER</w:t>
      </w:r>
    </w:p>
    <w:p>
      <w:pPr>
        <w:spacing w:after="0" w:line="256" w:lineRule="exact"/>
        <w:rPr>
          <w:sz w:val="20"/>
          <w:szCs w:val="20"/>
          <w:color w:val="auto"/>
        </w:rPr>
      </w:pPr>
    </w:p>
    <w:p>
      <w:pPr>
        <w:ind w:left="424" w:hanging="424"/>
        <w:spacing w:after="0"/>
        <w:tabs>
          <w:tab w:leader="none" w:pos="424"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Transferor owns and proposes to transfer the following:</w:t>
      </w:r>
    </w:p>
    <w:p>
      <w:pPr>
        <w:spacing w:after="0" w:line="200" w:lineRule="exact"/>
        <w:rPr>
          <w:sz w:val="20"/>
          <w:szCs w:val="20"/>
          <w:color w:val="auto"/>
        </w:rPr>
      </w:pPr>
    </w:p>
    <w:p>
      <w:pPr>
        <w:spacing w:after="0" w:line="241"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18"/>
          <w:szCs w:val="18"/>
          <w:color w:val="auto"/>
        </w:rPr>
        <w:t>[CHECK ONE]</w:t>
      </w:r>
    </w:p>
    <w:p>
      <w:pPr>
        <w:spacing w:after="0" w:line="211" w:lineRule="exact"/>
        <w:rPr>
          <w:sz w:val="20"/>
          <w:szCs w:val="20"/>
          <w:color w:val="auto"/>
        </w:rPr>
      </w:pPr>
    </w:p>
    <w:p>
      <w:pPr>
        <w:ind w:left="964" w:hanging="532"/>
        <w:spacing w:after="0" w:line="207" w:lineRule="exact"/>
        <w:tabs>
          <w:tab w:leader="none" w:pos="964" w:val="left"/>
        </w:tabs>
        <w:numPr>
          <w:ilvl w:val="1"/>
          <w:numId w:val="13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beneficial interest in a:</w:t>
      </w:r>
    </w:p>
    <w:p>
      <w:pPr>
        <w:spacing w:after="0" w:line="130" w:lineRule="exact"/>
        <w:rPr>
          <w:rFonts w:ascii="Times New Roman" w:cs="Times New Roman" w:eastAsia="Times New Roman" w:hAnsi="Times New Roman"/>
          <w:sz w:val="18"/>
          <w:szCs w:val="18"/>
          <w:color w:val="auto"/>
        </w:rPr>
      </w:pPr>
    </w:p>
    <w:p>
      <w:pPr>
        <w:ind w:left="1424" w:hanging="439"/>
        <w:spacing w:after="0" w:line="207" w:lineRule="exact"/>
        <w:tabs>
          <w:tab w:leader="none" w:pos="1424" w:val="left"/>
        </w:tabs>
        <w:numPr>
          <w:ilvl w:val="2"/>
          <w:numId w:val="13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144A Global Note (CUSIP ______) (ISIN ______), or</w:t>
      </w:r>
    </w:p>
    <w:p>
      <w:pPr>
        <w:spacing w:after="0" w:line="130" w:lineRule="exact"/>
        <w:rPr>
          <w:rFonts w:ascii="Times New Roman" w:cs="Times New Roman" w:eastAsia="Times New Roman" w:hAnsi="Times New Roman"/>
          <w:sz w:val="18"/>
          <w:szCs w:val="18"/>
          <w:color w:val="auto"/>
        </w:rPr>
      </w:pPr>
    </w:p>
    <w:p>
      <w:pPr>
        <w:ind w:left="1424" w:hanging="439"/>
        <w:spacing w:after="0" w:line="207" w:lineRule="exact"/>
        <w:tabs>
          <w:tab w:leader="none" w:pos="1424" w:val="left"/>
        </w:tabs>
        <w:numPr>
          <w:ilvl w:val="2"/>
          <w:numId w:val="13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Regulation S Global Note (CUSIP ______) (ISIN ______), or</w:t>
      </w:r>
    </w:p>
    <w:p>
      <w:pPr>
        <w:spacing w:after="0" w:line="130" w:lineRule="exact"/>
        <w:rPr>
          <w:rFonts w:ascii="Times New Roman" w:cs="Times New Roman" w:eastAsia="Times New Roman" w:hAnsi="Times New Roman"/>
          <w:sz w:val="18"/>
          <w:szCs w:val="18"/>
          <w:color w:val="auto"/>
        </w:rPr>
      </w:pPr>
    </w:p>
    <w:p>
      <w:pPr>
        <w:ind w:left="964" w:hanging="532"/>
        <w:spacing w:after="0" w:line="207" w:lineRule="exact"/>
        <w:tabs>
          <w:tab w:leader="none" w:pos="964" w:val="left"/>
        </w:tabs>
        <w:numPr>
          <w:ilvl w:val="1"/>
          <w:numId w:val="137"/>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Restricted Physical Note.</w:t>
      </w:r>
    </w:p>
    <w:p>
      <w:pPr>
        <w:spacing w:after="0" w:line="171" w:lineRule="exact"/>
        <w:rPr>
          <w:rFonts w:ascii="Times New Roman" w:cs="Times New Roman" w:eastAsia="Times New Roman" w:hAnsi="Times New Roman"/>
          <w:sz w:val="18"/>
          <w:szCs w:val="18"/>
          <w:color w:val="auto"/>
        </w:rPr>
      </w:pPr>
    </w:p>
    <w:p>
      <w:pPr>
        <w:ind w:left="424" w:hanging="424"/>
        <w:spacing w:after="0"/>
        <w:tabs>
          <w:tab w:leader="none" w:pos="424"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Transfer the Transferee will hold:</w:t>
      </w:r>
    </w:p>
    <w:p>
      <w:pPr>
        <w:spacing w:after="0" w:line="200" w:lineRule="exact"/>
        <w:rPr>
          <w:sz w:val="20"/>
          <w:szCs w:val="20"/>
          <w:color w:val="auto"/>
        </w:rPr>
      </w:pPr>
    </w:p>
    <w:p>
      <w:pPr>
        <w:spacing w:after="0" w:line="241" w:lineRule="exact"/>
        <w:rPr>
          <w:sz w:val="20"/>
          <w:szCs w:val="20"/>
          <w:color w:val="auto"/>
        </w:rPr>
      </w:pPr>
    </w:p>
    <w:p>
      <w:pPr>
        <w:ind w:left="4944"/>
        <w:spacing w:after="0"/>
        <w:rPr>
          <w:sz w:val="20"/>
          <w:szCs w:val="20"/>
          <w:color w:val="auto"/>
        </w:rPr>
      </w:pPr>
      <w:r>
        <w:rPr>
          <w:rFonts w:ascii="Times New Roman" w:cs="Times New Roman" w:eastAsia="Times New Roman" w:hAnsi="Times New Roman"/>
          <w:sz w:val="18"/>
          <w:szCs w:val="18"/>
          <w:color w:val="auto"/>
        </w:rPr>
        <w:t>[CHECK ONE]</w:t>
      </w:r>
    </w:p>
    <w:p>
      <w:pPr>
        <w:spacing w:after="0" w:line="211" w:lineRule="exact"/>
        <w:rPr>
          <w:sz w:val="20"/>
          <w:szCs w:val="20"/>
          <w:color w:val="auto"/>
        </w:rPr>
      </w:pPr>
    </w:p>
    <w:p>
      <w:pPr>
        <w:ind w:left="964" w:hanging="532"/>
        <w:spacing w:after="0" w:line="207" w:lineRule="exact"/>
        <w:tabs>
          <w:tab w:leader="none" w:pos="964" w:val="left"/>
        </w:tabs>
        <w:numPr>
          <w:ilvl w:val="0"/>
          <w:numId w:val="13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beneficial interest in the:</w:t>
      </w:r>
    </w:p>
    <w:p>
      <w:pPr>
        <w:spacing w:after="0" w:line="130" w:lineRule="exact"/>
        <w:rPr>
          <w:rFonts w:ascii="Times New Roman" w:cs="Times New Roman" w:eastAsia="Times New Roman" w:hAnsi="Times New Roman"/>
          <w:sz w:val="18"/>
          <w:szCs w:val="18"/>
          <w:color w:val="auto"/>
        </w:rPr>
      </w:pPr>
    </w:p>
    <w:p>
      <w:pPr>
        <w:ind w:left="1424" w:hanging="439"/>
        <w:spacing w:after="0" w:line="207" w:lineRule="exact"/>
        <w:tabs>
          <w:tab w:leader="none" w:pos="1424" w:val="left"/>
        </w:tabs>
        <w:numPr>
          <w:ilvl w:val="1"/>
          <w:numId w:val="13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144A Global Note (CUSIP _______) (ISIN ______), or</w:t>
      </w:r>
    </w:p>
    <w:p>
      <w:pPr>
        <w:spacing w:after="0" w:line="130" w:lineRule="exact"/>
        <w:rPr>
          <w:rFonts w:ascii="Times New Roman" w:cs="Times New Roman" w:eastAsia="Times New Roman" w:hAnsi="Times New Roman"/>
          <w:sz w:val="18"/>
          <w:szCs w:val="18"/>
          <w:color w:val="auto"/>
        </w:rPr>
      </w:pPr>
    </w:p>
    <w:p>
      <w:pPr>
        <w:ind w:left="1424" w:hanging="439"/>
        <w:spacing w:after="0" w:line="207" w:lineRule="exact"/>
        <w:tabs>
          <w:tab w:leader="none" w:pos="1424" w:val="left"/>
        </w:tabs>
        <w:numPr>
          <w:ilvl w:val="1"/>
          <w:numId w:val="13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Regulation S Global Note (CUSIP ______)(ISIN ______), or</w:t>
      </w:r>
    </w:p>
    <w:p>
      <w:pPr>
        <w:spacing w:after="0" w:line="130" w:lineRule="exact"/>
        <w:rPr>
          <w:rFonts w:ascii="Times New Roman" w:cs="Times New Roman" w:eastAsia="Times New Roman" w:hAnsi="Times New Roman"/>
          <w:sz w:val="18"/>
          <w:szCs w:val="18"/>
          <w:color w:val="auto"/>
        </w:rPr>
      </w:pPr>
    </w:p>
    <w:p>
      <w:pPr>
        <w:ind w:left="1424" w:hanging="439"/>
        <w:spacing w:after="0" w:line="207" w:lineRule="exact"/>
        <w:tabs>
          <w:tab w:leader="none" w:pos="1424" w:val="left"/>
        </w:tabs>
        <w:numPr>
          <w:ilvl w:val="1"/>
          <w:numId w:val="13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Unrestricted Global Note (CUSIP ______) (ISIN ______), or</w:t>
      </w:r>
    </w:p>
    <w:p>
      <w:pPr>
        <w:spacing w:after="0" w:line="130" w:lineRule="exact"/>
        <w:rPr>
          <w:rFonts w:ascii="Times New Roman" w:cs="Times New Roman" w:eastAsia="Times New Roman" w:hAnsi="Times New Roman"/>
          <w:sz w:val="18"/>
          <w:szCs w:val="18"/>
          <w:color w:val="auto"/>
        </w:rPr>
      </w:pPr>
    </w:p>
    <w:p>
      <w:pPr>
        <w:ind w:left="964" w:hanging="532"/>
        <w:spacing w:after="0" w:line="207" w:lineRule="exact"/>
        <w:tabs>
          <w:tab w:leader="none" w:pos="964" w:val="left"/>
        </w:tabs>
        <w:numPr>
          <w:ilvl w:val="0"/>
          <w:numId w:val="13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Restricted Physical Note; or</w:t>
      </w:r>
    </w:p>
    <w:p>
      <w:pPr>
        <w:spacing w:after="0" w:line="130" w:lineRule="exact"/>
        <w:rPr>
          <w:rFonts w:ascii="Times New Roman" w:cs="Times New Roman" w:eastAsia="Times New Roman" w:hAnsi="Times New Roman"/>
          <w:sz w:val="18"/>
          <w:szCs w:val="18"/>
          <w:color w:val="auto"/>
        </w:rPr>
      </w:pPr>
    </w:p>
    <w:p>
      <w:pPr>
        <w:ind w:left="964" w:hanging="532"/>
        <w:spacing w:after="0" w:line="207" w:lineRule="exact"/>
        <w:tabs>
          <w:tab w:leader="none" w:pos="964" w:val="left"/>
        </w:tabs>
        <w:numPr>
          <w:ilvl w:val="0"/>
          <w:numId w:val="139"/>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an Unrestricted Physical Note,</w:t>
      </w:r>
    </w:p>
    <w:p>
      <w:pPr>
        <w:spacing w:after="0" w:line="158"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in accordance with the terms of the Indenture.</w:t>
      </w:r>
    </w:p>
    <w:p>
      <w:pPr>
        <w:spacing w:after="0" w:line="158" w:lineRule="exact"/>
        <w:rPr>
          <w:sz w:val="20"/>
          <w:szCs w:val="20"/>
          <w:color w:val="auto"/>
        </w:rPr>
      </w:pPr>
    </w:p>
    <w:p>
      <w:pPr>
        <w:ind w:left="5384"/>
        <w:spacing w:after="0"/>
        <w:rPr>
          <w:sz w:val="20"/>
          <w:szCs w:val="20"/>
          <w:color w:val="auto"/>
        </w:rPr>
      </w:pPr>
      <w:r>
        <w:rPr>
          <w:rFonts w:ascii="Times New Roman" w:cs="Times New Roman" w:eastAsia="Times New Roman" w:hAnsi="Times New Roman"/>
          <w:sz w:val="18"/>
          <w:szCs w:val="18"/>
          <w:color w:val="auto"/>
        </w:rPr>
        <w:t>F-5</w:t>
      </w:r>
    </w:p>
    <w:p>
      <w:pPr>
        <w:sectPr>
          <w:pgSz w:w="11900" w:h="16838" w:orient="portrait"/>
          <w:cols w:equalWidth="0" w:num="1">
            <w:col w:w="10023"/>
          </w:cols>
          <w:pgMar w:left="436" w:top="266" w:right="1440" w:bottom="1440" w:gutter="0" w:footer="0" w:header="0"/>
        </w:sectPr>
      </w:pPr>
    </w:p>
    <w:bookmarkStart w:id="134" w:name="page135"/>
    <w:bookmarkEnd w:id="134"/>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G</w:t>
      </w:r>
    </w:p>
    <w:p>
      <w:pPr>
        <w:spacing w:after="0" w:line="2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FORM OF CERTIFICATE OF EXCHANGE</w:t>
      </w:r>
    </w:p>
    <w:p>
      <w:pPr>
        <w:spacing w:after="0" w:line="22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Crown Americas LLC</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c/o Crown Holdings, Inc.</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14025 Riveredge Drive, Suite 300</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Tampa, FL 33637</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ind w:left="4"/>
        <w:spacing w:after="0" w:line="196" w:lineRule="auto"/>
        <w:rPr>
          <w:sz w:val="20"/>
          <w:szCs w:val="20"/>
          <w:color w:val="auto"/>
        </w:rPr>
      </w:pPr>
      <w:r>
        <w:rPr>
          <w:rFonts w:ascii="Times New Roman" w:cs="Times New Roman" w:eastAsia="Times New Roman" w:hAnsi="Times New Roman"/>
          <w:sz w:val="18"/>
          <w:szCs w:val="18"/>
          <w:color w:val="auto"/>
        </w:rPr>
        <w:t>1735 Market St., 43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Mail Station: EX-PA-WBSP</w:t>
      </w:r>
    </w:p>
    <w:p>
      <w:pPr>
        <w:spacing w:after="0" w:line="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Telephone: ***</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Facsimile: ***</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Attention: Michael Judge</w:t>
      </w:r>
    </w:p>
    <w:p>
      <w:pPr>
        <w:spacing w:after="0" w:line="20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5.875% Senior Notes due 2033</w:t>
      </w:r>
    </w:p>
    <w:p>
      <w:pPr>
        <w:spacing w:after="0" w:line="225" w:lineRule="exact"/>
        <w:rPr>
          <w:sz w:val="20"/>
          <w:szCs w:val="20"/>
          <w:color w:val="auto"/>
        </w:rPr>
      </w:pPr>
    </w:p>
    <w:p>
      <w:pPr>
        <w:ind w:left="4564"/>
        <w:spacing w:after="0"/>
        <w:rPr>
          <w:sz w:val="20"/>
          <w:szCs w:val="20"/>
          <w:color w:val="auto"/>
        </w:rPr>
      </w:pPr>
      <w:r>
        <w:rPr>
          <w:rFonts w:ascii="Times New Roman" w:cs="Times New Roman" w:eastAsia="Times New Roman" w:hAnsi="Times New Roman"/>
          <w:sz w:val="18"/>
          <w:szCs w:val="18"/>
          <w:color w:val="auto"/>
        </w:rPr>
        <w:t>(CUSIP______________)</w:t>
      </w:r>
    </w:p>
    <w:p>
      <w:pPr>
        <w:spacing w:after="0" w:line="27" w:lineRule="exact"/>
        <w:rPr>
          <w:sz w:val="20"/>
          <w:szCs w:val="20"/>
          <w:color w:val="auto"/>
        </w:rPr>
      </w:pPr>
    </w:p>
    <w:p>
      <w:pPr>
        <w:ind w:left="4584"/>
        <w:spacing w:after="0"/>
        <w:rPr>
          <w:sz w:val="20"/>
          <w:szCs w:val="20"/>
          <w:color w:val="auto"/>
        </w:rPr>
      </w:pPr>
      <w:r>
        <w:rPr>
          <w:rFonts w:ascii="Times New Roman" w:cs="Times New Roman" w:eastAsia="Times New Roman" w:hAnsi="Times New Roman"/>
          <w:sz w:val="18"/>
          <w:szCs w:val="18"/>
          <w:color w:val="auto"/>
        </w:rPr>
        <w:t>(ISIN _______________)</w:t>
      </w:r>
    </w:p>
    <w:p>
      <w:pPr>
        <w:spacing w:after="0" w:line="207" w:lineRule="exact"/>
        <w:rPr>
          <w:sz w:val="20"/>
          <w:szCs w:val="20"/>
          <w:color w:val="auto"/>
        </w:rPr>
      </w:pPr>
    </w:p>
    <w:p>
      <w:pPr>
        <w:ind w:left="4" w:right="80"/>
        <w:spacing w:after="0" w:line="266" w:lineRule="auto"/>
        <w:rPr>
          <w:sz w:val="20"/>
          <w:szCs w:val="20"/>
          <w:color w:val="auto"/>
        </w:rPr>
      </w:pPr>
      <w:r>
        <w:rPr>
          <w:rFonts w:ascii="Times New Roman" w:cs="Times New Roman" w:eastAsia="Times New Roman" w:hAnsi="Times New Roman"/>
          <w:sz w:val="18"/>
          <w:szCs w:val="18"/>
          <w:color w:val="auto"/>
        </w:rPr>
        <w:t>Reference is hereby made to the Indenture, dated as of May 27, 2025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by and among Crown Americas LLC (“</w:t>
      </w:r>
      <w:r>
        <w:rPr>
          <w:rFonts w:ascii="Times New Roman" w:cs="Times New Roman" w:eastAsia="Times New Roman" w:hAnsi="Times New Roman"/>
          <w:sz w:val="18"/>
          <w:szCs w:val="18"/>
          <w:u w:val="single" w:color="auto"/>
          <w:color w:val="auto"/>
        </w:rPr>
        <w:t>Crown Americas</w:t>
      </w:r>
      <w:r>
        <w:rPr>
          <w:rFonts w:ascii="Times New Roman" w:cs="Times New Roman" w:eastAsia="Times New Roman" w:hAnsi="Times New Roman"/>
          <w:sz w:val="18"/>
          <w:szCs w:val="18"/>
          <w:color w:val="auto"/>
        </w:rPr>
        <w:t>”), as issuer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the Guarantors and U.S. Bank Trust Company, National Association, as trustee. Capitalized terms used but not defined herein shall have the meanings given to them in the Indenture.</w:t>
      </w:r>
    </w:p>
    <w:p>
      <w:pPr>
        <w:spacing w:after="0" w:line="176" w:lineRule="exact"/>
        <w:rPr>
          <w:sz w:val="20"/>
          <w:szCs w:val="20"/>
          <w:color w:val="auto"/>
        </w:rPr>
      </w:pPr>
    </w:p>
    <w:p>
      <w:pPr>
        <w:ind w:left="984"/>
        <w:spacing w:after="0"/>
        <w:rPr>
          <w:sz w:val="20"/>
          <w:szCs w:val="20"/>
          <w:color w:val="auto"/>
        </w:rPr>
      </w:pPr>
      <w:r>
        <w:rPr>
          <w:rFonts w:ascii="Times New Roman" w:cs="Times New Roman" w:eastAsia="Times New Roman" w:hAnsi="Times New Roman"/>
          <w:sz w:val="18"/>
          <w:szCs w:val="18"/>
          <w:color w:val="auto"/>
        </w:rPr>
        <w:t>____________ (the “</w:t>
      </w:r>
      <w:r>
        <w:rPr>
          <w:rFonts w:ascii="Times New Roman" w:cs="Times New Roman" w:eastAsia="Times New Roman" w:hAnsi="Times New Roman"/>
          <w:sz w:val="18"/>
          <w:szCs w:val="18"/>
          <w:u w:val="single" w:color="auto"/>
          <w:color w:val="auto"/>
        </w:rPr>
        <w:t>Owner</w:t>
      </w:r>
      <w:r>
        <w:rPr>
          <w:rFonts w:ascii="Times New Roman" w:cs="Times New Roman" w:eastAsia="Times New Roman" w:hAnsi="Times New Roman"/>
          <w:sz w:val="18"/>
          <w:szCs w:val="18"/>
          <w:color w:val="auto"/>
        </w:rPr>
        <w:t>”) owns and proposes to exchange the Note[s] or interest in such Note[s] specified herein, in the principal</w:t>
      </w:r>
    </w:p>
    <w:p>
      <w:pPr>
        <w:spacing w:after="0" w:line="2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amount of ____________ in such Note[s] or interests (the “</w:t>
      </w:r>
      <w:r>
        <w:rPr>
          <w:rFonts w:ascii="Times New Roman" w:cs="Times New Roman" w:eastAsia="Times New Roman" w:hAnsi="Times New Roman"/>
          <w:sz w:val="18"/>
          <w:szCs w:val="18"/>
          <w:u w:val="single" w:color="auto"/>
          <w:color w:val="auto"/>
        </w:rPr>
        <w:t>Exchange</w:t>
      </w:r>
      <w:r>
        <w:rPr>
          <w:rFonts w:ascii="Times New Roman" w:cs="Times New Roman" w:eastAsia="Times New Roman" w:hAnsi="Times New Roman"/>
          <w:sz w:val="18"/>
          <w:szCs w:val="18"/>
          <w:color w:val="auto"/>
        </w:rPr>
        <w:t>”). In connection with the Exchange, the Owner hereby certifies that:</w:t>
      </w:r>
    </w:p>
    <w:p>
      <w:pPr>
        <w:spacing w:after="0" w:line="203" w:lineRule="exact"/>
        <w:rPr>
          <w:sz w:val="20"/>
          <w:szCs w:val="20"/>
          <w:color w:val="auto"/>
        </w:rPr>
      </w:pPr>
    </w:p>
    <w:p>
      <w:pPr>
        <w:ind w:left="4" w:right="580" w:hanging="4"/>
        <w:spacing w:after="0" w:line="286" w:lineRule="auto"/>
        <w:tabs>
          <w:tab w:leader="none" w:pos="184"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Exchange of Restricted Physical Notes or Beneficial Interests in a Restricted Global Note for Unrestricted Physical Notes or Beneficial Interests in an Unrestricted Global Note</w:t>
      </w:r>
    </w:p>
    <w:p>
      <w:pPr>
        <w:spacing w:after="0" w:line="118" w:lineRule="exact"/>
        <w:rPr>
          <w:rFonts w:ascii="Times New Roman" w:cs="Times New Roman" w:eastAsia="Times New Roman" w:hAnsi="Times New Roman"/>
          <w:sz w:val="18"/>
          <w:szCs w:val="18"/>
          <w:color w:val="auto"/>
        </w:rPr>
      </w:pPr>
    </w:p>
    <w:p>
      <w:pPr>
        <w:ind w:left="4" w:right="120" w:firstLine="987"/>
        <w:spacing w:after="0" w:line="228" w:lineRule="exact"/>
        <w:tabs>
          <w:tab w:leader="none" w:pos="1240" w:val="left"/>
        </w:tabs>
        <w:numPr>
          <w:ilvl w:val="1"/>
          <w:numId w:val="140"/>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Check if Exchange is from beneficial interest in a Restricted Global Note to beneficial interest in an Unrestricted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connection with the Exchange of the Owner’s beneficial interest in a Restricted Global Note for a beneficial interest in an Unrestricted Global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Note in an equal principal amount, the Owner hereby certifies (i) the beneficial interest is being acquired for the Owner’s own account without transfer, (ii) such Exchange has been effected in compliance with the transfer restrictions applicable to the Global Notes and pursuant to and in accordance with the United States</w:t>
      </w:r>
    </w:p>
    <w:p>
      <w:pPr>
        <w:spacing w:after="0" w:line="13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G-1</w:t>
      </w:r>
    </w:p>
    <w:p>
      <w:pPr>
        <w:sectPr>
          <w:pgSz w:w="11900" w:h="16838" w:orient="portrait"/>
          <w:cols w:equalWidth="0" w:num="1">
            <w:col w:w="11024"/>
          </w:cols>
          <w:pgMar w:left="436" w:top="270" w:right="439" w:bottom="1440" w:gutter="0" w:footer="0" w:header="0"/>
        </w:sectPr>
      </w:pPr>
    </w:p>
    <w:bookmarkStart w:id="135" w:name="page136"/>
    <w:bookmarkEnd w:id="135"/>
    <w:p>
      <w:pPr>
        <w:jc w:val="both"/>
        <w:ind w:left="4" w:right="1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(iii) the restrictions on transfer contained in the Indenture and the Private Placement Legend are not required in order to maintain compliance with the Securities Act and (iv) the beneficial interest in an Unrestricted Global Note is being acquired in compliance with any applicable blue sky securities laws of any state of the United States.</w:t>
      </w:r>
    </w:p>
    <w:p>
      <w:pPr>
        <w:spacing w:after="0" w:line="135" w:lineRule="exact"/>
        <w:rPr>
          <w:sz w:val="20"/>
          <w:szCs w:val="20"/>
          <w:color w:val="auto"/>
        </w:rPr>
      </w:pPr>
    </w:p>
    <w:p>
      <w:pPr>
        <w:ind w:left="4" w:right="20" w:firstLine="987"/>
        <w:spacing w:after="0" w:line="226" w:lineRule="exact"/>
        <w:tabs>
          <w:tab w:leader="none" w:pos="1250" w:val="left"/>
        </w:tabs>
        <w:numPr>
          <w:ilvl w:val="1"/>
          <w:numId w:val="14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Check if Exchange is from Restricted Physical Note to beneficial interest in an Unrestricted Global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connection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Owner’s Exchange of a Restricted Physical Note for a beneficial interest in an Unrestricted Global Note, the Owner hereby certifies (i) the beneficial interest is being acquired for the Owner’s own account without transfer, (ii) such Exchange has been effected in compliance with the transfer restrictions applicable to Restricted Physical Notes and pursuant to and in accordance with the Securities Act, (iii) the restrictions on transfer contained in the Indenture and the Private Placement Legend are not required in order to maintain compliance with the Securities Act and (iv) the beneficial interest is being acquired in compliance with any applicable blue sky securities laws of any state of the United States.</w:t>
      </w:r>
    </w:p>
    <w:p>
      <w:pPr>
        <w:spacing w:after="0" w:line="161" w:lineRule="exact"/>
        <w:rPr>
          <w:rFonts w:ascii="Times New Roman" w:cs="Times New Roman" w:eastAsia="Times New Roman" w:hAnsi="Times New Roman"/>
          <w:sz w:val="18"/>
          <w:szCs w:val="18"/>
          <w:color w:val="auto"/>
        </w:rPr>
      </w:pPr>
    </w:p>
    <w:p>
      <w:pPr>
        <w:ind w:left="4" w:firstLine="987"/>
        <w:spacing w:after="0" w:line="226" w:lineRule="exact"/>
        <w:tabs>
          <w:tab w:leader="none" w:pos="1240" w:val="left"/>
        </w:tabs>
        <w:numPr>
          <w:ilvl w:val="1"/>
          <w:numId w:val="141"/>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u w:val="single" w:color="auto"/>
          <w:color w:val="auto"/>
        </w:rPr>
        <w:t>Check if Exchange is from Restricted Physical Note to Unrestricted Physical Note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connection with the Owner’s Exchange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 Restricted Physical Note for an Unrestricted Physical Note, the Owner hereby certifies (i) the Unrestricted Physical Note is being acquired for the Owner’s own account without transfer, (ii) such Exchange has been effected in compliance with the transfer restrictions applicable to Restricted Physical Notes and pursuant to and in accordance with the Securities Act, (iii) the restrictions on transfer contained in the Indenture and the Private Placement Legend are not required in order to maintain compliance with the Securities Act and (iv) the Unrestricted Physical Note is being acquired in compliance with any applicable blue sky securities laws of any state of the United States.</w:t>
      </w:r>
    </w:p>
    <w:p>
      <w:pPr>
        <w:spacing w:after="0" w:line="198" w:lineRule="exact"/>
        <w:rPr>
          <w:rFonts w:ascii="Times New Roman" w:cs="Times New Roman" w:eastAsia="Times New Roman" w:hAnsi="Times New Roman"/>
          <w:sz w:val="18"/>
          <w:szCs w:val="18"/>
          <w:color w:val="auto"/>
        </w:rPr>
      </w:pPr>
    </w:p>
    <w:p>
      <w:pPr>
        <w:ind w:left="184" w:hanging="184"/>
        <w:spacing w:after="0"/>
        <w:tabs>
          <w:tab w:leader="none" w:pos="184" w:val="left"/>
        </w:tabs>
        <w:numPr>
          <w:ilvl w:val="0"/>
          <w:numId w:val="1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Exchange of Restricted Physical Notes for Restricted Physical Notes or Beneficial Interests in Restricted Global Notes.</w:t>
      </w:r>
    </w:p>
    <w:p>
      <w:pPr>
        <w:spacing w:after="0" w:line="188" w:lineRule="exact"/>
        <w:rPr>
          <w:rFonts w:ascii="Times New Roman" w:cs="Times New Roman" w:eastAsia="Times New Roman" w:hAnsi="Times New Roman"/>
          <w:sz w:val="18"/>
          <w:szCs w:val="18"/>
          <w:color w:val="auto"/>
        </w:rPr>
      </w:pPr>
    </w:p>
    <w:p>
      <w:pPr>
        <w:ind w:left="4" w:right="120" w:firstLine="987"/>
        <w:spacing w:after="0" w:line="224" w:lineRule="exact"/>
        <w:tabs>
          <w:tab w:leader="none" w:pos="1240" w:val="left"/>
        </w:tabs>
        <w:numPr>
          <w:ilvl w:val="1"/>
          <w:numId w:val="142"/>
        </w:numPr>
        <w:rPr>
          <w:rFonts w:ascii="Times New Roman" w:cs="Times New Roman" w:eastAsia="Times New Roman" w:hAnsi="Times New Roman"/>
          <w:sz w:val="17"/>
          <w:szCs w:val="17"/>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b w:val="1"/>
          <w:bCs w:val="1"/>
          <w:u w:val="single" w:color="auto"/>
          <w:color w:val="auto"/>
        </w:rPr>
        <w:t>Check if Exchange is from Restricted Physical Note to beneficial interest in a Restricted Global Note</w:t>
      </w:r>
      <w:r>
        <w:rPr>
          <w:rFonts w:ascii="Times New Roman" w:cs="Times New Roman" w:eastAsia="Times New Roman" w:hAnsi="Times New Roman"/>
          <w:sz w:val="17"/>
          <w:szCs w:val="17"/>
          <w:color w:val="auto"/>
        </w:rPr>
        <w:t>. In connection with the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Exchange of the Owner’s Restricted Physical Note for a beneficial interest in the [CHECK ONE] __ Rule 144A Global Note or __Regulation S Global Note with an equal principal amount, the Owner hereby certifies (i) the beneficial interest is being acquired for the Owner’s own account without transfer and (ii) such Exchange has been effected in compliance with the transfer restrictions applicable to the Restricted Global Notes and pursuant to and in accordance with the Securities Act, and in compliance with any applicable blue sky securities laws of any state of the United States. Upon consummation of the proposed Exchange in accordance with the terms of the Indenture, the beneficial interest issued will be subject to the restrictions on transfer enumerated in the Private Placement Legend printed on the relevant Restricted Global Note and in the Indenture and the Securities Act.</w:t>
      </w:r>
    </w:p>
    <w:p>
      <w:pPr>
        <w:spacing w:after="0" w:line="13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G-2</w:t>
      </w:r>
    </w:p>
    <w:p>
      <w:pPr>
        <w:sectPr>
          <w:pgSz w:w="11900" w:h="16838" w:orient="portrait"/>
          <w:cols w:equalWidth="0" w:num="1">
            <w:col w:w="11004"/>
          </w:cols>
          <w:pgMar w:left="436" w:top="270" w:right="459" w:bottom="1440" w:gutter="0" w:footer="0" w:header="0"/>
        </w:sectPr>
      </w:pPr>
    </w:p>
    <w:bookmarkStart w:id="136" w:name="page137"/>
    <w:bookmarkEnd w:id="136"/>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This certificate and the statements contained herein are made for your benefit and the benefit of the Issuer.</w:t>
      </w:r>
    </w:p>
    <w:p>
      <w:pPr>
        <w:spacing w:after="0" w:line="200" w:lineRule="exact"/>
        <w:rPr>
          <w:sz w:val="20"/>
          <w:szCs w:val="20"/>
          <w:color w:val="auto"/>
        </w:rPr>
      </w:pPr>
    </w:p>
    <w:p>
      <w:pPr>
        <w:spacing w:after="0" w:line="349" w:lineRule="exact"/>
        <w:rPr>
          <w:sz w:val="20"/>
          <w:szCs w:val="20"/>
          <w:color w:val="auto"/>
        </w:rPr>
      </w:pPr>
    </w:p>
    <w:p>
      <w:pPr>
        <w:jc w:val="right"/>
        <w:ind w:right="339"/>
        <w:spacing w:after="0"/>
        <w:rPr>
          <w:sz w:val="20"/>
          <w:szCs w:val="20"/>
          <w:color w:val="auto"/>
        </w:rPr>
      </w:pPr>
      <w:r>
        <w:rPr>
          <w:rFonts w:ascii="Times New Roman" w:cs="Times New Roman" w:eastAsia="Times New Roman" w:hAnsi="Times New Roman"/>
          <w:sz w:val="18"/>
          <w:szCs w:val="18"/>
          <w:color w:val="auto"/>
        </w:rPr>
        <w:t>[Insert Name of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-127635</wp:posOffset>
            </wp:positionV>
            <wp:extent cx="27946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330200</wp:posOffset>
            </wp:positionH>
            <wp:positionV relativeFrom="paragraph">
              <wp:posOffset>-7620</wp:posOffset>
            </wp:positionV>
            <wp:extent cx="125666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spacing w:after="0" w:line="138"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G-3</w:t>
      </w:r>
    </w:p>
    <w:p>
      <w:pPr>
        <w:sectPr>
          <w:pgSz w:w="11900" w:h="16838" w:orient="portrait"/>
          <w:cols w:equalWidth="0" w:num="1">
            <w:col w:w="10019"/>
          </w:cols>
          <w:pgMar w:left="440" w:top="270" w:right="1440" w:bottom="1440" w:gutter="0" w:footer="0" w:header="0"/>
        </w:sectPr>
      </w:pPr>
    </w:p>
    <w:bookmarkStart w:id="137" w:name="page138"/>
    <w:bookmarkEnd w:id="137"/>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H</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CERTIFICATE FROM</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ACQUIRING INSTITUTIONAL ACCREDITED INVESTOR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Crown Americas LLC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Crown Holdings, Inc.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14025 Riveredge Drive, Suite 300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Tampa, FL 33637</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Trust Company, National Association</w:t>
      </w:r>
    </w:p>
    <w:p>
      <w:pPr>
        <w:spacing w:after="0" w:line="196" w:lineRule="auto"/>
        <w:rPr>
          <w:sz w:val="20"/>
          <w:szCs w:val="20"/>
          <w:color w:val="auto"/>
        </w:rPr>
      </w:pPr>
      <w:r>
        <w:rPr>
          <w:rFonts w:ascii="Times New Roman" w:cs="Times New Roman" w:eastAsia="Times New Roman" w:hAnsi="Times New Roman"/>
          <w:sz w:val="18"/>
          <w:szCs w:val="18"/>
          <w:color w:val="auto"/>
        </w:rPr>
        <w:t>1735 Market St., 43</w:t>
      </w:r>
      <w:r>
        <w:rPr>
          <w:rFonts w:ascii="Times New Roman" w:cs="Times New Roman" w:eastAsia="Times New Roman" w:hAnsi="Times New Roman"/>
          <w:sz w:val="26"/>
          <w:szCs w:val="26"/>
          <w:color w:val="auto"/>
          <w:vertAlign w:val="superscript"/>
        </w:rPr>
        <w:t>rd</w:t>
      </w:r>
      <w:r>
        <w:rPr>
          <w:rFonts w:ascii="Times New Roman" w:cs="Times New Roman" w:eastAsia="Times New Roman" w:hAnsi="Times New Roman"/>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Mail Station: EX-PA-WBSP</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PA 19103</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Telephone: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Facsimile: ***</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Michael Judge</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Re: </w:t>
      </w:r>
      <w:r>
        <w:rPr>
          <w:rFonts w:ascii="Times New Roman" w:cs="Times New Roman" w:eastAsia="Times New Roman" w:hAnsi="Times New Roman"/>
          <w:sz w:val="18"/>
          <w:szCs w:val="18"/>
          <w:u w:val="single" w:color="auto"/>
          <w:color w:val="auto"/>
        </w:rPr>
        <w:t>5.875% Senior Notes due 2033</w:t>
      </w:r>
    </w:p>
    <w:p>
      <w:pPr>
        <w:spacing w:after="0" w:line="225"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18"/>
          <w:szCs w:val="18"/>
          <w:color w:val="auto"/>
        </w:rPr>
        <w:t>(CUSIP______________)</w:t>
      </w:r>
    </w:p>
    <w:p>
      <w:pPr>
        <w:spacing w:after="0" w:line="2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18"/>
          <w:szCs w:val="18"/>
          <w:color w:val="auto"/>
        </w:rPr>
        <w:t>(ISIN _______________)</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Reference is hereby made to the Indenture, dated as of May 27, 2025 (the “</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by and among Crown Americas LLC (“</w:t>
      </w:r>
      <w:r>
        <w:rPr>
          <w:rFonts w:ascii="Times New Roman" w:cs="Times New Roman" w:eastAsia="Times New Roman" w:hAnsi="Times New Roman"/>
          <w:sz w:val="18"/>
          <w:szCs w:val="18"/>
          <w:u w:val="single" w:color="auto"/>
          <w:color w:val="auto"/>
        </w:rPr>
        <w:t>Crown Americas</w:t>
      </w:r>
      <w:r>
        <w:rPr>
          <w:rFonts w:ascii="Times New Roman" w:cs="Times New Roman" w:eastAsia="Times New Roman" w:hAnsi="Times New Roman"/>
          <w:sz w:val="18"/>
          <w:szCs w:val="18"/>
          <w:color w:val="auto"/>
        </w:rPr>
        <w:t>”), as issuer (the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the Guarantors and U.S. Bank Trust Company, National Association, as trustee. Capitalized terms used but not defined herein shall have the meanings given to them in the Indenture.</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In connection with our proposed purchase of ____________ aggregate principal amount of:</w:t>
      </w:r>
    </w:p>
    <w:p>
      <w:pPr>
        <w:spacing w:after="0" w:line="90" w:lineRule="exact"/>
        <w:rPr>
          <w:sz w:val="20"/>
          <w:szCs w:val="20"/>
          <w:color w:val="auto"/>
        </w:rPr>
      </w:pPr>
    </w:p>
    <w:p>
      <w:pPr>
        <w:ind w:left="1420" w:hanging="439"/>
        <w:spacing w:after="0" w:line="207" w:lineRule="exact"/>
        <w:tabs>
          <w:tab w:leader="none" w:pos="1420" w:val="left"/>
        </w:tabs>
        <w:numPr>
          <w:ilvl w:val="0"/>
          <w:numId w:val="14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beneficial interest in a Global Note, or</w:t>
      </w:r>
    </w:p>
    <w:p>
      <w:pPr>
        <w:spacing w:after="0" w:line="130" w:lineRule="exact"/>
        <w:rPr>
          <w:rFonts w:ascii="Times New Roman" w:cs="Times New Roman" w:eastAsia="Times New Roman" w:hAnsi="Times New Roman"/>
          <w:sz w:val="18"/>
          <w:szCs w:val="18"/>
          <w:color w:val="auto"/>
        </w:rPr>
      </w:pPr>
    </w:p>
    <w:p>
      <w:pPr>
        <w:ind w:left="1420" w:hanging="439"/>
        <w:spacing w:after="0" w:line="207" w:lineRule="exact"/>
        <w:tabs>
          <w:tab w:leader="none" w:pos="1420" w:val="left"/>
        </w:tabs>
        <w:numPr>
          <w:ilvl w:val="0"/>
          <w:numId w:val="143"/>
        </w:numPr>
        <w:rPr>
          <w:rFonts w:ascii="Times New Roman" w:cs="Times New Roman" w:eastAsia="Times New Roman" w:hAnsi="Times New Roman"/>
          <w:sz w:val="18"/>
          <w:szCs w:val="18"/>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 Physical Note,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confirm that:</w:t>
      </w:r>
    </w:p>
    <w:p>
      <w:pPr>
        <w:spacing w:after="0" w:line="117" w:lineRule="exact"/>
        <w:rPr>
          <w:sz w:val="20"/>
          <w:szCs w:val="20"/>
          <w:color w:val="auto"/>
        </w:rPr>
      </w:pPr>
    </w:p>
    <w:p>
      <w:pPr>
        <w:ind w:right="160" w:firstLine="987"/>
        <w:spacing w:after="0" w:line="266" w:lineRule="auto"/>
        <w:tabs>
          <w:tab w:leader="none" w:pos="1171"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understand that any subsequent transfer of the Notes or any interest therein is subject to certain restrictions and conditions set forth in the Indenture and the undersigned agrees to be bound by, and not to resell, pledge or otherwise transfer the Notes or any interest therein except in compliance with, such restrictions and conditions and the United States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H-1</w:t>
      </w:r>
    </w:p>
    <w:p>
      <w:pPr>
        <w:sectPr>
          <w:pgSz w:w="11900" w:h="16838" w:orient="portrait"/>
          <w:cols w:equalWidth="0" w:num="1">
            <w:col w:w="11020"/>
          </w:cols>
          <w:pgMar w:left="440" w:top="270" w:right="439" w:bottom="1440" w:gutter="0" w:footer="0" w:header="0"/>
        </w:sectPr>
      </w:pPr>
    </w:p>
    <w:bookmarkStart w:id="138" w:name="page139"/>
    <w:bookmarkEnd w:id="138"/>
    <w:p>
      <w:pPr>
        <w:ind w:left="4" w:right="40" w:firstLine="987"/>
        <w:spacing w:after="0" w:line="272" w:lineRule="auto"/>
        <w:tabs>
          <w:tab w:leader="none" w:pos="1175" w:val="left"/>
        </w:tabs>
        <w:numPr>
          <w:ilvl w:val="1"/>
          <w:numId w:val="1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 understand that the offer and sale of the Notes have not been registered under the Securities Act, and that the Notes and any interest therein may not be offered or sold except as permitted in the following sentence. We agree, on our own behalf and on behalf of any accounts for which we are acting as hereinafter stated, that if we should sell the Notes or any interest therein, we will do so only (A) to the Issuer or any Subsidiary thereof,</w:t>
      </w:r>
    </w:p>
    <w:p>
      <w:pPr>
        <w:spacing w:after="0" w:line="1" w:lineRule="exact"/>
        <w:rPr>
          <w:rFonts w:ascii="Times New Roman" w:cs="Times New Roman" w:eastAsia="Times New Roman" w:hAnsi="Times New Roman"/>
          <w:sz w:val="17"/>
          <w:szCs w:val="17"/>
          <w:color w:val="auto"/>
        </w:rPr>
      </w:pPr>
    </w:p>
    <w:p>
      <w:pPr>
        <w:ind w:left="4" w:right="200" w:hanging="4"/>
        <w:spacing w:after="0" w:line="265" w:lineRule="auto"/>
        <w:tabs>
          <w:tab w:leader="none" w:pos="289"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accordance with Rule 144A under the Securities Act to a “qualified institutional buyer” (as defined therein), (c) to an institutional “accredited investor” (as defined below) that, prior to such transfer, furnishes (or has furnished on its behalf by a U.S. broker-dealer) to you and to the Issuer a signed letter substantially in the form of this letter and, if such transfer is in respect of a principal amount of Notes, at the time of transfer, of less than $250,000, an Opinion of Counsel in form reasonably acceptable to the Issuer to the effect that such transfer is in compliance with the Securities Act,</w:t>
      </w:r>
    </w:p>
    <w:p>
      <w:pPr>
        <w:jc w:val="both"/>
        <w:ind w:left="4" w:right="20" w:hanging="4"/>
        <w:spacing w:after="0" w:line="253" w:lineRule="auto"/>
        <w:tabs>
          <w:tab w:leader="none" w:pos="299"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outside the United States in accordance with Rule 904 of Regulation S under the Securities Act or (E) pursuant to an effective registration statement under the Securities Act, and we further agree to provide to any person purchasing the Physical Note or beneficial interest in a Global Note from us in a transaction meeting the requirements of clauses (A) through (E) of this paragraph a notice advising such purchaser that resales thereof are restricted as stated herein.</w:t>
      </w:r>
    </w:p>
    <w:p>
      <w:pPr>
        <w:spacing w:after="0" w:line="188" w:lineRule="exact"/>
        <w:rPr>
          <w:rFonts w:ascii="Times New Roman" w:cs="Times New Roman" w:eastAsia="Times New Roman" w:hAnsi="Times New Roman"/>
          <w:sz w:val="18"/>
          <w:szCs w:val="18"/>
          <w:color w:val="auto"/>
        </w:rPr>
      </w:pPr>
    </w:p>
    <w:p>
      <w:pPr>
        <w:ind w:left="4" w:right="60" w:firstLine="987"/>
        <w:spacing w:after="0" w:line="266" w:lineRule="auto"/>
        <w:tabs>
          <w:tab w:leader="none" w:pos="1175"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understand that, on any proposed resale of the Notes or beneficial interest therein, we will be required to furnish to you and the Issuer such certifications, legal opinions and other information as you and the Issuer may reasonably require to confirm that the proposed sale complies with the foregoing restrictions. We further understand that the Notes purchased by us will bear a legend to the foregoing effect.</w:t>
      </w:r>
    </w:p>
    <w:p>
      <w:pPr>
        <w:spacing w:after="0" w:line="175" w:lineRule="exact"/>
        <w:rPr>
          <w:rFonts w:ascii="Times New Roman" w:cs="Times New Roman" w:eastAsia="Times New Roman" w:hAnsi="Times New Roman"/>
          <w:sz w:val="18"/>
          <w:szCs w:val="18"/>
          <w:color w:val="auto"/>
        </w:rPr>
      </w:pPr>
    </w:p>
    <w:p>
      <w:pPr>
        <w:ind w:left="4" w:firstLine="987"/>
        <w:spacing w:after="0" w:line="266" w:lineRule="auto"/>
        <w:tabs>
          <w:tab w:leader="none" w:pos="1175"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an institutional “accredited investor” (as defined in Rule 501(a)(1), (2), (3) or (7) of Regulation D under the Securities Act) and have such knowledge and experience in financial and business matters as to be capable of evaluating the merits and risks of our investment in the Notes, and we and any accounts for which we are acting are each able to bear the economic risk of our or its investment.</w:t>
      </w:r>
    </w:p>
    <w:p>
      <w:pPr>
        <w:spacing w:after="0" w:line="175" w:lineRule="exact"/>
        <w:rPr>
          <w:rFonts w:ascii="Times New Roman" w:cs="Times New Roman" w:eastAsia="Times New Roman" w:hAnsi="Times New Roman"/>
          <w:sz w:val="18"/>
          <w:szCs w:val="18"/>
          <w:color w:val="auto"/>
        </w:rPr>
      </w:pPr>
    </w:p>
    <w:p>
      <w:pPr>
        <w:ind w:left="4" w:right="400" w:firstLine="987"/>
        <w:spacing w:after="0" w:line="282" w:lineRule="auto"/>
        <w:tabs>
          <w:tab w:leader="none" w:pos="1175" w:val="left"/>
        </w:tabs>
        <w:numPr>
          <w:ilvl w:val="1"/>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acquiring the Notes or beneficial interest therein purchased by us for our own account or for one or more accounts (each of which is an institutional “accredited investor”) as to each of which we exercise sole investment discretion.</w:t>
      </w:r>
    </w:p>
    <w:p>
      <w:pPr>
        <w:spacing w:after="0" w:line="162" w:lineRule="exact"/>
        <w:rPr>
          <w:sz w:val="20"/>
          <w:szCs w:val="20"/>
          <w:color w:val="auto"/>
        </w:rPr>
      </w:pPr>
    </w:p>
    <w:p>
      <w:pPr>
        <w:ind w:left="4" w:right="680" w:firstLine="991"/>
        <w:spacing w:after="0" w:line="282" w:lineRule="auto"/>
        <w:rPr>
          <w:sz w:val="20"/>
          <w:szCs w:val="20"/>
          <w:color w:val="auto"/>
        </w:rPr>
      </w:pPr>
      <w:r>
        <w:rPr>
          <w:rFonts w:ascii="Times New Roman" w:cs="Times New Roman" w:eastAsia="Times New Roman" w:hAnsi="Times New Roman"/>
          <w:sz w:val="18"/>
          <w:szCs w:val="18"/>
          <w:color w:val="auto"/>
        </w:rPr>
        <w:t>You and the Issuer are entitled to rely upon this letter and are irrevocably authorized to produce this letter or a copy hereof to any interested party in any administrative or legal proceedings or official inquiry with respect to the matters covered hereby.</w:t>
      </w:r>
    </w:p>
    <w:p>
      <w:pPr>
        <w:spacing w:after="0" w:line="200" w:lineRule="exact"/>
        <w:rPr>
          <w:sz w:val="20"/>
          <w:szCs w:val="20"/>
          <w:color w:val="auto"/>
        </w:rPr>
      </w:pPr>
    </w:p>
    <w:p>
      <w:pPr>
        <w:spacing w:after="0" w:line="286"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[Insert Name of Accredited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4200525</wp:posOffset>
            </wp:positionH>
            <wp:positionV relativeFrom="paragraph">
              <wp:posOffset>-127635</wp:posOffset>
            </wp:positionV>
            <wp:extent cx="27946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5" w:lineRule="exact"/>
        <w:rPr>
          <w:sz w:val="20"/>
          <w:szCs w:val="20"/>
          <w:color w:val="auto"/>
        </w:rPr>
      </w:pPr>
    </w:p>
    <w:p>
      <w:pPr>
        <w:ind w:left="6624"/>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4397375</wp:posOffset>
            </wp:positionH>
            <wp:positionV relativeFrom="paragraph">
              <wp:posOffset>17145</wp:posOffset>
            </wp:positionV>
            <wp:extent cx="259715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984"/>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Dated: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332740</wp:posOffset>
            </wp:positionH>
            <wp:positionV relativeFrom="paragraph">
              <wp:posOffset>-7620</wp:posOffset>
            </wp:positionV>
            <wp:extent cx="125666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56665" cy="8255"/>
                    </a:xfrm>
                    <a:prstGeom prst="rect">
                      <a:avLst/>
                    </a:prstGeom>
                    <a:noFill/>
                  </pic:spPr>
                </pic:pic>
              </a:graphicData>
            </a:graphic>
          </wp:anchor>
        </w:drawing>
      </w:r>
    </w:p>
    <w:p>
      <w:pPr>
        <w:spacing w:after="0" w:line="138"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H-2</w:t>
      </w:r>
    </w:p>
    <w:p>
      <w:pPr>
        <w:sectPr>
          <w:pgSz w:w="11900" w:h="16838" w:orient="portrait"/>
          <w:cols w:equalWidth="0" w:num="1">
            <w:col w:w="10964"/>
          </w:cols>
          <w:pgMar w:left="436" w:top="270" w:right="499" w:bottom="1440" w:gutter="0" w:footer="0" w:header="0"/>
        </w:sectPr>
      </w:pPr>
    </w:p>
    <w:bookmarkStart w:id="139" w:name="page140"/>
    <w:bookmarkEnd w:id="139"/>
    <w:p>
      <w:pPr>
        <w:jc w:val="right"/>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EXHIBIT I</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GUARANTEE</w:t>
      </w:r>
    </w:p>
    <w:p>
      <w:pPr>
        <w:spacing w:after="0" w:line="225" w:lineRule="exact"/>
        <w:rPr>
          <w:sz w:val="20"/>
          <w:szCs w:val="20"/>
          <w:color w:val="auto"/>
        </w:rPr>
      </w:pPr>
    </w:p>
    <w:p>
      <w:pPr>
        <w:ind w:left="4" w:right="20" w:firstLine="991"/>
        <w:spacing w:after="0" w:line="272" w:lineRule="auto"/>
        <w:rPr>
          <w:sz w:val="20"/>
          <w:szCs w:val="20"/>
          <w:color w:val="auto"/>
        </w:rPr>
      </w:pPr>
      <w:r>
        <w:rPr>
          <w:rFonts w:ascii="Times New Roman" w:cs="Times New Roman" w:eastAsia="Times New Roman" w:hAnsi="Times New Roman"/>
          <w:sz w:val="17"/>
          <w:szCs w:val="17"/>
          <w:color w:val="auto"/>
        </w:rPr>
        <w:t>Each of the undersigned (the “</w:t>
      </w:r>
      <w:r>
        <w:rPr>
          <w:rFonts w:ascii="Times New Roman" w:cs="Times New Roman" w:eastAsia="Times New Roman" w:hAnsi="Times New Roman"/>
          <w:sz w:val="17"/>
          <w:szCs w:val="17"/>
          <w:u w:val="single" w:color="auto"/>
          <w:color w:val="auto"/>
        </w:rPr>
        <w:t>Guarantors</w:t>
      </w:r>
      <w:r>
        <w:rPr>
          <w:rFonts w:ascii="Times New Roman" w:cs="Times New Roman" w:eastAsia="Times New Roman" w:hAnsi="Times New Roman"/>
          <w:sz w:val="17"/>
          <w:szCs w:val="17"/>
          <w:color w:val="auto"/>
        </w:rPr>
        <w:t>”) hereby jointly and severally unconditionally guarantees, to the extent set forth in the Indenture, dated as of May 27, 2025, by and among Crown Americas LLC (“</w:t>
      </w:r>
      <w:r>
        <w:rPr>
          <w:rFonts w:ascii="Times New Roman" w:cs="Times New Roman" w:eastAsia="Times New Roman" w:hAnsi="Times New Roman"/>
          <w:sz w:val="17"/>
          <w:szCs w:val="17"/>
          <w:u w:val="single" w:color="auto"/>
          <w:color w:val="auto"/>
        </w:rPr>
        <w:t>Crown Americas</w:t>
      </w:r>
      <w:r>
        <w:rPr>
          <w:rFonts w:ascii="Times New Roman" w:cs="Times New Roman" w:eastAsia="Times New Roman" w:hAnsi="Times New Roman"/>
          <w:sz w:val="17"/>
          <w:szCs w:val="17"/>
          <w:color w:val="auto"/>
        </w:rPr>
        <w:t>”), as issuer (the “</w:t>
      </w:r>
      <w:r>
        <w:rPr>
          <w:rFonts w:ascii="Times New Roman" w:cs="Times New Roman" w:eastAsia="Times New Roman" w:hAnsi="Times New Roman"/>
          <w:sz w:val="17"/>
          <w:szCs w:val="17"/>
          <w:u w:val="single" w:color="auto"/>
          <w:color w:val="auto"/>
        </w:rPr>
        <w:t>Issuer</w:t>
      </w:r>
      <w:r>
        <w:rPr>
          <w:rFonts w:ascii="Times New Roman" w:cs="Times New Roman" w:eastAsia="Times New Roman" w:hAnsi="Times New Roman"/>
          <w:sz w:val="17"/>
          <w:szCs w:val="17"/>
          <w:color w:val="auto"/>
        </w:rPr>
        <w:t>”), the Guarantors and U.S. Bank Trust Company, National Association, as trustee (as amended, restated or supplemented from time to time, the “</w:t>
      </w:r>
      <w:r>
        <w:rPr>
          <w:rFonts w:ascii="Times New Roman" w:cs="Times New Roman" w:eastAsia="Times New Roman" w:hAnsi="Times New Roman"/>
          <w:sz w:val="17"/>
          <w:szCs w:val="17"/>
          <w:u w:val="single" w:color="auto"/>
          <w:color w:val="auto"/>
        </w:rPr>
        <w:t>Indenture</w:t>
      </w:r>
      <w:r>
        <w:rPr>
          <w:rFonts w:ascii="Times New Roman" w:cs="Times New Roman" w:eastAsia="Times New Roman" w:hAnsi="Times New Roman"/>
          <w:sz w:val="17"/>
          <w:szCs w:val="17"/>
          <w:color w:val="auto"/>
        </w:rPr>
        <w:t>”), and subject to the Indenture,</w:t>
      </w:r>
    </w:p>
    <w:p>
      <w:pPr>
        <w:spacing w:after="0" w:line="2" w:lineRule="exact"/>
        <w:rPr>
          <w:sz w:val="20"/>
          <w:szCs w:val="20"/>
          <w:color w:val="auto"/>
        </w:rPr>
      </w:pPr>
    </w:p>
    <w:p>
      <w:pPr>
        <w:ind w:left="4" w:right="260" w:hanging="4"/>
        <w:spacing w:after="0" w:line="252" w:lineRule="auto"/>
        <w:tabs>
          <w:tab w:leader="none" w:pos="249"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due and punctual payment of the principal of, and premium, if any, and interest on the Notes, when and as the same shall become due and payable, whether at maturity, by acceleration or otherwise, the due and punctual payment of interest on overdue principal of, and premium and, to the extent permitted by law, interest, and the due and punctual performance of all other obligations of the Issuer to the Noteholders or the Trustee, all in accordance with the terms set forth in Article Ten of the Indenture, (b) in case of any extension of time of payment or renewal of any Notes or any of such other obligations, that the same will be promptly paid in full when due or performed in accordance with the terms of the extension or renewal, whether at stated maturity, by acceleration or otherwise and (c) all amounts due to the Trustee pursuant to the Indenture.</w:t>
      </w:r>
    </w:p>
    <w:p>
      <w:pPr>
        <w:spacing w:after="0" w:line="190" w:lineRule="exact"/>
        <w:rPr>
          <w:sz w:val="20"/>
          <w:szCs w:val="20"/>
          <w:color w:val="auto"/>
        </w:rPr>
      </w:pPr>
    </w:p>
    <w:p>
      <w:pPr>
        <w:ind w:left="4" w:right="20" w:firstLine="991"/>
        <w:spacing w:after="0" w:line="261" w:lineRule="auto"/>
        <w:rPr>
          <w:sz w:val="20"/>
          <w:szCs w:val="20"/>
          <w:color w:val="auto"/>
        </w:rPr>
      </w:pPr>
      <w:r>
        <w:rPr>
          <w:rFonts w:ascii="Times New Roman" w:cs="Times New Roman" w:eastAsia="Times New Roman" w:hAnsi="Times New Roman"/>
          <w:sz w:val="18"/>
          <w:szCs w:val="18"/>
          <w:color w:val="auto"/>
        </w:rPr>
        <w:t>The obligations of the Guarantors to the Noteholders and to the Trustee pursuant to this Guarantee and the Indenture are expressly set forth in Article Ten of the Indenture, and reference is hereby made to the Indenture for the precise terms and limitations of this Guarantee. Each Holder of the Note to which this Guarantee is endorsed, by accepting such Note, agrees to and shall be bound by such provisions. Capitalized terms used herein without definition shall have the meanings ascribed thereto in the Indenture.</w:t>
      </w:r>
    </w:p>
    <w:p>
      <w:pPr>
        <w:spacing w:after="0" w:line="180" w:lineRule="exact"/>
        <w:rPr>
          <w:sz w:val="20"/>
          <w:szCs w:val="20"/>
          <w:color w:val="auto"/>
        </w:rPr>
      </w:pPr>
    </w:p>
    <w:p>
      <w:pPr>
        <w:ind w:left="4" w:right="400" w:firstLine="991"/>
        <w:spacing w:after="0" w:line="282" w:lineRule="auto"/>
        <w:rPr>
          <w:sz w:val="20"/>
          <w:szCs w:val="20"/>
          <w:color w:val="auto"/>
        </w:rPr>
      </w:pPr>
      <w:r>
        <w:rPr>
          <w:rFonts w:ascii="Times New Roman" w:cs="Times New Roman" w:eastAsia="Times New Roman" w:hAnsi="Times New Roman"/>
          <w:sz w:val="18"/>
          <w:szCs w:val="18"/>
          <w:color w:val="auto"/>
        </w:rPr>
        <w:t>This Guarantee shall be governed by and construed in accordance with the laws of the State of New York, but without giving effect to applicable principles of conflicts of law to the extent that the application of the law of another jurisdiction would be required thereby.</w:t>
      </w:r>
    </w:p>
    <w:p>
      <w:pPr>
        <w:spacing w:after="0" w:line="162" w:lineRule="exact"/>
        <w:rPr>
          <w:sz w:val="20"/>
          <w:szCs w:val="20"/>
          <w:color w:val="auto"/>
        </w:rPr>
      </w:pPr>
    </w:p>
    <w:p>
      <w:pPr>
        <w:ind w:left="4" w:right="20" w:firstLine="991"/>
        <w:spacing w:after="0" w:line="258" w:lineRule="auto"/>
        <w:rPr>
          <w:sz w:val="20"/>
          <w:szCs w:val="20"/>
          <w:color w:val="auto"/>
        </w:rPr>
      </w:pPr>
      <w:r>
        <w:rPr>
          <w:rFonts w:ascii="Times New Roman" w:cs="Times New Roman" w:eastAsia="Times New Roman" w:hAnsi="Times New Roman"/>
          <w:sz w:val="18"/>
          <w:szCs w:val="18"/>
          <w:color w:val="auto"/>
        </w:rPr>
        <w:t>Each Guarantor (i) acknowledges that may be served in any suit or proceeding arising out of or relating to this Indenture, the Notes and the Note Guarantees that may be instituted in any Federal or state court in the State of New York, The City of New York, the Borough of Manhattan or brought under Federal or state securities laws, (ii) irrevocably submits to the non-exclusive jurisdiction of any such court in any such suit or proceeding in (i) above and (iii) agrees that service of process upon the Issuer in accordance with this Guarantee shall be deemed in every respect effective service of process upon the Issuer or any Guarantor, if any, in any such suit or proceeding.</w:t>
      </w:r>
    </w:p>
    <w:p>
      <w:pPr>
        <w:spacing w:after="0" w:line="183"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[Signatures on Following Pages]</w:t>
      </w:r>
    </w:p>
    <w:p>
      <w:pPr>
        <w:spacing w:after="0" w:line="15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I-1</w:t>
      </w:r>
    </w:p>
    <w:p>
      <w:pPr>
        <w:sectPr>
          <w:pgSz w:w="11900" w:h="16838" w:orient="portrait"/>
          <w:cols w:equalWidth="0" w:num="1">
            <w:col w:w="11024"/>
          </w:cols>
          <w:pgMar w:left="436" w:top="270" w:right="439" w:bottom="1440" w:gutter="0" w:footer="0" w:header="0"/>
        </w:sectPr>
      </w:pPr>
    </w:p>
    <w:bookmarkStart w:id="140" w:name="page141"/>
    <w:bookmarkEnd w:id="14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each of the Guarantors has caused this Guarantee to be signed by a duly authorized officer.</w:t>
      </w:r>
    </w:p>
    <w:p>
      <w:pPr>
        <w:spacing w:after="0" w:line="25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CROWN HOLDINGS, INC.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CR USA, INC.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CROWN BEVERAGE PACKAGING</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PUERTO RICO, INC.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CROWN CONSULTANTS, INC.</w:t>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CROWN FINANCIAL CORPORATION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7"/>
          <w:szCs w:val="17"/>
          <w:color w:val="auto"/>
        </w:rPr>
        <w:t>CROWN CORK &amp; SEAL COMPANY (DE), LLC</w:t>
      </w:r>
    </w:p>
    <w:p>
      <w:pPr>
        <w:spacing w:after="0" w:line="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FOREIGN MANUFACTURERS FINANCE</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CORPORATION</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CROWN CORK &amp; SEAL COMPANY, INC.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CROWN INTERNATIONAL HOLDINGS, LLC</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CROWN PACKAGING TECHNOLOGY, INC.</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CROWN CORK &amp; SEAL USA, INC.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CROWN BEVERAGE PACKAGING, LLC</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Assistant Treasurer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SIGNODE INDUSTRIAL GROUP US INC.</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3772535</wp:posOffset>
            </wp:positionH>
            <wp:positionV relativeFrom="paragraph">
              <wp:posOffset>17145</wp:posOffset>
            </wp:positionV>
            <wp:extent cx="259715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9"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I-2</w:t>
      </w:r>
    </w:p>
    <w:p>
      <w:pPr>
        <w:sectPr>
          <w:pgSz w:w="11900" w:h="16838" w:orient="portrait"/>
          <w:cols w:equalWidth="0" w:num="1">
            <w:col w:w="9280"/>
          </w:cols>
          <w:pgMar w:left="1420" w:top="270" w:right="1199" w:bottom="1440" w:gutter="0" w:footer="0" w:header="0"/>
        </w:sectPr>
      </w:pPr>
    </w:p>
    <w:bookmarkStart w:id="141" w:name="page142"/>
    <w:bookmarkEnd w:id="141"/>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CROWN BEVERAGE HOLDINGS,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INDUSTRIAL GROUP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PICKLING HOLDING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US IP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INDUSTRIAL GROUP HOLDINGS US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INTERNATIONAL IP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SIMPLIMATIC ENGINEERING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SIMPLIMATIC AUTOMATION LLC SEH REAL ESTATE</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 INTERNATIONAL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 INTERNATIONAL HOLDINGS II LLC</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 &amp; Assistant Treasurer</w:t>
      </w:r>
    </w:p>
    <w:p>
      <w:pPr>
        <w:spacing w:after="0" w:line="139" w:lineRule="exact"/>
        <w:rPr>
          <w:sz w:val="20"/>
          <w:szCs w:val="20"/>
          <w:color w:val="auto"/>
        </w:rPr>
      </w:pPr>
    </w:p>
    <w:p>
      <w:pPr>
        <w:ind w:left="4400"/>
        <w:spacing w:after="0"/>
        <w:rPr>
          <w:sz w:val="20"/>
          <w:szCs w:val="20"/>
          <w:color w:val="auto"/>
        </w:rPr>
      </w:pPr>
      <w:r>
        <w:rPr>
          <w:rFonts w:ascii="Times New Roman" w:cs="Times New Roman" w:eastAsia="Times New Roman" w:hAnsi="Times New Roman"/>
          <w:sz w:val="18"/>
          <w:szCs w:val="18"/>
          <w:color w:val="auto"/>
        </w:rPr>
        <w:t>I-3</w:t>
      </w:r>
    </w:p>
    <w:p>
      <w:pPr>
        <w:sectPr>
          <w:pgSz w:w="11900" w:h="16838" w:orient="portrait"/>
          <w:cols w:equalWidth="0" w:num="1">
            <w:col w:w="9960"/>
          </w:cols>
          <w:pgMar w:left="1440" w:top="270" w:right="49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b w:val="1"/>
          <w:bCs w:val="1"/>
          <w:color w:val="auto"/>
        </w:rPr>
        <w:t>Exhibit 4.2</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w:t>
      </w:r>
      <w:r>
        <w:rPr>
          <w:rFonts w:ascii="Times New Roman" w:cs="Times New Roman" w:eastAsia="Times New Roman" w:hAnsi="Times New Roman"/>
          <w:sz w:val="14"/>
          <w:szCs w:val="14"/>
          <w:b w:val="1"/>
          <w:bCs w:val="1"/>
          <w:color w:val="auto"/>
        </w:rPr>
        <w:t>XECUTION</w:t>
      </w:r>
      <w:r>
        <w:rPr>
          <w:rFonts w:ascii="Times New Roman" w:cs="Times New Roman" w:eastAsia="Times New Roman" w:hAnsi="Times New Roman"/>
          <w:sz w:val="18"/>
          <w:szCs w:val="18"/>
          <w:b w:val="1"/>
          <w:bCs w:val="1"/>
          <w:color w:val="auto"/>
        </w:rPr>
        <w:t xml:space="preserve"> V</w:t>
      </w:r>
      <w:r>
        <w:rPr>
          <w:rFonts w:ascii="Times New Roman" w:cs="Times New Roman" w:eastAsia="Times New Roman" w:hAnsi="Times New Roman"/>
          <w:sz w:val="14"/>
          <w:szCs w:val="14"/>
          <w:b w:val="1"/>
          <w:bCs w:val="1"/>
          <w:color w:val="auto"/>
        </w:rPr>
        <w:t>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CROWN AMERICAS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$700,000,000 5.875% Senior Notes due 2033</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REGISTRATION RIGHTS AGREEMENT</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New York, New York</w:t>
      </w:r>
    </w:p>
    <w:p>
      <w:pPr>
        <w:spacing w:after="0" w:line="2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May 27, 2025</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As Representative of the several Initial</w:t>
      </w:r>
    </w:p>
    <w:p>
      <w:pPr>
        <w:spacing w:after="0" w:line="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Purchasers named in Schedule I hereto</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BofA Securities,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One Bryant Park</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11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Crown Holdings, Inc., a Pennsylvania corporation, and the indirect parent company of Crown Americas LLC, a Pennsylvania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liability company, proposes among other things, that the Company (as defined below) issues and sells to the several initial purchasers named in Schedule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hereto (the “</w:t>
      </w:r>
      <w:r>
        <w:rPr>
          <w:rFonts w:ascii="Times New Roman" w:cs="Times New Roman" w:eastAsia="Times New Roman" w:hAnsi="Times New Roman"/>
          <w:sz w:val="18"/>
          <w:szCs w:val="18"/>
          <w:u w:val="single" w:color="auto"/>
          <w:color w:val="auto"/>
        </w:rPr>
        <w:t>Initial Purchasers</w:t>
      </w:r>
      <w:r>
        <w:rPr>
          <w:rFonts w:ascii="Times New Roman" w:cs="Times New Roman" w:eastAsia="Times New Roman" w:hAnsi="Times New Roman"/>
          <w:sz w:val="18"/>
          <w:szCs w:val="18"/>
          <w:color w:val="auto"/>
        </w:rPr>
        <w:t>”), for whom you are acting as representative (the “</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$700,000,000 aggregate principal amount of 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5.875% Senior Notes due 2033 (the “</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upon the terms and conditions set forth in a purchase agreement dated May 12, 2025 (the “</w:t>
      </w:r>
      <w:r>
        <w:rPr>
          <w:rFonts w:ascii="Times New Roman" w:cs="Times New Roman" w:eastAsia="Times New Roman" w:hAnsi="Times New Roman"/>
          <w:sz w:val="18"/>
          <w:szCs w:val="18"/>
          <w:u w:val="single" w:color="auto"/>
          <w:color w:val="auto"/>
        </w:rPr>
        <w:t>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relating to the initial placement of the Notes (the “</w:t>
      </w:r>
      <w:r>
        <w:rPr>
          <w:rFonts w:ascii="Times New Roman" w:cs="Times New Roman" w:eastAsia="Times New Roman" w:hAnsi="Times New Roman"/>
          <w:sz w:val="18"/>
          <w:szCs w:val="18"/>
          <w:u w:val="single" w:color="auto"/>
          <w:color w:val="auto"/>
        </w:rPr>
        <w:t>Initial Placement</w:t>
      </w:r>
      <w:r>
        <w:rPr>
          <w:rFonts w:ascii="Times New Roman" w:cs="Times New Roman" w:eastAsia="Times New Roman" w:hAnsi="Times New Roman"/>
          <w:sz w:val="18"/>
          <w:szCs w:val="18"/>
          <w:color w:val="auto"/>
        </w:rPr>
        <w:t>”). The Company’s obligations under the Notes will be initially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unconditionally guaranteed (the “</w:t>
      </w:r>
      <w:r>
        <w:rPr>
          <w:rFonts w:ascii="Times New Roman" w:cs="Times New Roman" w:eastAsia="Times New Roman" w:hAnsi="Times New Roman"/>
          <w:sz w:val="18"/>
          <w:szCs w:val="18"/>
          <w:u w:val="single" w:color="auto"/>
          <w:color w:val="auto"/>
        </w:rPr>
        <w:t>Guarantees</w:t>
      </w:r>
      <w:r>
        <w:rPr>
          <w:rFonts w:ascii="Times New Roman" w:cs="Times New Roman" w:eastAsia="Times New Roman" w:hAnsi="Times New Roman"/>
          <w:sz w:val="18"/>
          <w:szCs w:val="18"/>
          <w:color w:val="auto"/>
        </w:rPr>
        <w:t xml:space="preserve">”) by Crown (as defined below) and each of Crown’s subsidiaries named in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to the Purchase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Agreement (collectively, the “</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References herein to the “</w:t>
      </w:r>
      <w:r>
        <w:rPr>
          <w:rFonts w:ascii="Times New Roman" w:cs="Times New Roman" w:eastAsia="Times New Roman" w:hAnsi="Times New Roman"/>
          <w:sz w:val="18"/>
          <w:szCs w:val="18"/>
          <w:u w:val="single" w:color="auto"/>
          <w:color w:val="auto"/>
        </w:rPr>
        <w:t>Issuers</w:t>
      </w:r>
      <w:r>
        <w:rPr>
          <w:rFonts w:ascii="Times New Roman" w:cs="Times New Roman" w:eastAsia="Times New Roman" w:hAnsi="Times New Roman"/>
          <w:sz w:val="18"/>
          <w:szCs w:val="18"/>
          <w:color w:val="auto"/>
        </w:rPr>
        <w:t>” refer to the Company and the Guarantors. References herein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refer to the Notes and the Guarantees. To induce the Initial Purchasers to enter into the Purchase Agreement and to satisfy a condition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 obligations thereunder, the Issuers hereby agree with you for your benefit and the benefit of the holders from time to time of Securities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Exchange Securities (as defined below) (including the Initial Purchasers) (each a “</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and collectively the “</w:t>
      </w:r>
      <w:r>
        <w:rPr>
          <w:rFonts w:ascii="Times New Roman" w:cs="Times New Roman" w:eastAsia="Times New Roman" w:hAnsi="Times New Roman"/>
          <w:sz w:val="18"/>
          <w:szCs w:val="18"/>
          <w:u w:val="single" w:color="auto"/>
          <w:color w:val="auto"/>
        </w:rPr>
        <w:t>Holders</w:t>
      </w:r>
      <w:r>
        <w:rPr>
          <w:rFonts w:ascii="Times New Roman" w:cs="Times New Roman" w:eastAsia="Times New Roman" w:hAnsi="Times New Roman"/>
          <w:sz w:val="18"/>
          <w:szCs w:val="18"/>
          <w:color w:val="auto"/>
        </w:rPr>
        <w:t>”) as follows:</w:t>
      </w:r>
    </w:p>
    <w:p>
      <w:pPr>
        <w:spacing w:after="0" w:line="99" w:lineRule="exact"/>
        <w:rPr>
          <w:sz w:val="20"/>
          <w:szCs w:val="20"/>
          <w:color w:val="auto"/>
        </w:rPr>
      </w:pPr>
    </w:p>
    <w:p>
      <w:pPr>
        <w:ind w:right="160" w:firstLine="987"/>
        <w:spacing w:after="0" w:line="282" w:lineRule="auto"/>
        <w:tabs>
          <w:tab w:leader="none" w:pos="1171"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Capitalized terms used herein without definition shall have their respective meanings set forth in the Purchase Agreement. As used in this Agreement, the following defined terms shall have the following respective meanings:</w:t>
      </w:r>
    </w:p>
    <w:p>
      <w:pPr>
        <w:spacing w:after="0" w:line="5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Act</w:t>
      </w:r>
      <w:r>
        <w:rPr>
          <w:rFonts w:ascii="Times New Roman" w:cs="Times New Roman" w:eastAsia="Times New Roman" w:hAnsi="Times New Roman"/>
          <w:sz w:val="18"/>
          <w:szCs w:val="18"/>
          <w:color w:val="auto"/>
        </w:rPr>
        <w:t>” shall mean the Securities Act of 1933, as amended, and the rules and regulations of the Commission promulgated thereunder.</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Additional Interest</w:t>
      </w:r>
      <w:r>
        <w:rPr>
          <w:rFonts w:ascii="Times New Roman" w:cs="Times New Roman" w:eastAsia="Times New Roman" w:hAnsi="Times New Roman"/>
          <w:sz w:val="18"/>
          <w:szCs w:val="18"/>
          <w:color w:val="auto"/>
        </w:rPr>
        <w:t>” shall have the meaning set forth in Section 8 hereof.</w:t>
      </w:r>
    </w:p>
    <w:p>
      <w:pPr>
        <w:spacing w:after="0" w:line="225" w:lineRule="exact"/>
        <w:rPr>
          <w:sz w:val="20"/>
          <w:szCs w:val="20"/>
          <w:color w:val="auto"/>
        </w:rPr>
      </w:pPr>
    </w:p>
    <w:p>
      <w:pPr>
        <w:ind w:right="14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Affiliate</w:t>
      </w:r>
      <w:r>
        <w:rPr>
          <w:rFonts w:ascii="Times New Roman" w:cs="Times New Roman" w:eastAsia="Times New Roman" w:hAnsi="Times New Roman"/>
          <w:sz w:val="18"/>
          <w:szCs w:val="18"/>
          <w:color w:val="auto"/>
        </w:rPr>
        <w:t>” of any specified Person shall mean any other Person that, directly or indirectly, is in control of, is controlled by, or is under common control with, such specified Person. For purposes of this definition, “</w:t>
      </w:r>
      <w:r>
        <w:rPr>
          <w:rFonts w:ascii="Times New Roman" w:cs="Times New Roman" w:eastAsia="Times New Roman" w:hAnsi="Times New Roman"/>
          <w:sz w:val="18"/>
          <w:szCs w:val="18"/>
          <w:u w:val="single" w:color="auto"/>
          <w:color w:val="auto"/>
        </w:rPr>
        <w:t>control</w:t>
      </w:r>
      <w:r>
        <w:rPr>
          <w:rFonts w:ascii="Times New Roman" w:cs="Times New Roman" w:eastAsia="Times New Roman" w:hAnsi="Times New Roman"/>
          <w:sz w:val="18"/>
          <w:szCs w:val="18"/>
          <w:color w:val="auto"/>
        </w:rPr>
        <w:t>” of a Person shall mean the power, direct or indirect, to direct or cause the direction of the management and policies of such Person whether by contract or otherwise; and the terms “controlling” and “controlled” shall have meanings correlative to the foregoing.</w:t>
      </w:r>
    </w:p>
    <w:p>
      <w:pPr>
        <w:sectPr>
          <w:pgSz w:w="11900" w:h="16838" w:orient="portrait"/>
          <w:cols w:equalWidth="0" w:num="1">
            <w:col w:w="11020"/>
          </w:cols>
          <w:pgMar w:left="440" w:top="117" w:right="439" w:bottom="1440" w:gutter="0" w:footer="0" w:header="0"/>
        </w:sectPr>
      </w:pPr>
    </w:p>
    <w:bookmarkStart w:id="143" w:name="page144"/>
    <w:bookmarkEnd w:id="143"/>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Broker-Dealer</w:t>
      </w:r>
      <w:r>
        <w:rPr>
          <w:rFonts w:ascii="Times New Roman" w:cs="Times New Roman" w:eastAsia="Times New Roman" w:hAnsi="Times New Roman"/>
          <w:sz w:val="18"/>
          <w:szCs w:val="18"/>
          <w:color w:val="auto"/>
        </w:rPr>
        <w:t>” shall mean any broker or dealer registered as such under the Exchange Act.</w:t>
      </w:r>
    </w:p>
    <w:p>
      <w:pPr>
        <w:spacing w:after="0" w:line="225" w:lineRule="exact"/>
        <w:rPr>
          <w:sz w:val="20"/>
          <w:szCs w:val="20"/>
          <w:color w:val="auto"/>
        </w:rPr>
      </w:pPr>
    </w:p>
    <w:p>
      <w:pPr>
        <w:ind w:right="4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shall mean any day other than a Saturday, a Sunday or a legal holiday or a day on which banking institutions or trust companies are authorized or obligated by law to close in New York City.</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Commission</w:t>
      </w:r>
      <w:r>
        <w:rPr>
          <w:rFonts w:ascii="Times New Roman" w:cs="Times New Roman" w:eastAsia="Times New Roman" w:hAnsi="Times New Roman"/>
          <w:sz w:val="18"/>
          <w:szCs w:val="18"/>
          <w:color w:val="auto"/>
        </w:rPr>
        <w:t>” shall mean the Securities and Exchange Commission.</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shall mean Crown Americas LLC, a Pennsylvania limited liability company, and any successor thereto.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Conduct Rules</w:t>
      </w:r>
      <w:r>
        <w:rPr>
          <w:rFonts w:ascii="Times New Roman" w:cs="Times New Roman" w:eastAsia="Times New Roman" w:hAnsi="Times New Roman"/>
          <w:sz w:val="18"/>
          <w:szCs w:val="18"/>
          <w:color w:val="auto"/>
        </w:rPr>
        <w:t>” shall have the meaning set forth in Section 4(u)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Crown</w:t>
      </w:r>
      <w:r>
        <w:rPr>
          <w:rFonts w:ascii="Times New Roman" w:cs="Times New Roman" w:eastAsia="Times New Roman" w:hAnsi="Times New Roman"/>
          <w:sz w:val="18"/>
          <w:szCs w:val="18"/>
          <w:color w:val="auto"/>
        </w:rPr>
        <w:t>” shall mean Crown Holdings, Inc., a Pennsylvania corporation, and any successor thereto.</w:t>
      </w:r>
    </w:p>
    <w:p>
      <w:pPr>
        <w:spacing w:after="0" w:line="225" w:lineRule="exact"/>
        <w:rPr>
          <w:sz w:val="20"/>
          <w:szCs w:val="20"/>
          <w:color w:val="auto"/>
        </w:rPr>
      </w:pPr>
    </w:p>
    <w:p>
      <w:pPr>
        <w:ind w:right="8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shall mean the Securities Exchange Act of 1934, as amended, and the rules and regulations of the Commission promulgated thereunder.</w:t>
      </w:r>
    </w:p>
    <w:p>
      <w:pPr>
        <w:spacing w:after="0" w:line="162" w:lineRule="exact"/>
        <w:rPr>
          <w:sz w:val="20"/>
          <w:szCs w:val="20"/>
          <w:color w:val="auto"/>
        </w:rPr>
      </w:pPr>
    </w:p>
    <w:p>
      <w:pPr>
        <w:ind w:right="380" w:firstLine="991"/>
        <w:spacing w:after="0" w:line="31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Exchange Offer Registration Period</w:t>
      </w:r>
      <w:r>
        <w:rPr>
          <w:rFonts w:ascii="Times New Roman" w:cs="Times New Roman" w:eastAsia="Times New Roman" w:hAnsi="Times New Roman"/>
          <w:sz w:val="17"/>
          <w:szCs w:val="17"/>
          <w:color w:val="auto"/>
        </w:rPr>
        <w:t>” shall mean the one-year period following the consummation of the Registered Exchange Offer, exclusive of any period during which any stop order shall be in effect suspending the effectiveness of the Exchange Offer Registration Statement.</w:t>
      </w:r>
    </w:p>
    <w:p>
      <w:pPr>
        <w:spacing w:after="0" w:line="140"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Offer Registration Statement</w:t>
      </w:r>
      <w:r>
        <w:rPr>
          <w:rFonts w:ascii="Times New Roman" w:cs="Times New Roman" w:eastAsia="Times New Roman" w:hAnsi="Times New Roman"/>
          <w:sz w:val="18"/>
          <w:szCs w:val="18"/>
          <w:color w:val="auto"/>
        </w:rPr>
        <w:t>” shall mean a registration statement of the Issuers on an appropriate form under the Act with respect to the Registered Exchange Offer, all amendments and supplements to such registration statement, including post-effective amendments thereto, in each case including the Prospectus contained therein, all exhibits thereto and all material incorporated by reference therein.</w:t>
      </w:r>
    </w:p>
    <w:p>
      <w:pPr>
        <w:spacing w:after="0" w:line="176" w:lineRule="exact"/>
        <w:rPr>
          <w:sz w:val="20"/>
          <w:szCs w:val="20"/>
          <w:color w:val="auto"/>
        </w:rPr>
      </w:pPr>
    </w:p>
    <w:p>
      <w:pPr>
        <w:ind w:right="3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Securities</w:t>
      </w:r>
      <w:r>
        <w:rPr>
          <w:rFonts w:ascii="Times New Roman" w:cs="Times New Roman" w:eastAsia="Times New Roman" w:hAnsi="Times New Roman"/>
          <w:sz w:val="18"/>
          <w:szCs w:val="18"/>
          <w:color w:val="auto"/>
        </w:rPr>
        <w:t>” shall mean debt securities of the Company guaranteed by the Guarantors identical in all material respects to the Securities (except that the U.S. transfer restrictions shall be modified or eliminated as appropriate) to be issued under the Indenture.</w:t>
      </w:r>
    </w:p>
    <w:p>
      <w:pPr>
        <w:spacing w:after="0" w:line="162" w:lineRule="exact"/>
        <w:rPr>
          <w:sz w:val="20"/>
          <w:szCs w:val="20"/>
          <w:color w:val="auto"/>
        </w:rPr>
      </w:pPr>
    </w:p>
    <w:p>
      <w:pPr>
        <w:ind w:right="6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Exchanging Dealer</w:t>
      </w:r>
      <w:r>
        <w:rPr>
          <w:rFonts w:ascii="Times New Roman" w:cs="Times New Roman" w:eastAsia="Times New Roman" w:hAnsi="Times New Roman"/>
          <w:sz w:val="18"/>
          <w:szCs w:val="18"/>
          <w:color w:val="auto"/>
        </w:rPr>
        <w:t>” shall mean any Holder (which may include any Initial Purchaser) that is a Broker-Dealer and elects to exchange any Securities that it acquired for its own account as a result of market-making activities or other trading activities (but not directly from any Issuer or any Affiliate of any Issuer) for Exchange Securities.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Final Memorandum</w:t>
      </w:r>
      <w:r>
        <w:rPr>
          <w:rFonts w:ascii="Times New Roman" w:cs="Times New Roman" w:eastAsia="Times New Roman" w:hAnsi="Times New Roman"/>
          <w:sz w:val="18"/>
          <w:szCs w:val="18"/>
          <w:color w:val="auto"/>
        </w:rPr>
        <w:t>” shall have the meaning set forth in the Purchase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Guarantees</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Guarantors</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Holder</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ind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Indenture</w:t>
      </w:r>
      <w:r>
        <w:rPr>
          <w:rFonts w:ascii="Times New Roman" w:cs="Times New Roman" w:eastAsia="Times New Roman" w:hAnsi="Times New Roman"/>
          <w:sz w:val="18"/>
          <w:szCs w:val="18"/>
          <w:color w:val="auto"/>
        </w:rPr>
        <w:t>” shall mean the Indenture relating to the Securities to be dated as of the date of original issuance of the Notes among the Company, the Guarantors and U.S. Bank Trust Company, National Association, as trustee, as amended or supplemented from time to time in accordance with the terms thereof.</w:t>
      </w:r>
    </w:p>
    <w:p>
      <w:pPr>
        <w:sectPr>
          <w:pgSz w:w="11900" w:h="16838" w:orient="portrait"/>
          <w:cols w:equalWidth="0" w:num="1">
            <w:col w:w="10980"/>
          </w:cols>
          <w:pgMar w:left="440" w:top="270" w:right="479" w:bottom="1440" w:gutter="0" w:footer="0" w:header="0"/>
        </w:sectPr>
      </w:pPr>
    </w:p>
    <w:bookmarkStart w:id="144" w:name="page145"/>
    <w:bookmarkEnd w:id="144"/>
    <w:p>
      <w:pPr>
        <w:ind w:left="98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Initial Placement</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Initial Purchasers</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 Date</w:t>
      </w:r>
      <w:r>
        <w:rPr>
          <w:rFonts w:ascii="Times New Roman" w:cs="Times New Roman" w:eastAsia="Times New Roman" w:hAnsi="Times New Roman"/>
          <w:sz w:val="18"/>
          <w:szCs w:val="18"/>
          <w:color w:val="auto"/>
        </w:rPr>
        <w:t>” shall mean May 27, 2025, the date of first issuance of the Securities.</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Issuers</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shall have the meaning set forth in Section 6(d) hereof.</w:t>
      </w:r>
    </w:p>
    <w:p>
      <w:pPr>
        <w:spacing w:after="0" w:line="225" w:lineRule="exact"/>
        <w:rPr>
          <w:sz w:val="20"/>
          <w:szCs w:val="20"/>
          <w:color w:val="auto"/>
        </w:rPr>
      </w:pPr>
    </w:p>
    <w:p>
      <w:pPr>
        <w:ind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Majority Holders</w:t>
      </w:r>
      <w:r>
        <w:rPr>
          <w:rFonts w:ascii="Times New Roman" w:cs="Times New Roman" w:eastAsia="Times New Roman" w:hAnsi="Times New Roman"/>
          <w:sz w:val="18"/>
          <w:szCs w:val="18"/>
          <w:color w:val="auto"/>
        </w:rPr>
        <w:t>” shall mean, on any date, Holders of a majority of the aggregate principal amount of Securities and Exchange Securities registered under a Registration Statement.</w:t>
      </w:r>
    </w:p>
    <w:p>
      <w:pPr>
        <w:spacing w:after="0" w:line="162" w:lineRule="exact"/>
        <w:rPr>
          <w:sz w:val="20"/>
          <w:szCs w:val="20"/>
          <w:color w:val="auto"/>
        </w:rPr>
      </w:pPr>
    </w:p>
    <w:p>
      <w:pPr>
        <w:ind w:right="42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Managing Underwriters</w:t>
      </w:r>
      <w:r>
        <w:rPr>
          <w:rFonts w:ascii="Times New Roman" w:cs="Times New Roman" w:eastAsia="Times New Roman" w:hAnsi="Times New Roman"/>
          <w:sz w:val="18"/>
          <w:szCs w:val="18"/>
          <w:color w:val="auto"/>
        </w:rPr>
        <w:t>” shall mean the investment banker or investment bankers and manager or managers that shall administer an underwritten offering.</w:t>
      </w:r>
    </w:p>
    <w:p>
      <w:pPr>
        <w:spacing w:after="0" w:line="162"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Notes</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ind w:right="14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shall mean an individual, trustee, corporation, partnership, limited liability company, joint stock company, trust, unincorporated association, union, business association, firm or other legal entity.</w:t>
      </w:r>
    </w:p>
    <w:p>
      <w:pPr>
        <w:spacing w:after="0" w:line="162" w:lineRule="exact"/>
        <w:rPr>
          <w:sz w:val="20"/>
          <w:szCs w:val="20"/>
          <w:color w:val="auto"/>
        </w:rPr>
      </w:pPr>
    </w:p>
    <w:p>
      <w:pPr>
        <w:ind w:right="160" w:firstLine="991"/>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Prospectus</w:t>
      </w:r>
      <w:r>
        <w:rPr>
          <w:rFonts w:ascii="Times New Roman" w:cs="Times New Roman" w:eastAsia="Times New Roman" w:hAnsi="Times New Roman"/>
          <w:sz w:val="18"/>
          <w:szCs w:val="18"/>
          <w:color w:val="auto"/>
        </w:rPr>
        <w:t>” shall mean the prospectus included in any Registration Statement (including, without limitation, a prospectus that discloses information previously omitted from a prospectus filed as part of an effective registration statement in reliance upon Rule 430A under the Act and any “issuer free writing prospectus” as defined in Rule 433 under the Act), as amended or supplemented by any prospectus supplement, with respect to the terms of the offering of any portion of the Securities or the Exchange Securities covered by such Registration Statement, and all amendments and supplements thereto, including any and all exhibits thereto and any information incorporated by reference therein.</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Agreement</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jc w:val="both"/>
        <w:ind w:right="120" w:firstLine="991"/>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Registered Exchange Offer</w:t>
      </w:r>
      <w:r>
        <w:rPr>
          <w:rFonts w:ascii="Times New Roman" w:cs="Times New Roman" w:eastAsia="Times New Roman" w:hAnsi="Times New Roman"/>
          <w:sz w:val="18"/>
          <w:szCs w:val="18"/>
          <w:color w:val="auto"/>
        </w:rPr>
        <w:t>” shall mean the proposed offer of the Issuers to issue and deliver to the Holders of the Securities that are not prohibited by any law or policy of the Commission from participating in such offer, in exchange for the Securities, a like aggregate principal amount of the Exchange Securities.</w:t>
      </w:r>
    </w:p>
    <w:p>
      <w:pPr>
        <w:spacing w:after="0" w:line="176"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Default</w:t>
      </w:r>
      <w:r>
        <w:rPr>
          <w:rFonts w:ascii="Times New Roman" w:cs="Times New Roman" w:eastAsia="Times New Roman" w:hAnsi="Times New Roman"/>
          <w:sz w:val="18"/>
          <w:szCs w:val="18"/>
          <w:color w:val="auto"/>
        </w:rPr>
        <w:t>” shall have the meaning set forth in Section 8 hereof.</w:t>
      </w:r>
    </w:p>
    <w:p>
      <w:pPr>
        <w:spacing w:after="0" w:line="225" w:lineRule="exact"/>
        <w:rPr>
          <w:sz w:val="20"/>
          <w:szCs w:val="20"/>
          <w:color w:val="auto"/>
        </w:rPr>
      </w:pPr>
    </w:p>
    <w:p>
      <w:pPr>
        <w:ind w:right="300" w:firstLine="991"/>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Registration Statement</w:t>
      </w:r>
      <w:r>
        <w:rPr>
          <w:rFonts w:ascii="Times New Roman" w:cs="Times New Roman" w:eastAsia="Times New Roman" w:hAnsi="Times New Roman"/>
          <w:sz w:val="18"/>
          <w:szCs w:val="18"/>
          <w:color w:val="auto"/>
        </w:rPr>
        <w:t>” shall mean any Exchange Offer Registration Statement or Shelf Registration Statement that covers any of the Securities or the Exchange Securities pursuant to the provisions of this Agreement, any amendments and supplements to such registration statement, including post-effective amendments (in each case including the Prospectus contained therein), all exhibits thereto and all material incorporated by reference therein.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Representative</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shall have the meaning set forth in the preamble hereto.</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Registration</w:t>
      </w:r>
      <w:r>
        <w:rPr>
          <w:rFonts w:ascii="Times New Roman" w:cs="Times New Roman" w:eastAsia="Times New Roman" w:hAnsi="Times New Roman"/>
          <w:sz w:val="18"/>
          <w:szCs w:val="18"/>
          <w:color w:val="auto"/>
        </w:rPr>
        <w:t>” shall mean a registration effected pursuant to Section 3 hereof.</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Shelf Registration Period</w:t>
      </w:r>
      <w:r>
        <w:rPr>
          <w:rFonts w:ascii="Times New Roman" w:cs="Times New Roman" w:eastAsia="Times New Roman" w:hAnsi="Times New Roman"/>
          <w:sz w:val="18"/>
          <w:szCs w:val="18"/>
          <w:color w:val="auto"/>
        </w:rPr>
        <w:t>” shall have the meaning set forth in Section 3(b) hereof.</w:t>
      </w:r>
    </w:p>
    <w:p>
      <w:pPr>
        <w:sectPr>
          <w:pgSz w:w="11900" w:h="16838" w:orient="portrait"/>
          <w:cols w:equalWidth="0" w:num="1">
            <w:col w:w="11000"/>
          </w:cols>
          <w:pgMar w:left="440" w:top="270" w:right="459" w:bottom="1440" w:gutter="0" w:footer="0" w:header="0"/>
        </w:sectPr>
      </w:pPr>
    </w:p>
    <w:bookmarkStart w:id="145" w:name="page146"/>
    <w:bookmarkEnd w:id="145"/>
    <w:p>
      <w:pPr>
        <w:ind w:firstLine="991"/>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Shelf Registration Statement</w:t>
      </w:r>
      <w:r>
        <w:rPr>
          <w:rFonts w:ascii="Times New Roman" w:cs="Times New Roman" w:eastAsia="Times New Roman" w:hAnsi="Times New Roman"/>
          <w:sz w:val="18"/>
          <w:szCs w:val="18"/>
          <w:color w:val="auto"/>
        </w:rPr>
        <w:t>” shall mean a “shelf” registration statement of the Issuers pursuant to the provisions of Section 3 hereof which covers some or all of the Securities or Exchange Securities, as applicable, on an appropriate form under Rule 415 under the Act, or any similar rule that may be adopted by the Commission, amendments and supplements to such registration statement, including post-effective amendments, in each case including the Prospectus contained therein, all exhibits thereto and all material incorporated by reference therein.</w:t>
      </w:r>
    </w:p>
    <w:p>
      <w:pPr>
        <w:spacing w:after="0" w:line="180"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Trustee</w:t>
      </w:r>
      <w:r>
        <w:rPr>
          <w:rFonts w:ascii="Times New Roman" w:cs="Times New Roman" w:eastAsia="Times New Roman" w:hAnsi="Times New Roman"/>
          <w:sz w:val="18"/>
          <w:szCs w:val="18"/>
          <w:color w:val="auto"/>
        </w:rPr>
        <w:t>” shall mean the trustee with respect to the Securities under the Indenture.</w:t>
      </w:r>
    </w:p>
    <w:p>
      <w:pPr>
        <w:spacing w:after="0" w:line="225" w:lineRule="exact"/>
        <w:rPr>
          <w:sz w:val="20"/>
          <w:szCs w:val="20"/>
          <w:color w:val="auto"/>
        </w:rPr>
      </w:pPr>
    </w:p>
    <w:p>
      <w:pPr>
        <w:ind w:right="78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Trust Indenture Act</w:t>
      </w:r>
      <w:r>
        <w:rPr>
          <w:rFonts w:ascii="Times New Roman" w:cs="Times New Roman" w:eastAsia="Times New Roman" w:hAnsi="Times New Roman"/>
          <w:sz w:val="18"/>
          <w:szCs w:val="18"/>
          <w:color w:val="auto"/>
        </w:rPr>
        <w:t>” shall mean the Trust Indenture Act of 1939, as amended, and the rules and regulations of the Commission promulgated thereunder.</w:t>
      </w:r>
    </w:p>
    <w:p>
      <w:pPr>
        <w:spacing w:after="0" w:line="162" w:lineRule="exact"/>
        <w:rPr>
          <w:sz w:val="20"/>
          <w:szCs w:val="20"/>
          <w:color w:val="auto"/>
        </w:rPr>
      </w:pPr>
    </w:p>
    <w:p>
      <w:pPr>
        <w:ind w:right="560" w:firstLine="991"/>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underwriter</w:t>
      </w:r>
      <w:r>
        <w:rPr>
          <w:rFonts w:ascii="Times New Roman" w:cs="Times New Roman" w:eastAsia="Times New Roman" w:hAnsi="Times New Roman"/>
          <w:sz w:val="18"/>
          <w:szCs w:val="18"/>
          <w:color w:val="auto"/>
        </w:rPr>
        <w:t>” shall mean any underwriter of Securities or Exchange Securities in connection with an offering thereof under a Shelf Registration Statement.</w:t>
      </w:r>
    </w:p>
    <w:p>
      <w:pPr>
        <w:spacing w:after="0" w:line="162" w:lineRule="exact"/>
        <w:rPr>
          <w:sz w:val="20"/>
          <w:szCs w:val="20"/>
          <w:color w:val="auto"/>
        </w:rPr>
      </w:pPr>
    </w:p>
    <w:p>
      <w:pPr>
        <w:ind w:left="1160" w:hanging="173"/>
        <w:spacing w:after="0"/>
        <w:tabs>
          <w:tab w:leader="none" w:pos="1160"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Registered Exchange Offer</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987"/>
        <w:spacing w:after="0" w:line="266" w:lineRule="auto"/>
        <w:tabs>
          <w:tab w:leader="none" w:pos="1236"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shall prepare and use their reasonable best efforts to file with the Commission and cause to become effective the Exchange Offer Registration Statement with respect to the Registered Exchange Offer. The Issuers shall use their reasonable best efforts to cause the Registered Exchange Offer to become completed under the Act within 360 days of the Issue Date.</w:t>
      </w:r>
    </w:p>
    <w:p>
      <w:pPr>
        <w:spacing w:after="0" w:line="175" w:lineRule="exact"/>
        <w:rPr>
          <w:rFonts w:ascii="Times New Roman" w:cs="Times New Roman" w:eastAsia="Times New Roman" w:hAnsi="Times New Roman"/>
          <w:sz w:val="18"/>
          <w:szCs w:val="18"/>
          <w:color w:val="auto"/>
        </w:rPr>
      </w:pPr>
    </w:p>
    <w:p>
      <w:pPr>
        <w:ind w:right="20" w:firstLine="987"/>
        <w:spacing w:after="0" w:line="273" w:lineRule="auto"/>
        <w:tabs>
          <w:tab w:leader="none" w:pos="1246" w:val="left"/>
        </w:tabs>
        <w:numPr>
          <w:ilvl w:val="1"/>
          <w:numId w:val="1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effectiveness of the Exchange Offer Registration Statement, the Issuers shall promptly commence the Registered Exchange Offer, it being the objective of such Registered Exchange Offer to enable each Holder electing to exchange Securities for Exchange Securities (provided that such Holder (i) is not an Affiliate of any Issuer, (ii) acquires the Exchange Securities in the ordinary course of such Holder’s business, (iii) has no arrangements with any Person to participate in the distribution of the Exchange Securities, (iv) is not prohibited by any law or policy of the Commission from participating in the Registered Exchange Offer and (v) is not an Initial Purchaser holding Securities that have the status of an unsold allotment remaining from the initial distribution of the Securities) to trade such Exchange Securities from and after their receipt without any limitations or restrictions under the Act and without material restrictions under the securities laws of a substantial proportion of the several states of the United States.</w:t>
      </w:r>
    </w:p>
    <w:p>
      <w:pPr>
        <w:spacing w:after="0" w:line="171" w:lineRule="exact"/>
        <w:rPr>
          <w:rFonts w:ascii="Times New Roman" w:cs="Times New Roman" w:eastAsia="Times New Roman" w:hAnsi="Times New Roman"/>
          <w:sz w:val="17"/>
          <w:szCs w:val="17"/>
          <w:color w:val="auto"/>
        </w:rPr>
      </w:pPr>
    </w:p>
    <w:p>
      <w:pPr>
        <w:ind w:left="1240" w:hanging="253"/>
        <w:spacing w:after="0"/>
        <w:tabs>
          <w:tab w:leader="none" w:pos="124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Registered Exchange Offer, the Issuers shall:</w:t>
      </w:r>
    </w:p>
    <w:p>
      <w:pPr>
        <w:spacing w:after="0" w:line="117"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07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to be delivered to each Holder a copy of the Prospectus forming part of the Exchange Offer Registration Statement, together with an appropriate letter of transmittal and related documents;</w:t>
      </w:r>
    </w:p>
    <w:p>
      <w:pPr>
        <w:spacing w:after="0" w:line="53"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12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keep the Registered Exchange Offer open for not less than 20 Business Days after the date notice thereof is mailed to the Holders (or longer if required by applicable law) and consummated such Registered Exchange Offer no later than the 35th day after the date notice thereof is mailed to the Holders (or longer if required by applicable law);</w:t>
      </w:r>
    </w:p>
    <w:p>
      <w:pPr>
        <w:spacing w:after="0" w:line="67" w:lineRule="exact"/>
        <w:rPr>
          <w:rFonts w:ascii="Times New Roman" w:cs="Times New Roman" w:eastAsia="Times New Roman" w:hAnsi="Times New Roman"/>
          <w:sz w:val="18"/>
          <w:szCs w:val="18"/>
          <w:color w:val="auto"/>
        </w:rPr>
      </w:pPr>
    </w:p>
    <w:p>
      <w:pPr>
        <w:jc w:val="both"/>
        <w:ind w:left="440" w:right="60" w:firstLine="419"/>
        <w:spacing w:after="0" w:line="266" w:lineRule="auto"/>
        <w:tabs>
          <w:tab w:leader="none" w:pos="117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their reasonable best efforts to keep the Exchange Offer Registration Statement continuously effective under the Act, supplemented and amended as required under the Act, to ensure that it is available for sales of Exchange Securities by Exchanging Dealers during the Exchange Offer Registration Period;</w:t>
      </w:r>
    </w:p>
    <w:p>
      <w:pPr>
        <w:sectPr>
          <w:pgSz w:w="11900" w:h="16838" w:orient="portrait"/>
          <w:cols w:equalWidth="0" w:num="1">
            <w:col w:w="10980"/>
          </w:cols>
          <w:pgMar w:left="440" w:top="270" w:right="479" w:bottom="1440" w:gutter="0" w:footer="0" w:header="0"/>
        </w:sectPr>
      </w:pPr>
    </w:p>
    <w:bookmarkStart w:id="146" w:name="page147"/>
    <w:bookmarkEnd w:id="146"/>
    <w:p>
      <w:pPr>
        <w:ind w:left="-419" w:right="180" w:firstLine="419"/>
        <w:spacing w:after="0" w:line="282" w:lineRule="auto"/>
        <w:tabs>
          <w:tab w:leader="none" w:pos="30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utilize the services of a depositary for the Registered Exchange Offer with an address in the Borough of Manhattan in New York City, which may be the Trustee or an Affiliate of the Trustee;</w:t>
      </w:r>
    </w:p>
    <w:p>
      <w:pPr>
        <w:spacing w:after="0" w:line="53" w:lineRule="exact"/>
        <w:rPr>
          <w:rFonts w:ascii="Times New Roman" w:cs="Times New Roman" w:eastAsia="Times New Roman" w:hAnsi="Times New Roman"/>
          <w:sz w:val="18"/>
          <w:szCs w:val="18"/>
          <w:color w:val="auto"/>
        </w:rPr>
      </w:pPr>
    </w:p>
    <w:p>
      <w:pPr>
        <w:ind w:left="-419" w:right="200" w:firstLine="419"/>
        <w:spacing w:after="0" w:line="282" w:lineRule="auto"/>
        <w:tabs>
          <w:tab w:leader="none" w:pos="25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 Holders to withdraw tendered Securities at any time prior to the close of business, New York time, on the last Business Day on which the Registered Exchange Offer is open;</w:t>
      </w:r>
    </w:p>
    <w:p>
      <w:pPr>
        <w:spacing w:after="0" w:line="53" w:lineRule="exact"/>
        <w:rPr>
          <w:rFonts w:ascii="Times New Roman" w:cs="Times New Roman" w:eastAsia="Times New Roman" w:hAnsi="Times New Roman"/>
          <w:sz w:val="18"/>
          <w:szCs w:val="18"/>
          <w:color w:val="auto"/>
        </w:rPr>
      </w:pPr>
    </w:p>
    <w:p>
      <w:pPr>
        <w:ind w:left="-419" w:firstLine="419"/>
        <w:spacing w:after="0" w:line="255" w:lineRule="auto"/>
        <w:tabs>
          <w:tab w:leader="none" w:pos="308"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requested by the Commission, prior to effectiveness of the Exchange Offer Registration Statement, provide a supplemental letter to the Commission (A) stating that the Issuers are conducting the Registered Exchange Offer in reliance on the position of the Commission in </w:t>
      </w:r>
      <w:r>
        <w:rPr>
          <w:rFonts w:ascii="Times New Roman" w:cs="Times New Roman" w:eastAsia="Times New Roman" w:hAnsi="Times New Roman"/>
          <w:sz w:val="18"/>
          <w:szCs w:val="18"/>
          <w:u w:val="single" w:color="auto"/>
          <w:color w:val="auto"/>
        </w:rPr>
        <w:t>Exxon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Capital Holdings Corporation</w:t>
      </w:r>
      <w:r>
        <w:rPr>
          <w:rFonts w:ascii="Times New Roman" w:cs="Times New Roman" w:eastAsia="Times New Roman" w:hAnsi="Times New Roman"/>
          <w:sz w:val="18"/>
          <w:szCs w:val="18"/>
          <w:color w:val="auto"/>
        </w:rPr>
        <w:t xml:space="preserve"> (pub. avail. May 13, 1988) and </w:t>
      </w:r>
      <w:r>
        <w:rPr>
          <w:rFonts w:ascii="Times New Roman" w:cs="Times New Roman" w:eastAsia="Times New Roman" w:hAnsi="Times New Roman"/>
          <w:sz w:val="18"/>
          <w:szCs w:val="18"/>
          <w:u w:val="single" w:color="auto"/>
          <w:color w:val="auto"/>
        </w:rPr>
        <w:t>Morgan Stanley and Co., Inc</w:t>
      </w:r>
      <w:r>
        <w:rPr>
          <w:rFonts w:ascii="Times New Roman" w:cs="Times New Roman" w:eastAsia="Times New Roman" w:hAnsi="Times New Roman"/>
          <w:sz w:val="18"/>
          <w:szCs w:val="18"/>
          <w:color w:val="auto"/>
        </w:rPr>
        <w:t>. (pub. avail. June 5, 1991); and (B) including a representation that the Issuers have not entered into any arrangement or understanding with any Person to distribute the Exchange Securities to be received in the Registered Exchange Offer and that, to the best of the Issuers’ information and belief, each Holder participating in the Registered Exchange Offer is acquiring the Exchange Securities in the ordinary course of business and has no arrangement or understanding with any Person to participate in the distribution of the Exchange Securities; and</w:t>
      </w:r>
    </w:p>
    <w:p>
      <w:pPr>
        <w:spacing w:after="0" w:line="80" w:lineRule="exact"/>
        <w:rPr>
          <w:rFonts w:ascii="Times New Roman" w:cs="Times New Roman" w:eastAsia="Times New Roman" w:hAnsi="Times New Roman"/>
          <w:sz w:val="18"/>
          <w:szCs w:val="18"/>
          <w:color w:val="auto"/>
        </w:rPr>
      </w:pPr>
    </w:p>
    <w:p>
      <w:pPr>
        <w:ind w:left="361" w:hanging="361"/>
        <w:spacing w:after="0"/>
        <w:tabs>
          <w:tab w:leader="none" w:pos="361"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in all respects with all laws applicable to the Registered Exchange Offer.</w:t>
      </w:r>
    </w:p>
    <w:p>
      <w:pPr>
        <w:spacing w:after="0" w:line="225" w:lineRule="exact"/>
        <w:rPr>
          <w:sz w:val="20"/>
          <w:szCs w:val="20"/>
          <w:color w:val="auto"/>
        </w:rPr>
      </w:pPr>
    </w:p>
    <w:p>
      <w:pPr>
        <w:ind w:left="381" w:hanging="253"/>
        <w:spacing w:after="0"/>
        <w:tabs>
          <w:tab w:leader="none" w:pos="381" w:val="left"/>
        </w:tabs>
        <w:numPr>
          <w:ilvl w:val="1"/>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soon as practicable after the close of the Registered Exchange Offer, the Issuers shall:</w:t>
      </w:r>
    </w:p>
    <w:p>
      <w:pPr>
        <w:spacing w:after="0" w:line="117" w:lineRule="exact"/>
        <w:rPr>
          <w:rFonts w:ascii="Times New Roman" w:cs="Times New Roman" w:eastAsia="Times New Roman" w:hAnsi="Times New Roman"/>
          <w:sz w:val="18"/>
          <w:szCs w:val="18"/>
          <w:color w:val="auto"/>
        </w:rPr>
      </w:pPr>
    </w:p>
    <w:p>
      <w:pPr>
        <w:ind w:left="221" w:hanging="221"/>
        <w:spacing w:after="0"/>
        <w:tabs>
          <w:tab w:leader="none" w:pos="221"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 for exchange all Securities validly tendered and not validly withdrawn pursuant to the Registered Exchange Offer;</w:t>
      </w:r>
    </w:p>
    <w:p>
      <w:pPr>
        <w:spacing w:after="0" w:line="117" w:lineRule="exact"/>
        <w:rPr>
          <w:rFonts w:ascii="Times New Roman" w:cs="Times New Roman" w:eastAsia="Times New Roman" w:hAnsi="Times New Roman"/>
          <w:sz w:val="18"/>
          <w:szCs w:val="18"/>
          <w:color w:val="auto"/>
        </w:rPr>
      </w:pPr>
    </w:p>
    <w:p>
      <w:pPr>
        <w:ind w:left="261" w:hanging="261"/>
        <w:spacing w:after="0"/>
        <w:tabs>
          <w:tab w:leader="none" w:pos="261"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the Trustee for cancellation in accordance with Section 4(s) hereof all Securities so accepted for exchange; and</w:t>
      </w:r>
    </w:p>
    <w:p>
      <w:pPr>
        <w:spacing w:after="0" w:line="117" w:lineRule="exact"/>
        <w:rPr>
          <w:rFonts w:ascii="Times New Roman" w:cs="Times New Roman" w:eastAsia="Times New Roman" w:hAnsi="Times New Roman"/>
          <w:sz w:val="18"/>
          <w:szCs w:val="18"/>
          <w:color w:val="auto"/>
        </w:rPr>
      </w:pPr>
    </w:p>
    <w:p>
      <w:pPr>
        <w:ind w:left="-419" w:right="120" w:firstLine="419"/>
        <w:spacing w:after="0" w:line="282" w:lineRule="auto"/>
        <w:tabs>
          <w:tab w:leader="none" w:pos="318"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Trustee promptly to authenticate and deliver to each Holder of Securities a principal amount of Exchange Securities equal to the principal amount of the Securities of such Holder so accepted for exchange.</w:t>
      </w:r>
    </w:p>
    <w:p>
      <w:pPr>
        <w:spacing w:after="0" w:line="161" w:lineRule="exact"/>
        <w:rPr>
          <w:rFonts w:ascii="Times New Roman" w:cs="Times New Roman" w:eastAsia="Times New Roman" w:hAnsi="Times New Roman"/>
          <w:sz w:val="18"/>
          <w:szCs w:val="18"/>
          <w:color w:val="auto"/>
        </w:rPr>
      </w:pPr>
    </w:p>
    <w:p>
      <w:pPr>
        <w:ind w:left="-859" w:right="20" w:firstLine="987"/>
        <w:spacing w:after="0" w:line="254" w:lineRule="auto"/>
        <w:tabs>
          <w:tab w:leader="none" w:pos="377"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Holder hereby acknowledges and agrees that any Broker-Dealer and any such Holder using the Registered Exchange Offer to participate in a distribution of the Exchange Securities (x) could not under Commission policy as in effect on the date of this Agreement rely on the position of the Commission in </w:t>
      </w:r>
      <w:r>
        <w:rPr>
          <w:rFonts w:ascii="Times New Roman" w:cs="Times New Roman" w:eastAsia="Times New Roman" w:hAnsi="Times New Roman"/>
          <w:sz w:val="18"/>
          <w:szCs w:val="18"/>
          <w:u w:val="single" w:color="auto"/>
          <w:color w:val="auto"/>
        </w:rPr>
        <w:t>Morgan Stanley and Co., Inc</w:t>
      </w:r>
      <w:r>
        <w:rPr>
          <w:rFonts w:ascii="Times New Roman" w:cs="Times New Roman" w:eastAsia="Times New Roman" w:hAnsi="Times New Roman"/>
          <w:sz w:val="18"/>
          <w:szCs w:val="18"/>
          <w:color w:val="auto"/>
        </w:rPr>
        <w:t xml:space="preserve">. (pub. avail. June 5, 1991) and </w:t>
      </w:r>
      <w:r>
        <w:rPr>
          <w:rFonts w:ascii="Times New Roman" w:cs="Times New Roman" w:eastAsia="Times New Roman" w:hAnsi="Times New Roman"/>
          <w:sz w:val="18"/>
          <w:szCs w:val="18"/>
          <w:u w:val="single" w:color="auto"/>
          <w:color w:val="auto"/>
        </w:rPr>
        <w:t>Exxon Capital Holdings Corporation</w:t>
      </w:r>
      <w:r>
        <w:rPr>
          <w:rFonts w:ascii="Times New Roman" w:cs="Times New Roman" w:eastAsia="Times New Roman" w:hAnsi="Times New Roman"/>
          <w:sz w:val="18"/>
          <w:szCs w:val="18"/>
          <w:color w:val="auto"/>
        </w:rPr>
        <w:t xml:space="preserve"> (pub. avail. May 13, 1988), as interpreted in the Commission’s letter to Shearman &amp; Sterling dated July 2, 1993 and similar no-action letters; and (y) must comply with the registration and prospectus delivery requirements of the Act in connection with any secondary resale transaction which must be covered by an effective registration statement containing the selling security holder information required by Item 507 or 508, as applicable, of Regulation S-K under the Act if the resales are of Exchange Securities obtained by such Holder in exchange for Securities acquired by such Holder directly from any Issuer or one of its Affiliates. Accordingly, each Holder participating in the Registered Exchange Offer shall be required to represent to the Issuers that, at the time of the consummation of the Registered Exchange Offer:</w:t>
      </w:r>
    </w:p>
    <w:p>
      <w:pPr>
        <w:spacing w:after="0" w:line="80" w:lineRule="exact"/>
        <w:rPr>
          <w:sz w:val="20"/>
          <w:szCs w:val="20"/>
          <w:color w:val="auto"/>
        </w:rPr>
      </w:pPr>
    </w:p>
    <w:p>
      <w:pPr>
        <w:ind w:left="1"/>
        <w:spacing w:after="0"/>
        <w:rPr>
          <w:sz w:val="20"/>
          <w:szCs w:val="20"/>
          <w:color w:val="auto"/>
        </w:rPr>
      </w:pPr>
      <w:r>
        <w:rPr>
          <w:rFonts w:ascii="Times New Roman" w:cs="Times New Roman" w:eastAsia="Times New Roman" w:hAnsi="Times New Roman"/>
          <w:sz w:val="18"/>
          <w:szCs w:val="18"/>
          <w:color w:val="auto"/>
        </w:rPr>
        <w:t>(i) any Exchange Securities received by such Holder will be acquired in the ordinary course of business;</w:t>
      </w:r>
    </w:p>
    <w:p>
      <w:pPr>
        <w:sectPr>
          <w:pgSz w:w="11900" w:h="16838" w:orient="portrait"/>
          <w:cols w:equalWidth="0" w:num="1">
            <w:col w:w="10101"/>
          </w:cols>
          <w:pgMar w:left="1299" w:top="270" w:right="499" w:bottom="1440" w:gutter="0" w:footer="0" w:header="0"/>
        </w:sectPr>
      </w:pPr>
    </w:p>
    <w:bookmarkStart w:id="147" w:name="page148"/>
    <w:bookmarkEnd w:id="147"/>
    <w:p>
      <w:pPr>
        <w:ind w:left="444" w:right="680" w:firstLine="419"/>
        <w:spacing w:after="0" w:line="282" w:lineRule="auto"/>
        <w:tabs>
          <w:tab w:leader="none" w:pos="1132"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such Holder will have no arrangement or understanding with any Person to participate in the distribution of the Securities or the Exchange Securities within the meaning of the Act; and</w:t>
      </w:r>
    </w:p>
    <w:p>
      <w:pPr>
        <w:spacing w:after="0" w:line="53" w:lineRule="exact"/>
        <w:rPr>
          <w:rFonts w:ascii="Times New Roman" w:cs="Times New Roman" w:eastAsia="Times New Roman" w:hAnsi="Times New Roman"/>
          <w:sz w:val="18"/>
          <w:szCs w:val="18"/>
          <w:color w:val="auto"/>
        </w:rPr>
      </w:pPr>
    </w:p>
    <w:p>
      <w:pPr>
        <w:ind w:left="1184" w:hanging="321"/>
        <w:spacing w:after="0"/>
        <w:tabs>
          <w:tab w:leader="none" w:pos="1184"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Holder is not an Affiliate of any Issuer.</w:t>
      </w:r>
    </w:p>
    <w:p>
      <w:pPr>
        <w:spacing w:after="0" w:line="225" w:lineRule="exact"/>
        <w:rPr>
          <w:rFonts w:ascii="Times New Roman" w:cs="Times New Roman" w:eastAsia="Times New Roman" w:hAnsi="Times New Roman"/>
          <w:sz w:val="18"/>
          <w:szCs w:val="18"/>
          <w:color w:val="auto"/>
        </w:rPr>
      </w:pPr>
    </w:p>
    <w:p>
      <w:pPr>
        <w:ind w:left="4" w:right="80" w:firstLine="987"/>
        <w:spacing w:after="0" w:line="256" w:lineRule="auto"/>
        <w:tabs>
          <w:tab w:leader="none" w:pos="122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Initial Purchaser determines that it is not eligible to participate in the Registered Exchange Offer with respect to the exchange of Securities constituting any portion of an unsold allotment, at the request of such Initial Purchaser, the Issuers shall issue and deliver to such Initial Purchaser or the Person purchasing Exchange Securities registered under a Shelf Registration Statement as contemplated by Section 3 hereof from such Initial Purchaser, in exchange for such Securities, a like principal amount of Exchange Securities. The Issuers shall use their reasonable best efforts to cause the same CUSIP and ISIN numbers to be assigned for such Exchange Securities as for Exchange Securities issued pursuant to the Registered Exchange Offer.</w:t>
      </w:r>
    </w:p>
    <w:p>
      <w:pPr>
        <w:spacing w:after="0" w:line="187" w:lineRule="exact"/>
        <w:rPr>
          <w:rFonts w:ascii="Times New Roman" w:cs="Times New Roman" w:eastAsia="Times New Roman" w:hAnsi="Times New Roman"/>
          <w:sz w:val="18"/>
          <w:szCs w:val="18"/>
          <w:color w:val="auto"/>
        </w:rPr>
      </w:pPr>
    </w:p>
    <w:p>
      <w:pPr>
        <w:ind w:left="4" w:right="60" w:firstLine="987"/>
        <w:spacing w:after="0" w:line="261" w:lineRule="auto"/>
        <w:tabs>
          <w:tab w:leader="none" w:pos="1250" w:val="left"/>
        </w:tabs>
        <w:numPr>
          <w:ilvl w:val="1"/>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each Exchange Security shall accrue from (A) the later of (x) the last date on which interest was paid on the Security surrendered in exchange therefor or (y) if the Security is surrendered for exchange on a date that is after the record date for an interest payment that will occur on or after the date of such exchange and as to which interest will be paid, the date of such interest payment date, or (B) if no interest has been paid on such Security, from the date of such Security’s original issue.</w:t>
      </w:r>
    </w:p>
    <w:p>
      <w:pPr>
        <w:spacing w:after="0" w:line="180" w:lineRule="exact"/>
        <w:rPr>
          <w:sz w:val="20"/>
          <w:szCs w:val="20"/>
          <w:color w:val="auto"/>
        </w:rPr>
      </w:pPr>
    </w:p>
    <w:p>
      <w:pPr>
        <w:ind w:left="1164" w:hanging="173"/>
        <w:spacing w:after="0"/>
        <w:tabs>
          <w:tab w:leader="none" w:pos="1164"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Shelf Registration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987"/>
        <w:spacing w:after="0" w:line="269" w:lineRule="auto"/>
        <w:tabs>
          <w:tab w:leader="none" w:pos="1240" w:val="left"/>
        </w:tabs>
        <w:numPr>
          <w:ilvl w:val="2"/>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(i) due to any change in law, Commission policy or applicable interpretations or either of the foregoing by the Commission’s staff, the Issuers determine upon advice of their outside counsel that they are not permitted to effect the Registered Exchange Offer as contemplated by Section 2 hereof; (ii) for any other reason the Registered Exchange Offer is not completed within 360 days after the Issue Date; (iii) prior to the 20th day following the consummation of the Registered Exchange Offer (x) any Initial Purchaser so requests with respect to Securities that are not eligible to be exchanged for Exchange Securities in the Registered Exchange Offer and that are held by it following consummation of the Registered Exchange Offer,</w:t>
      </w:r>
    </w:p>
    <w:p>
      <w:pPr>
        <w:spacing w:after="0" w:line="2" w:lineRule="exact"/>
        <w:rPr>
          <w:rFonts w:ascii="Times New Roman" w:cs="Times New Roman" w:eastAsia="Times New Roman" w:hAnsi="Times New Roman"/>
          <w:sz w:val="17"/>
          <w:szCs w:val="17"/>
          <w:color w:val="auto"/>
        </w:rPr>
      </w:pPr>
    </w:p>
    <w:p>
      <w:pPr>
        <w:ind w:left="4" w:hanging="4"/>
        <w:spacing w:after="0" w:line="251" w:lineRule="auto"/>
        <w:tabs>
          <w:tab w:leader="none" w:pos="259" w:val="left"/>
        </w:tabs>
        <w:numPr>
          <w:ilvl w:val="0"/>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Holder notifies the Company that it is not or was not eligible to participate in the Registered Exchange Offer or (z) in the case of any Initial Purchaser that participates in the Registered Exchange Offer or acquires Exchange Securities pursuant to Section 2(f) hereof, such Initial Purchaser notifies the Company that it will not or did not receive freely tradeable Exchange Securities in exchange for Securities constituting any portion of an unsold allotment (it being understood that (A) the requirement that an Initial Purchaser deliver a Prospectus containing the information required by Item 507 or 508 of Regulation S-K under the Act in connection with sales of Exchange Securities acquired in exchange for such Securities shall result in such Exchange Securities being not “freely tradeable”; and (B) the requirement that an Exchanging Dealer deliver a Prospectus in connection with sales of Exchange Securities acquired in the Registered Exchange Offer in exchange for Securities acquired as a result of market-making activities or other trading activities shall not result in such Exchange Securities being not “freely tradeable”), the Issuers shall, effect a Shelf Registration in accordance with Section 3(b) hereof.</w:t>
      </w:r>
    </w:p>
    <w:p>
      <w:pPr>
        <w:spacing w:after="0" w:line="193" w:lineRule="exact"/>
        <w:rPr>
          <w:rFonts w:ascii="Times New Roman" w:cs="Times New Roman" w:eastAsia="Times New Roman" w:hAnsi="Times New Roman"/>
          <w:sz w:val="18"/>
          <w:szCs w:val="18"/>
          <w:color w:val="auto"/>
        </w:rPr>
      </w:pPr>
    </w:p>
    <w:p>
      <w:pPr>
        <w:ind w:left="1244" w:hanging="253"/>
        <w:spacing w:after="0"/>
        <w:tabs>
          <w:tab w:leader="none" w:pos="1244" w:val="left"/>
        </w:tabs>
        <w:numPr>
          <w:ilvl w:val="2"/>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Shelf Registration Statement is required to be filed and declared effective pursuant to this Section 3:</w:t>
      </w:r>
    </w:p>
    <w:p>
      <w:pPr>
        <w:spacing w:after="0" w:line="117" w:lineRule="exact"/>
        <w:rPr>
          <w:rFonts w:ascii="Times New Roman" w:cs="Times New Roman" w:eastAsia="Times New Roman" w:hAnsi="Times New Roman"/>
          <w:sz w:val="18"/>
          <w:szCs w:val="18"/>
          <w:color w:val="auto"/>
        </w:rPr>
      </w:pPr>
    </w:p>
    <w:p>
      <w:pPr>
        <w:ind w:left="444" w:firstLine="419"/>
        <w:spacing w:after="0" w:line="258" w:lineRule="auto"/>
        <w:tabs>
          <w:tab w:leader="none" w:pos="1082"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shall as promptly as practicable (but in no event more than 60 days after so required or requested pursuant to this Section 3), file with the Commission, and thereafter shall use their reasonable best efforts to cause to be declared effective under the Act within 60 days after the filing thereof with the Commission, a Shelf Registration Statement relating to the offer and sale of the Securities or the Exchange Securities, as applicable, by the Holders thereof from time to time in accordance with the methods of distribution elected by such Holders and set forth in such Shelf</w:t>
      </w:r>
    </w:p>
    <w:p>
      <w:pPr>
        <w:sectPr>
          <w:pgSz w:w="11900" w:h="16838" w:orient="portrait"/>
          <w:cols w:equalWidth="0" w:num="1">
            <w:col w:w="11004"/>
          </w:cols>
          <w:pgMar w:left="436" w:top="270" w:right="459" w:bottom="1440" w:gutter="0" w:footer="0" w:header="0"/>
        </w:sectPr>
      </w:pPr>
    </w:p>
    <w:bookmarkStart w:id="148" w:name="page149"/>
    <w:bookmarkEnd w:id="148"/>
    <w:p>
      <w:pPr>
        <w:ind w:right="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Registration Statement;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no Holder (other than an Initial Purchaser) shall be entitled to have the Securities or the Exchange Securities, as applicable, held by it covered by such Shelf Registration Statement unless such Holder agrees in writing to be bound by all of the provisions of this Agreement applicable to such Holder; and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with respect to Exchange Securities received by an Initial Purchaser in exchange for Securities constituting any portion of an unsold allotment, the Issuers may, if permitted by current interpretations by the Commission’s staff, file a post-effective amendment to the Exchange Offer Registration Statement containing the information required by Item 507 or 508 of Regulation S-K, as applicable, in satisfaction of their obligations under this subsection with respect thereto, and any such Exchange Offer Registration Statement, as so amended, shall be referred to herein as, and governed by the provisions herein applicable to, a Shelf Registration Statement.</w:t>
      </w:r>
    </w:p>
    <w:p>
      <w:pPr>
        <w:spacing w:after="0" w:line="84" w:lineRule="exact"/>
        <w:rPr>
          <w:sz w:val="20"/>
          <w:szCs w:val="20"/>
          <w:color w:val="auto"/>
        </w:rPr>
      </w:pPr>
    </w:p>
    <w:p>
      <w:pPr>
        <w:ind w:right="160" w:firstLine="419"/>
        <w:spacing w:after="0" w:line="253" w:lineRule="auto"/>
        <w:tabs>
          <w:tab w:leader="none" w:pos="68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shall use their reasonable best efforts to keep the Shelf Registration Statement continuously effective, supplemented and amended as required by the Act, in order to permit the Prospectus forming part thereof to be usable by Holders until the earliest of (x) one year from the effective date of the Shelf Registration Statement and (y) the date on which all the Securities or Exchange Securities, as applicable, covered by the Shelf Registration Statement have been sold pursuant to the Shelf Registration Statement (in any such case, such period being called the “</w:t>
      </w:r>
      <w:r>
        <w:rPr>
          <w:rFonts w:ascii="Times New Roman" w:cs="Times New Roman" w:eastAsia="Times New Roman" w:hAnsi="Times New Roman"/>
          <w:sz w:val="18"/>
          <w:szCs w:val="18"/>
          <w:u w:val="single" w:color="auto"/>
          <w:color w:val="auto"/>
        </w:rPr>
        <w:t>Shelf Registration Period</w:t>
      </w:r>
      <w:r>
        <w:rPr>
          <w:rFonts w:ascii="Times New Roman" w:cs="Times New Roman" w:eastAsia="Times New Roman" w:hAnsi="Times New Roman"/>
          <w:sz w:val="18"/>
          <w:szCs w:val="18"/>
          <w:color w:val="auto"/>
        </w:rPr>
        <w:t>”). The Issuers shall be deemed not to have used their reasonable best efforts to keep the Shelf Registration Statement effective during the requisite period if any of them voluntarily takes any action that would reasonably be expected to result in Holders of Securities or Exchange Securities covered thereby not being able to offer and sell such Securities or Exchange Securities during that period, unless (A) such action is required by applicable law; or (B) such action is taken by such Issuer in good faith and for valid business reasons (not including avoidance of its obligations hereunder), including the acquisition or divestiture of assets, so long as the Issuers thereafter comply with the requirements of Section 4(k) hereof, if applicable.</w:t>
      </w:r>
    </w:p>
    <w:p>
      <w:pPr>
        <w:spacing w:after="0" w:line="86" w:lineRule="exact"/>
        <w:rPr>
          <w:rFonts w:ascii="Times New Roman" w:cs="Times New Roman" w:eastAsia="Times New Roman" w:hAnsi="Times New Roman"/>
          <w:sz w:val="18"/>
          <w:szCs w:val="18"/>
          <w:color w:val="auto"/>
        </w:rPr>
      </w:pPr>
    </w:p>
    <w:p>
      <w:pPr>
        <w:ind w:firstLine="419"/>
        <w:spacing w:after="0" w:line="258" w:lineRule="auto"/>
        <w:tabs>
          <w:tab w:leader="none" w:pos="738"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shall cause the Shelf Registration Statement and the related Prospectus and any amendment or supplement thereto, as of the effective date of the Shelf Registration Statement or such amendment or supplement, (A) to comply in all material respects with the applicable requirements of the Act and the rules and regulations of the Commission; and (B) not to contain any untrue statement of a material fact or omit to state a material fact required to be stated therein or necessary in order to make the statements therein, in the light of the circumstances under which they were made, not misleading.</w:t>
      </w:r>
    </w:p>
    <w:p>
      <w:pPr>
        <w:spacing w:after="0" w:line="183" w:lineRule="exact"/>
        <w:rPr>
          <w:sz w:val="20"/>
          <w:szCs w:val="20"/>
          <w:color w:val="auto"/>
        </w:rPr>
      </w:pPr>
    </w:p>
    <w:p>
      <w:pPr>
        <w:ind w:left="-440" w:right="260" w:firstLine="987"/>
        <w:spacing w:after="0" w:line="282" w:lineRule="auto"/>
        <w:tabs>
          <w:tab w:leader="none" w:pos="731"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Registration Procedures</w:t>
      </w:r>
      <w:r>
        <w:rPr>
          <w:rFonts w:ascii="Times New Roman" w:cs="Times New Roman" w:eastAsia="Times New Roman" w:hAnsi="Times New Roman"/>
          <w:sz w:val="18"/>
          <w:szCs w:val="18"/>
          <w:color w:val="auto"/>
        </w:rPr>
        <w:t>. In connection with any Shelf Registration Statement and, to the extent applicable, any Exchange Offer Registration Statement, the following provisions shall apply:</w:t>
      </w:r>
    </w:p>
    <w:p>
      <w:pPr>
        <w:spacing w:after="0" w:line="53" w:lineRule="exact"/>
        <w:rPr>
          <w:rFonts w:ascii="Times New Roman" w:cs="Times New Roman" w:eastAsia="Times New Roman" w:hAnsi="Times New Roman"/>
          <w:sz w:val="18"/>
          <w:szCs w:val="18"/>
          <w:color w:val="auto"/>
        </w:rPr>
      </w:pPr>
    </w:p>
    <w:p>
      <w:pPr>
        <w:ind w:left="660" w:hanging="241"/>
        <w:spacing w:after="0"/>
        <w:tabs>
          <w:tab w:leader="none" w:pos="660" w:val="left"/>
        </w:tabs>
        <w:numPr>
          <w:ilvl w:val="0"/>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shall:</w:t>
      </w:r>
    </w:p>
    <w:p>
      <w:pPr>
        <w:spacing w:after="0" w:line="117" w:lineRule="exact"/>
        <w:rPr>
          <w:rFonts w:ascii="Times New Roman" w:cs="Times New Roman" w:eastAsia="Times New Roman" w:hAnsi="Times New Roman"/>
          <w:sz w:val="18"/>
          <w:szCs w:val="18"/>
          <w:color w:val="auto"/>
        </w:rPr>
      </w:pPr>
    </w:p>
    <w:p>
      <w:pPr>
        <w:jc w:val="both"/>
        <w:ind w:left="540" w:right="20" w:firstLine="408"/>
        <w:spacing w:after="0" w:line="281" w:lineRule="auto"/>
        <w:tabs>
          <w:tab w:leader="none" w:pos="1156" w:val="left"/>
        </w:tabs>
        <w:numPr>
          <w:ilvl w:val="2"/>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furnish to each of you, not less than five Business Days prior to the filing thereof with the Commission, a copy of any Exchange Offer Registration Statement and any Shelf Registration Statement, and each amendment thereof and each amendment or supplement, if any, to the Prospectus included therein (including all documents incorporated by reference therein after the initial filing) and shall use their reasonable best efforts to reflect in each such document, when so filed with the Commission, such comments as you reasonably propose;</w:t>
      </w:r>
    </w:p>
    <w:p>
      <w:pPr>
        <w:sectPr>
          <w:pgSz w:w="11900" w:h="16838" w:orient="portrait"/>
          <w:cols w:equalWidth="0" w:num="1">
            <w:col w:w="10560"/>
          </w:cols>
          <w:pgMar w:left="880" w:top="270" w:right="459" w:bottom="1440" w:gutter="0" w:footer="0" w:header="0"/>
        </w:sectPr>
      </w:pPr>
    </w:p>
    <w:bookmarkStart w:id="149" w:name="page150"/>
    <w:bookmarkEnd w:id="149"/>
    <w:p>
      <w:pPr>
        <w:ind w:left="121" w:right="80" w:firstLine="408"/>
        <w:spacing w:after="0" w:line="258" w:lineRule="auto"/>
        <w:tabs>
          <w:tab w:leader="none" w:pos="786"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the case of an Exchange Offer Registration Statement, to the extent permitted by the Act, include the information set forth in </w:t>
      </w:r>
      <w:r>
        <w:rPr>
          <w:rFonts w:ascii="Times New Roman" w:cs="Times New Roman" w:eastAsia="Times New Roman" w:hAnsi="Times New Roman"/>
          <w:sz w:val="18"/>
          <w:szCs w:val="18"/>
          <w:u w:val="single" w:color="auto"/>
          <w:color w:val="auto"/>
        </w:rPr>
        <w:t>Annex A</w:t>
      </w:r>
      <w:r>
        <w:rPr>
          <w:rFonts w:ascii="Times New Roman" w:cs="Times New Roman" w:eastAsia="Times New Roman" w:hAnsi="Times New Roman"/>
          <w:sz w:val="18"/>
          <w:szCs w:val="18"/>
          <w:color w:val="auto"/>
        </w:rPr>
        <w:t xml:space="preserve"> hereto on the front cover of the Prospectus included in the Exchange Offer Registration Statement, in </w:t>
      </w:r>
      <w:r>
        <w:rPr>
          <w:rFonts w:ascii="Times New Roman" w:cs="Times New Roman" w:eastAsia="Times New Roman" w:hAnsi="Times New Roman"/>
          <w:sz w:val="18"/>
          <w:szCs w:val="18"/>
          <w:u w:val="single" w:color="auto"/>
          <w:color w:val="auto"/>
        </w:rPr>
        <w:t>Annex B</w:t>
      </w:r>
      <w:r>
        <w:rPr>
          <w:rFonts w:ascii="Times New Roman" w:cs="Times New Roman" w:eastAsia="Times New Roman" w:hAnsi="Times New Roman"/>
          <w:sz w:val="18"/>
          <w:szCs w:val="18"/>
          <w:color w:val="auto"/>
        </w:rPr>
        <w:t xml:space="preserve"> hereto in the forepart of the Exchange Offer Registration Statement in a section setting forth details of the Registered Exchange Offer, in </w:t>
      </w:r>
      <w:r>
        <w:rPr>
          <w:rFonts w:ascii="Times New Roman" w:cs="Times New Roman" w:eastAsia="Times New Roman" w:hAnsi="Times New Roman"/>
          <w:sz w:val="18"/>
          <w:szCs w:val="18"/>
          <w:u w:val="single" w:color="auto"/>
          <w:color w:val="auto"/>
        </w:rPr>
        <w:t>Annex C</w:t>
      </w:r>
      <w:r>
        <w:rPr>
          <w:rFonts w:ascii="Times New Roman" w:cs="Times New Roman" w:eastAsia="Times New Roman" w:hAnsi="Times New Roman"/>
          <w:sz w:val="18"/>
          <w:szCs w:val="18"/>
          <w:color w:val="auto"/>
        </w:rPr>
        <w:t xml:space="preserve"> hereto in the underwriting or plan of distribution section of the Prospectus contained in the Exchange Offer Registration Statement, and in </w:t>
      </w:r>
      <w:r>
        <w:rPr>
          <w:rFonts w:ascii="Times New Roman" w:cs="Times New Roman" w:eastAsia="Times New Roman" w:hAnsi="Times New Roman"/>
          <w:sz w:val="18"/>
          <w:szCs w:val="18"/>
          <w:u w:val="single" w:color="auto"/>
          <w:color w:val="auto"/>
        </w:rPr>
        <w:t>Annex D</w:t>
      </w:r>
      <w:r>
        <w:rPr>
          <w:rFonts w:ascii="Times New Roman" w:cs="Times New Roman" w:eastAsia="Times New Roman" w:hAnsi="Times New Roman"/>
          <w:sz w:val="18"/>
          <w:szCs w:val="18"/>
          <w:color w:val="auto"/>
        </w:rPr>
        <w:t xml:space="preserve"> hereto in the letter of transmittal delivered pursuant to the Registered Exchange Offer;</w:t>
      </w:r>
    </w:p>
    <w:p>
      <w:pPr>
        <w:spacing w:after="0" w:line="75" w:lineRule="exact"/>
        <w:rPr>
          <w:rFonts w:ascii="Times New Roman" w:cs="Times New Roman" w:eastAsia="Times New Roman" w:hAnsi="Times New Roman"/>
          <w:sz w:val="18"/>
          <w:szCs w:val="18"/>
          <w:color w:val="auto"/>
        </w:rPr>
      </w:pPr>
    </w:p>
    <w:p>
      <w:pPr>
        <w:ind w:left="121" w:firstLine="408"/>
        <w:spacing w:after="0" w:line="282" w:lineRule="auto"/>
        <w:tabs>
          <w:tab w:leader="none" w:pos="836"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Exchange Offer Registration Statement, if requested by an Initial Purchaser, include the information required by Item 507 or 508 of Regulation S-K, as applicable, in the Prospectus contained in the Exchange Offer Registration Statement; and</w:t>
      </w:r>
    </w:p>
    <w:p>
      <w:pPr>
        <w:spacing w:after="0" w:line="53" w:lineRule="exact"/>
        <w:rPr>
          <w:rFonts w:ascii="Times New Roman" w:cs="Times New Roman" w:eastAsia="Times New Roman" w:hAnsi="Times New Roman"/>
          <w:sz w:val="18"/>
          <w:szCs w:val="18"/>
          <w:color w:val="auto"/>
        </w:rPr>
      </w:pPr>
    </w:p>
    <w:p>
      <w:pPr>
        <w:ind w:left="121" w:right="540" w:firstLine="408"/>
        <w:spacing w:after="0" w:line="282" w:lineRule="auto"/>
        <w:tabs>
          <w:tab w:leader="none" w:pos="826" w:val="left"/>
        </w:tabs>
        <w:numPr>
          <w:ilvl w:val="1"/>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Shelf Registration Statement, include the names of the Holders that propose to sell Securities or Exchange Securities pursuant to the Shelf Registration Statement as selling security holders.</w:t>
      </w:r>
    </w:p>
    <w:p>
      <w:pPr>
        <w:spacing w:after="0" w:line="53" w:lineRule="exact"/>
        <w:rPr>
          <w:rFonts w:ascii="Times New Roman" w:cs="Times New Roman" w:eastAsia="Times New Roman" w:hAnsi="Times New Roman"/>
          <w:sz w:val="18"/>
          <w:szCs w:val="18"/>
          <w:color w:val="auto"/>
        </w:rPr>
      </w:pPr>
    </w:p>
    <w:p>
      <w:pPr>
        <w:ind w:left="261" w:hanging="261"/>
        <w:spacing w:after="0"/>
        <w:tabs>
          <w:tab w:leader="none" w:pos="261"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shall ensure that:</w:t>
      </w:r>
    </w:p>
    <w:p>
      <w:pPr>
        <w:spacing w:after="0" w:line="117" w:lineRule="exact"/>
        <w:rPr>
          <w:rFonts w:ascii="Times New Roman" w:cs="Times New Roman" w:eastAsia="Times New Roman" w:hAnsi="Times New Roman"/>
          <w:sz w:val="18"/>
          <w:szCs w:val="18"/>
          <w:color w:val="auto"/>
        </w:rPr>
      </w:pPr>
    </w:p>
    <w:p>
      <w:pPr>
        <w:ind w:left="121" w:right="780" w:firstLine="408"/>
        <w:spacing w:after="0" w:line="282" w:lineRule="auto"/>
        <w:tabs>
          <w:tab w:leader="none" w:pos="736"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Registration Statement and any amendment thereto and any Prospectus forming part thereof and any amendment or supplement thereto complies in all material respects with the Act and the rules and regulations thereunder; and</w:t>
      </w:r>
    </w:p>
    <w:p>
      <w:pPr>
        <w:spacing w:after="0" w:line="53" w:lineRule="exact"/>
        <w:rPr>
          <w:rFonts w:ascii="Times New Roman" w:cs="Times New Roman" w:eastAsia="Times New Roman" w:hAnsi="Times New Roman"/>
          <w:sz w:val="18"/>
          <w:szCs w:val="18"/>
          <w:color w:val="auto"/>
        </w:rPr>
      </w:pPr>
    </w:p>
    <w:p>
      <w:pPr>
        <w:ind w:left="121" w:right="340" w:firstLine="408"/>
        <w:spacing w:after="0" w:line="282" w:lineRule="auto"/>
        <w:tabs>
          <w:tab w:leader="none" w:pos="786"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Registration Statement and any amendment thereto does not, when it becomes effective, contain an untrue statement of a material fact or omit to state a material fact required to be stated therein or necessary to make the statements therein not misleading.</w:t>
      </w:r>
    </w:p>
    <w:p>
      <w:pPr>
        <w:spacing w:after="0" w:line="53" w:lineRule="exact"/>
        <w:rPr>
          <w:rFonts w:ascii="Times New Roman" w:cs="Times New Roman" w:eastAsia="Times New Roman" w:hAnsi="Times New Roman"/>
          <w:sz w:val="18"/>
          <w:szCs w:val="18"/>
          <w:color w:val="auto"/>
        </w:rPr>
      </w:pPr>
    </w:p>
    <w:p>
      <w:pPr>
        <w:ind w:left="-419" w:firstLine="419"/>
        <w:spacing w:after="0" w:line="258" w:lineRule="auto"/>
        <w:tabs>
          <w:tab w:leader="none" w:pos="248" w:val="left"/>
        </w:tabs>
        <w:numPr>
          <w:ilvl w:val="0"/>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shall advise you, the Holders of Securities or Exchange Securities covered by any Shelf Registration Statement and any Exchanging Dealer under any Exchange Offer Registration Statement that has provided in writing to any Issuer a telephone or facsimile number and address for notices, and, if requested by you or any such Holder or Exchanging Dealer, shall confirm such advice in writing (which notice pursuant to clauses (ii)-(v) hereof shall be accompanied by an instruction to suspend the use of the Prospectus until the Issuers shall have remedied the basis for such suspension):</w:t>
      </w:r>
    </w:p>
    <w:p>
      <w:pPr>
        <w:spacing w:after="0" w:line="75" w:lineRule="exact"/>
        <w:rPr>
          <w:rFonts w:ascii="Times New Roman" w:cs="Times New Roman" w:eastAsia="Times New Roman" w:hAnsi="Times New Roman"/>
          <w:sz w:val="18"/>
          <w:szCs w:val="18"/>
          <w:color w:val="auto"/>
        </w:rPr>
      </w:pPr>
    </w:p>
    <w:p>
      <w:pPr>
        <w:ind w:left="121" w:right="600" w:firstLine="408"/>
        <w:spacing w:after="0" w:line="282" w:lineRule="auto"/>
        <w:tabs>
          <w:tab w:leader="none" w:pos="736"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a Registration Statement and any amendment thereto has been filed with the Commission and when the Registration Statement or any post-effective amendment thereto has become effective;</w:t>
      </w:r>
    </w:p>
    <w:p>
      <w:pPr>
        <w:spacing w:after="0" w:line="53" w:lineRule="exact"/>
        <w:rPr>
          <w:rFonts w:ascii="Times New Roman" w:cs="Times New Roman" w:eastAsia="Times New Roman" w:hAnsi="Times New Roman"/>
          <w:sz w:val="18"/>
          <w:szCs w:val="18"/>
          <w:color w:val="auto"/>
        </w:rPr>
      </w:pPr>
    </w:p>
    <w:p>
      <w:pPr>
        <w:ind w:left="121" w:right="500" w:firstLine="408"/>
        <w:spacing w:after="0" w:line="282" w:lineRule="auto"/>
        <w:tabs>
          <w:tab w:leader="none" w:pos="786"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request by the Commission for any amendment or supplement to the Registration Statement or the Prospectus or for additional information;</w:t>
      </w:r>
    </w:p>
    <w:p>
      <w:pPr>
        <w:spacing w:after="0" w:line="53" w:lineRule="exact"/>
        <w:rPr>
          <w:rFonts w:ascii="Times New Roman" w:cs="Times New Roman" w:eastAsia="Times New Roman" w:hAnsi="Times New Roman"/>
          <w:sz w:val="18"/>
          <w:szCs w:val="18"/>
          <w:color w:val="auto"/>
        </w:rPr>
      </w:pPr>
    </w:p>
    <w:p>
      <w:pPr>
        <w:ind w:left="121" w:right="120" w:firstLine="408"/>
        <w:spacing w:after="0" w:line="282" w:lineRule="auto"/>
        <w:tabs>
          <w:tab w:leader="none" w:pos="836"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issuance by the Commission of any stop order suspending the effectiveness of the Registration Statement or the initiation of any proceedings for that purpose;</w:t>
      </w:r>
    </w:p>
    <w:p>
      <w:pPr>
        <w:spacing w:after="0" w:line="53" w:lineRule="exact"/>
        <w:rPr>
          <w:rFonts w:ascii="Times New Roman" w:cs="Times New Roman" w:eastAsia="Times New Roman" w:hAnsi="Times New Roman"/>
          <w:sz w:val="18"/>
          <w:szCs w:val="18"/>
          <w:color w:val="auto"/>
        </w:rPr>
      </w:pPr>
    </w:p>
    <w:p>
      <w:pPr>
        <w:ind w:left="121" w:right="520" w:firstLine="408"/>
        <w:spacing w:after="0" w:line="282" w:lineRule="auto"/>
        <w:tabs>
          <w:tab w:leader="none" w:pos="826"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the receipt by any Issuer of any notification with respect to the suspension of the qualification of the securities included therein for sale in any jurisdiction or the initiation of any proceeding for such purpose; and</w:t>
      </w:r>
    </w:p>
    <w:p>
      <w:pPr>
        <w:sectPr>
          <w:pgSz w:w="11900" w:h="16838" w:orient="portrait"/>
          <w:cols w:equalWidth="0" w:num="1">
            <w:col w:w="10141"/>
          </w:cols>
          <w:pgMar w:left="1299" w:top="270" w:right="459" w:bottom="1440" w:gutter="0" w:footer="0" w:header="0"/>
        </w:sectPr>
      </w:pPr>
    </w:p>
    <w:bookmarkStart w:id="150" w:name="page151"/>
    <w:bookmarkEnd w:id="150"/>
    <w:p>
      <w:pPr>
        <w:ind w:left="540" w:firstLine="408"/>
        <w:spacing w:after="0" w:line="266" w:lineRule="auto"/>
        <w:tabs>
          <w:tab w:leader="none" w:pos="1196"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of the happening of any event that requires any change in the Registration Statement or the Prospectus so that, as of such date, the statements therein are not misleading and do not omit to state a material fact required to be stated therein or necessary to make the statements therein (in the case of the Prospectus, in the light of the circumstances under which they were made) not misleading.</w:t>
      </w:r>
    </w:p>
    <w:p>
      <w:pPr>
        <w:spacing w:after="0" w:line="67" w:lineRule="exact"/>
        <w:rPr>
          <w:rFonts w:ascii="Times New Roman" w:cs="Times New Roman" w:eastAsia="Times New Roman" w:hAnsi="Times New Roman"/>
          <w:sz w:val="18"/>
          <w:szCs w:val="18"/>
          <w:color w:val="auto"/>
        </w:rPr>
      </w:pPr>
    </w:p>
    <w:p>
      <w:pPr>
        <w:ind w:right="100" w:firstLine="419"/>
        <w:spacing w:after="0" w:line="282" w:lineRule="auto"/>
        <w:tabs>
          <w:tab w:leader="none" w:pos="678"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shall use their reasonable best efforts to obtain the withdrawal of any order suspending the effectiveness of any Registration Statement or the qualification of the securities therein for sale in any jurisdiction at the earliest possible time.</w:t>
      </w:r>
    </w:p>
    <w:p>
      <w:pPr>
        <w:spacing w:after="0" w:line="53" w:lineRule="exact"/>
        <w:rPr>
          <w:rFonts w:ascii="Times New Roman" w:cs="Times New Roman" w:eastAsia="Times New Roman" w:hAnsi="Times New Roman"/>
          <w:sz w:val="18"/>
          <w:szCs w:val="18"/>
          <w:color w:val="auto"/>
        </w:rPr>
      </w:pPr>
    </w:p>
    <w:p>
      <w:pPr>
        <w:jc w:val="both"/>
        <w:ind w:right="460" w:firstLine="419"/>
        <w:spacing w:after="0" w:line="289" w:lineRule="auto"/>
        <w:tabs>
          <w:tab w:leader="none" w:pos="668" w:val="left"/>
        </w:tabs>
        <w:numPr>
          <w:ilvl w:val="0"/>
          <w:numId w:val="1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Issuers shall furnish to each Holder of Securities or Exchange Securities covered by any Shelf Registration Statement, without charge, at least one copy of such Shelf Registration Statement and any post-effective amendment thereto, including all material incorporated therein by reference, and, if the Holder so requests in writing, all exhibits thereto (including exhibits incorporated by reference therein).</w:t>
      </w:r>
    </w:p>
    <w:p>
      <w:pPr>
        <w:spacing w:after="0" w:line="49" w:lineRule="exact"/>
        <w:rPr>
          <w:rFonts w:ascii="Times New Roman" w:cs="Times New Roman" w:eastAsia="Times New Roman" w:hAnsi="Times New Roman"/>
          <w:sz w:val="17"/>
          <w:szCs w:val="17"/>
          <w:color w:val="auto"/>
        </w:rPr>
      </w:pPr>
    </w:p>
    <w:p>
      <w:pPr>
        <w:ind w:right="100" w:firstLine="419"/>
        <w:spacing w:after="0" w:line="258" w:lineRule="auto"/>
        <w:tabs>
          <w:tab w:leader="none" w:pos="648"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shall, during the Shelf Registration Period, deliver to each Holder of Securities or Exchange Securities covered by any Shelf Registration Statement, without charge, as many copies of the Prospectus (including each preliminary Prospectus) included in such Shelf Registration Statement and any amendment or supplement thereto as such Holder may reasonably request. The Issuers consent to the use of the Prospectus or any amendment or supplement thereto by each of the selling Holders of securities in connection with the offering and sale of the securities covered by the Prospectus, or any amendment or supplement thereto, included in the Shelf Registration Statement.</w:t>
      </w:r>
    </w:p>
    <w:p>
      <w:pPr>
        <w:spacing w:after="0" w:line="75"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shall furnish to each Exchanging Dealer which so requests, without charge, at least one copy of the Exchange Offer</w:t>
      </w:r>
    </w:p>
    <w:p>
      <w:pPr>
        <w:spacing w:after="0" w:line="27" w:lineRule="exact"/>
        <w:rPr>
          <w:rFonts w:ascii="Times New Roman" w:cs="Times New Roman" w:eastAsia="Times New Roman" w:hAnsi="Times New Roman"/>
          <w:sz w:val="18"/>
          <w:szCs w:val="18"/>
          <w:color w:val="auto"/>
        </w:rPr>
      </w:pPr>
    </w:p>
    <w:p>
      <w:pPr>
        <w:ind w:right="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Statement and any post-effective amendment thereto, including all material incorporated by reference therein, and, if the Exchanging Dealer so requests in writing, all exhibits thereto (including exhibits incorporated by reference therein).</w:t>
      </w:r>
    </w:p>
    <w:p>
      <w:pPr>
        <w:spacing w:after="0" w:line="73" w:lineRule="exact"/>
        <w:rPr>
          <w:rFonts w:ascii="Times New Roman" w:cs="Times New Roman" w:eastAsia="Times New Roman" w:hAnsi="Times New Roman"/>
          <w:sz w:val="18"/>
          <w:szCs w:val="18"/>
          <w:color w:val="auto"/>
        </w:rPr>
      </w:pPr>
    </w:p>
    <w:p>
      <w:pPr>
        <w:ind w:right="180" w:firstLine="419"/>
        <w:spacing w:after="0" w:line="256" w:lineRule="auto"/>
        <w:tabs>
          <w:tab w:leader="none" w:pos="678"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shall promptly deliver to each Initial Purchaser, each Exchanging Dealer and each other Person required to deliver a Prospectus during the Exchange Offer Registration Period, without charge, as many copies of the Prospectus included in such Exchange Offer Registration Statement and any amendment or supplement thereto as any such Person may reasonably request. The Issuers consent to the use of the Prospectus or any amendment or supplement thereto by any Initial Purchaser, any Exchanging Dealer and any such other Person that may be required to deliver a Prospectus following the Registered Exchange Offer in connection with the offering and sale of the Exchange Securities covered by the Prospectus, or any amendment or supplement thereto, included in the Exchange Offer Registration Statement.</w:t>
      </w:r>
    </w:p>
    <w:p>
      <w:pPr>
        <w:spacing w:after="0" w:line="79" w:lineRule="exact"/>
        <w:rPr>
          <w:rFonts w:ascii="Times New Roman" w:cs="Times New Roman" w:eastAsia="Times New Roman" w:hAnsi="Times New Roman"/>
          <w:sz w:val="18"/>
          <w:szCs w:val="18"/>
          <w:color w:val="auto"/>
        </w:rPr>
      </w:pPr>
    </w:p>
    <w:p>
      <w:pPr>
        <w:ind w:right="20" w:firstLine="419"/>
        <w:spacing w:after="0" w:line="256" w:lineRule="auto"/>
        <w:tabs>
          <w:tab w:leader="none" w:pos="638" w:val="left"/>
        </w:tabs>
        <w:numPr>
          <w:ilvl w:val="0"/>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Prior to the Registered Exchange Offer or any other offering of Securities or Exchange Securities pursuant to any Registration Statement, the Issuers shall arrange, if necessary, for the qualification of the Securities or the Exchange Securities for sale under the laws of such jurisdictions as any Holder shall reasonably request and will maintain such qualification in effect so long as required;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in no event shall any Issuer be obligated to qualify to do business in any jurisdiction where it is not then so qualified or to take any action that would subject it to service of process in suits, other than those arising out of the Initial Placement, the Registered Exchange Offer or any offering pursuant to a Shelf Registration Statement, in any such jurisdiction where it is not then so subject.</w:t>
      </w:r>
    </w:p>
    <w:p>
      <w:pPr>
        <w:sectPr>
          <w:pgSz w:w="11900" w:h="16838" w:orient="portrait"/>
          <w:cols w:equalWidth="0" w:num="1">
            <w:col w:w="10560"/>
          </w:cols>
          <w:pgMar w:left="880" w:top="270" w:right="459" w:bottom="1440" w:gutter="0" w:footer="0" w:header="0"/>
        </w:sectPr>
      </w:pPr>
    </w:p>
    <w:bookmarkStart w:id="151" w:name="page152"/>
    <w:bookmarkEnd w:id="151"/>
    <w:p>
      <w:pPr>
        <w:ind w:left="-419" w:right="40" w:firstLine="419"/>
        <w:spacing w:after="0" w:line="266" w:lineRule="auto"/>
        <w:tabs>
          <w:tab w:leader="none" w:pos="21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Issuers shall cooperate with the Holders to facilitate the timely preparation and delivery of certificates representing Exchange Securities or Securities to be issued or sold pursuant to any Registration Statement free of any restrictive legends and in such denominations and registered in such names as Holders may request.</w:t>
      </w:r>
    </w:p>
    <w:p>
      <w:pPr>
        <w:spacing w:after="0" w:line="67" w:lineRule="exact"/>
        <w:rPr>
          <w:rFonts w:ascii="Times New Roman" w:cs="Times New Roman" w:eastAsia="Times New Roman" w:hAnsi="Times New Roman"/>
          <w:sz w:val="18"/>
          <w:szCs w:val="18"/>
          <w:color w:val="auto"/>
        </w:rPr>
      </w:pPr>
    </w:p>
    <w:p>
      <w:pPr>
        <w:ind w:left="-419" w:firstLine="419"/>
        <w:spacing w:after="0" w:line="272" w:lineRule="auto"/>
        <w:tabs>
          <w:tab w:leader="none" w:pos="258" w:val="left"/>
        </w:tabs>
        <w:numPr>
          <w:ilvl w:val="0"/>
          <w:numId w:val="1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the occurrence of any event contemplated by subsections (c)(ii) through (v) above, the Issuers shall promptly prepare a post-effective amendment to the applicable Registration Statement or an amendment or supplement to the related Prospectus or file any other required document so that, as thereafter delivered to purchasers of the Securities included therein, the Prospectus will not include an untrue statement of a material fact or omit to state any material fact necessary to make the statements therein, in the light of the circumstances under which they were made, not misleading. In such circumstances, the period of effectiveness of the Exchange Offer Registration Statement provided for in Section 2 hereof and the Shelf Registration Statement provided for in Section 3(b) hereof shall each be extended by the number of days from and including the date of the giving of a notice of suspension pursuant to Section 4(c) hereof to and including the date when the Initial Purchasers, the Holders and any known Exchanging Dealer shall have received such amended or supplemented Prospectus pursuant to this Section 4.</w:t>
      </w:r>
    </w:p>
    <w:p>
      <w:pPr>
        <w:spacing w:after="0" w:line="63" w:lineRule="exact"/>
        <w:rPr>
          <w:rFonts w:ascii="Times New Roman" w:cs="Times New Roman" w:eastAsia="Times New Roman" w:hAnsi="Times New Roman"/>
          <w:sz w:val="17"/>
          <w:szCs w:val="17"/>
          <w:color w:val="auto"/>
        </w:rPr>
      </w:pPr>
    </w:p>
    <w:p>
      <w:pPr>
        <w:ind w:left="-419" w:right="120" w:firstLine="419"/>
        <w:spacing w:after="0" w:line="266" w:lineRule="auto"/>
        <w:tabs>
          <w:tab w:leader="none" w:pos="21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later than the effective date of any Registration Statement, the Issuers shall provide CUSIP and ISIN numbers for the Securities or the Exchange Securities, as the case may be, registered under such Registration Statement and provide the Trustee with printed certificates for such Securities or Exchange Securities, in a form eligible for deposit with The Depository Trust Company.</w:t>
      </w:r>
    </w:p>
    <w:p>
      <w:pPr>
        <w:spacing w:after="0" w:line="67" w:lineRule="exact"/>
        <w:rPr>
          <w:rFonts w:ascii="Times New Roman" w:cs="Times New Roman" w:eastAsia="Times New Roman" w:hAnsi="Times New Roman"/>
          <w:sz w:val="18"/>
          <w:szCs w:val="18"/>
          <w:color w:val="auto"/>
        </w:rPr>
      </w:pPr>
    </w:p>
    <w:p>
      <w:pPr>
        <w:ind w:left="-419" w:right="40" w:firstLine="419"/>
        <w:spacing w:after="0" w:line="266" w:lineRule="auto"/>
        <w:tabs>
          <w:tab w:leader="none" w:pos="30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shall comply with all applicable rules and regulations of the Commission and shall make generally available to its security holders as soon as practicable after the effective date of the applicable Registration Statement an earnings statement satisfying the provisions of Section 11(a) of the Act.</w:t>
      </w:r>
    </w:p>
    <w:p>
      <w:pPr>
        <w:spacing w:after="0" w:line="67" w:lineRule="exact"/>
        <w:rPr>
          <w:rFonts w:ascii="Times New Roman" w:cs="Times New Roman" w:eastAsia="Times New Roman" w:hAnsi="Times New Roman"/>
          <w:sz w:val="18"/>
          <w:szCs w:val="18"/>
          <w:color w:val="auto"/>
        </w:rPr>
      </w:pPr>
    </w:p>
    <w:p>
      <w:pPr>
        <w:ind w:left="261" w:hanging="261"/>
        <w:spacing w:after="0"/>
        <w:tabs>
          <w:tab w:leader="none" w:pos="261"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shall cause the Indenture to be qualified under the Trust Indenture Act in a timely manner.</w:t>
      </w:r>
    </w:p>
    <w:p>
      <w:pPr>
        <w:spacing w:after="0" w:line="117" w:lineRule="exact"/>
        <w:rPr>
          <w:rFonts w:ascii="Times New Roman" w:cs="Times New Roman" w:eastAsia="Times New Roman" w:hAnsi="Times New Roman"/>
          <w:sz w:val="18"/>
          <w:szCs w:val="18"/>
          <w:color w:val="auto"/>
        </w:rPr>
      </w:pPr>
    </w:p>
    <w:p>
      <w:pPr>
        <w:ind w:left="-419" w:right="40" w:firstLine="419"/>
        <w:spacing w:after="0" w:line="261" w:lineRule="auto"/>
        <w:tabs>
          <w:tab w:leader="none" w:pos="25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require each Holder of securities to be sold pursuant to any Shelf Registration Statement to furnish to the Company such information regarding the Holder and the distribution of such securities as the Company may from time to time reasonably require for inclusion in such Registration Statement. The Company may exclude from such Shelf Registration Statement the Securities or Exchange Securities of any Holder that fails to furnish such information within a reasonable time after receiving such request.</w:t>
      </w:r>
    </w:p>
    <w:p>
      <w:pPr>
        <w:spacing w:after="0" w:line="71" w:lineRule="exact"/>
        <w:rPr>
          <w:rFonts w:ascii="Times New Roman" w:cs="Times New Roman" w:eastAsia="Times New Roman" w:hAnsi="Times New Roman"/>
          <w:sz w:val="18"/>
          <w:szCs w:val="18"/>
          <w:color w:val="auto"/>
        </w:rPr>
      </w:pPr>
    </w:p>
    <w:p>
      <w:pPr>
        <w:ind w:left="-419" w:right="60" w:firstLine="419"/>
        <w:spacing w:after="0" w:line="258" w:lineRule="auto"/>
        <w:tabs>
          <w:tab w:leader="none" w:pos="258"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Shelf Registration Statement, the Issuers shall enter into such and take all other appropriate actions (including if requested an underwriting agreement in customary form) in order to expedite or facilitate the registration or the disposition of the Securities or Exchange Securities, and in connection therewith, if an underwriting agreement is entered into, cause the same to contain indemnification provisions and procedures no less favorable than those set forth in Section 6 (or such other provisions and procedures acceptable to the Majority Holders and the Managing Underwriters, if any, with respect to all parties to be indemnified pursuant to Section 6).</w:t>
      </w:r>
    </w:p>
    <w:p>
      <w:pPr>
        <w:sectPr>
          <w:pgSz w:w="11900" w:h="16838" w:orient="portrait"/>
          <w:cols w:equalWidth="0" w:num="1">
            <w:col w:w="10021"/>
          </w:cols>
          <w:pgMar w:left="1299" w:top="270" w:right="579" w:bottom="1440" w:gutter="0" w:footer="0" w:header="0"/>
        </w:sectPr>
      </w:pPr>
    </w:p>
    <w:bookmarkStart w:id="152" w:name="page153"/>
    <w:bookmarkEnd w:id="152"/>
    <w:p>
      <w:pPr>
        <w:ind w:left="680" w:hanging="261"/>
        <w:spacing w:after="0"/>
        <w:tabs>
          <w:tab w:leader="none" w:pos="680" w:val="left"/>
        </w:tabs>
        <w:numPr>
          <w:ilvl w:val="0"/>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any Shelf Registration Statement, the Issuers shall:</w:t>
      </w:r>
    </w:p>
    <w:p>
      <w:pPr>
        <w:spacing w:after="0" w:line="117" w:lineRule="exact"/>
        <w:rPr>
          <w:rFonts w:ascii="Times New Roman" w:cs="Times New Roman" w:eastAsia="Times New Roman" w:hAnsi="Times New Roman"/>
          <w:sz w:val="18"/>
          <w:szCs w:val="18"/>
          <w:color w:val="auto"/>
        </w:rPr>
      </w:pPr>
    </w:p>
    <w:p>
      <w:pPr>
        <w:ind w:left="540" w:right="40" w:firstLine="408"/>
        <w:spacing w:after="0" w:line="258" w:lineRule="auto"/>
        <w:tabs>
          <w:tab w:leader="none" w:pos="1156"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reasonably available for inspection by a representative for the Holders of Securities or Exchange Securities to be registered thereunder, which representative shall be selected by the Majority Holders, by the underwriters, if any, participating in any disposition pursuant to such Shelf Registration Statement, and by any attorney, accountant or other agent for the Holders retained by the Majority Holders or for the underwriters, if any, all relevant financial and other records, pertinent corporate documents and properties of each Issuer and its subsidiaries;</w:t>
      </w:r>
    </w:p>
    <w:p>
      <w:pPr>
        <w:spacing w:after="0" w:line="75" w:lineRule="exact"/>
        <w:rPr>
          <w:rFonts w:ascii="Times New Roman" w:cs="Times New Roman" w:eastAsia="Times New Roman" w:hAnsi="Times New Roman"/>
          <w:sz w:val="18"/>
          <w:szCs w:val="18"/>
          <w:color w:val="auto"/>
        </w:rPr>
      </w:pPr>
    </w:p>
    <w:p>
      <w:pPr>
        <w:ind w:left="540" w:right="80" w:firstLine="408"/>
        <w:spacing w:after="0" w:line="255" w:lineRule="auto"/>
        <w:tabs>
          <w:tab w:leader="none" w:pos="1206"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cause the officers, directors and employees of each Issuer to supply all relevant information reasonably requested by the representative for the Holders, by the underwriters, if any, or by any such attorney, accountant or agent in connection with any such Shelf Registration Statement as is customary for similar due diligence examinations;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any information that is designated in writing by any Issuer, in good faith, as confidential at the time of delivery of such information shall be kept confidential by the Holders, the underwriters, if any, and any such attorney, accountant or agent, unless such disclosure is made in connection with a court proceeding or required by law, or such information becomes available to the public generally or through a third party without an accompanying obligation of confidentiality;</w:t>
      </w:r>
    </w:p>
    <w:p>
      <w:pPr>
        <w:spacing w:after="0" w:line="80" w:lineRule="exact"/>
        <w:rPr>
          <w:rFonts w:ascii="Times New Roman" w:cs="Times New Roman" w:eastAsia="Times New Roman" w:hAnsi="Times New Roman"/>
          <w:sz w:val="18"/>
          <w:szCs w:val="18"/>
          <w:color w:val="auto"/>
        </w:rPr>
      </w:pPr>
    </w:p>
    <w:p>
      <w:pPr>
        <w:ind w:left="540" w:firstLine="408"/>
        <w:spacing w:after="0" w:line="266" w:lineRule="auto"/>
        <w:tabs>
          <w:tab w:leader="none" w:pos="1256"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such representations and warranties to the Holders of Securities or Exchange Securities registered thereunder and the underwriters, if any, in form, substance and scope as are customarily made by issuers to underwriters in primary underwritten offerings and covering matters including, but not limited to, those set forth in the Purchase Agreement;</w:t>
      </w:r>
    </w:p>
    <w:p>
      <w:pPr>
        <w:spacing w:after="0" w:line="67" w:lineRule="exact"/>
        <w:rPr>
          <w:rFonts w:ascii="Times New Roman" w:cs="Times New Roman" w:eastAsia="Times New Roman" w:hAnsi="Times New Roman"/>
          <w:sz w:val="18"/>
          <w:szCs w:val="18"/>
          <w:color w:val="auto"/>
        </w:rPr>
      </w:pPr>
    </w:p>
    <w:p>
      <w:pPr>
        <w:ind w:left="540" w:right="180" w:firstLine="408"/>
        <w:spacing w:after="0" w:line="261" w:lineRule="auto"/>
        <w:tabs>
          <w:tab w:leader="none" w:pos="1246"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opinions of counsel to the Issuers, which counsel and opinions (in form, scope and substance) shall be reasonably satisfactory to the Managing Underwriters, if any, addressed to each selling Holder and the underwriters, if any, covering such matters as are customarily covered in opinions requested in underwritten offerings and such other matters as may be reasonably requested by such Holders and underwriters;</w:t>
      </w:r>
    </w:p>
    <w:p>
      <w:pPr>
        <w:spacing w:after="0" w:line="71" w:lineRule="exact"/>
        <w:rPr>
          <w:rFonts w:ascii="Times New Roman" w:cs="Times New Roman" w:eastAsia="Times New Roman" w:hAnsi="Times New Roman"/>
          <w:sz w:val="18"/>
          <w:szCs w:val="18"/>
          <w:color w:val="auto"/>
        </w:rPr>
      </w:pPr>
    </w:p>
    <w:p>
      <w:pPr>
        <w:ind w:left="540" w:right="120" w:firstLine="408"/>
        <w:spacing w:after="0" w:line="258" w:lineRule="auto"/>
        <w:tabs>
          <w:tab w:leader="none" w:pos="1196"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“cold comfort” letters from the independent certified public accountants of the Issuers (and, if necessary, any other independent certified public accountants of any Issuer or any subsidiary of any Issuer or of any business acquired by any Issuer for which financial statements and financial data are, or are required to be, included in the Shelf Registration Statement), addressed to each selling Holder of securities registered thereunder and the underwriters, if any, in customary form and covering matters of the type customarily covered in “cold comfort” letters in connection with primary underwritten offerings; and</w:t>
      </w:r>
    </w:p>
    <w:p>
      <w:pPr>
        <w:spacing w:after="0" w:line="75" w:lineRule="exact"/>
        <w:rPr>
          <w:rFonts w:ascii="Times New Roman" w:cs="Times New Roman" w:eastAsia="Times New Roman" w:hAnsi="Times New Roman"/>
          <w:sz w:val="18"/>
          <w:szCs w:val="18"/>
          <w:color w:val="auto"/>
        </w:rPr>
      </w:pPr>
    </w:p>
    <w:p>
      <w:pPr>
        <w:ind w:left="540" w:right="600" w:firstLine="408"/>
        <w:spacing w:after="0" w:line="266" w:lineRule="auto"/>
        <w:tabs>
          <w:tab w:leader="none" w:pos="1246"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such documents and certificates as may be reasonably requested by the Majority Holders and the Managing Underwriters, if any, including those to evidence compliance with Section 4(k) and with any customary conditions contained in the underwriting agreement or other agreement entered into by the Issuers.</w:t>
      </w:r>
    </w:p>
    <w:p>
      <w:pPr>
        <w:spacing w:after="0" w:line="68"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The actions set forth in clauses (iii), (iv), (v) and (vi) of this Section 4(q) shall be performed at (A) the effectiveness of such Shelf Registration Statement and each post-effective amendment thereto; and (B) each closing under any underwriting or similar agreement as and to the extent required thereunder.</w:t>
      </w:r>
    </w:p>
    <w:p>
      <w:pPr>
        <w:sectPr>
          <w:pgSz w:w="11900" w:h="16838" w:orient="portrait"/>
          <w:cols w:equalWidth="0" w:num="1">
            <w:col w:w="10580"/>
          </w:cols>
          <w:pgMar w:left="880" w:top="270" w:right="439" w:bottom="1440" w:gutter="0" w:footer="0" w:header="0"/>
        </w:sectPr>
      </w:pPr>
    </w:p>
    <w:bookmarkStart w:id="153" w:name="page154"/>
    <w:bookmarkEnd w:id="153"/>
    <w:p>
      <w:pPr>
        <w:ind w:left="640" w:hanging="221"/>
        <w:spacing w:after="0"/>
        <w:tabs>
          <w:tab w:leader="none" w:pos="640"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case of any Exchange Offer Registration Statement, upon the request of any Initial Purchaser, the Issuers shall:</w:t>
      </w:r>
    </w:p>
    <w:p>
      <w:pPr>
        <w:spacing w:after="0" w:line="117" w:lineRule="exact"/>
        <w:rPr>
          <w:rFonts w:ascii="Times New Roman" w:cs="Times New Roman" w:eastAsia="Times New Roman" w:hAnsi="Times New Roman"/>
          <w:sz w:val="18"/>
          <w:szCs w:val="18"/>
          <w:color w:val="auto"/>
        </w:rPr>
      </w:pPr>
    </w:p>
    <w:p>
      <w:pPr>
        <w:ind w:left="540" w:right="100" w:firstLine="408"/>
        <w:spacing w:after="0" w:line="266" w:lineRule="auto"/>
        <w:tabs>
          <w:tab w:leader="none" w:pos="1156"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reasonably available for inspection by the Initial Purchasers, and any attorney, accountant or other agent retained by the Initial Purchasers, all relevant financial and other records, pertinent corporate documents and properties of the Issuers and their respective subsidiaries;</w:t>
      </w:r>
    </w:p>
    <w:p>
      <w:pPr>
        <w:spacing w:after="0" w:line="67" w:lineRule="exact"/>
        <w:rPr>
          <w:rFonts w:ascii="Times New Roman" w:cs="Times New Roman" w:eastAsia="Times New Roman" w:hAnsi="Times New Roman"/>
          <w:sz w:val="18"/>
          <w:szCs w:val="18"/>
          <w:color w:val="auto"/>
        </w:rPr>
      </w:pPr>
    </w:p>
    <w:p>
      <w:pPr>
        <w:ind w:left="540" w:right="60" w:firstLine="408"/>
        <w:spacing w:after="0" w:line="274" w:lineRule="auto"/>
        <w:tabs>
          <w:tab w:leader="none" w:pos="1206"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cause the officers, directors and employees of each Issuer to supply all relevant information reasonably requested by any Initial Purchaser or any attorney, accountant or agent retained by the Initial Purchasers in connection with any such Exchange Offer Registration Statement as is customary for similar due diligence examinations;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any information that is designated in writing by any Issuer, in good faith, as confidential at the time of delivery of such information shall be kept confidential by such Initial Purchaser or any such attorney, accountant or agent, unless such disclosure is made in connection with a court proceeding or required by law, or such information becomes available to the public generally or through a third party without an accompanying obligation of confidentiality;</w:t>
      </w:r>
    </w:p>
    <w:p>
      <w:pPr>
        <w:spacing w:after="0" w:line="64" w:lineRule="exact"/>
        <w:rPr>
          <w:rFonts w:ascii="Times New Roman" w:cs="Times New Roman" w:eastAsia="Times New Roman" w:hAnsi="Times New Roman"/>
          <w:sz w:val="17"/>
          <w:szCs w:val="17"/>
          <w:color w:val="auto"/>
        </w:rPr>
      </w:pPr>
    </w:p>
    <w:p>
      <w:pPr>
        <w:ind w:left="540" w:right="60" w:firstLine="408"/>
        <w:spacing w:after="0" w:line="266" w:lineRule="auto"/>
        <w:tabs>
          <w:tab w:leader="none" w:pos="1256"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such representations and warranties to the Initial Purchasers, in form, substance and scope as are customarily made by issuers to underwriters in primary underwritten offerings and covering matters including, but not limited to, those set forth in the Purchase Agreement;</w:t>
      </w:r>
    </w:p>
    <w:p>
      <w:pPr>
        <w:spacing w:after="0" w:line="67" w:lineRule="exact"/>
        <w:rPr>
          <w:rFonts w:ascii="Times New Roman" w:cs="Times New Roman" w:eastAsia="Times New Roman" w:hAnsi="Times New Roman"/>
          <w:sz w:val="18"/>
          <w:szCs w:val="18"/>
          <w:color w:val="auto"/>
        </w:rPr>
      </w:pPr>
    </w:p>
    <w:p>
      <w:pPr>
        <w:jc w:val="both"/>
        <w:ind w:left="540" w:right="40" w:firstLine="408"/>
        <w:spacing w:after="0" w:line="261" w:lineRule="auto"/>
        <w:tabs>
          <w:tab w:leader="none" w:pos="1246"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opinions of counsel to the Issuers, which counsel and opinions (in form, scope and substance) shall be reasonably satisfactory to the Initial Purchasers and their counsel, addressed to the Initial Purchasers, covering such matters as are customarily covered in opinions requested in underwritten offerings and such other matters as may be reasonably requested by the Initial Purchasers or their counsel;</w:t>
      </w:r>
    </w:p>
    <w:p>
      <w:pPr>
        <w:spacing w:after="0" w:line="71" w:lineRule="exact"/>
        <w:rPr>
          <w:rFonts w:ascii="Times New Roman" w:cs="Times New Roman" w:eastAsia="Times New Roman" w:hAnsi="Times New Roman"/>
          <w:sz w:val="18"/>
          <w:szCs w:val="18"/>
          <w:color w:val="auto"/>
        </w:rPr>
      </w:pPr>
    </w:p>
    <w:p>
      <w:pPr>
        <w:ind w:left="540" w:right="60" w:firstLine="408"/>
        <w:spacing w:after="0" w:line="274" w:lineRule="auto"/>
        <w:tabs>
          <w:tab w:leader="none" w:pos="1196" w:val="left"/>
        </w:tabs>
        <w:numPr>
          <w:ilvl w:val="1"/>
          <w:numId w:val="1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obtain “cold comfort” letters from the independent certified public accountants of the Issuers (and, if necessary, any other independent certified public accountants of any Issuer or any subsidiary of any Issuer or of any business acquired by any Issuer for which financial statements and financial data are, or are required to be, included in the Exchange Offer Registration Statement), addressed to the Initial Purchasers, in customary form and covering matters of the type customarily covered in “cold comfort” letters in connection with primary underwritten offerings, or if requested by the Initial Purchasers or their counsel in lieu of a “cold comfort” letter, an agreed-upon procedures letter under Statement on Auditing Standards No. 35, covering matters requested by the Initial Purchasers or their counsel; and</w:t>
      </w:r>
    </w:p>
    <w:p>
      <w:pPr>
        <w:spacing w:after="0" w:line="64" w:lineRule="exact"/>
        <w:rPr>
          <w:rFonts w:ascii="Times New Roman" w:cs="Times New Roman" w:eastAsia="Times New Roman" w:hAnsi="Times New Roman"/>
          <w:sz w:val="17"/>
          <w:szCs w:val="17"/>
          <w:color w:val="auto"/>
        </w:rPr>
      </w:pPr>
    </w:p>
    <w:p>
      <w:pPr>
        <w:ind w:left="540" w:firstLine="408"/>
        <w:spacing w:after="0" w:line="282" w:lineRule="auto"/>
        <w:tabs>
          <w:tab w:leader="none" w:pos="1246"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such documents and certificates as may be reasonably requested by the Initial Purchasers or their counsel, including those to evidence compliance with Section 4(k) and with conditions customarily contained in underwriting agreements.</w:t>
      </w:r>
    </w:p>
    <w:p>
      <w:pPr>
        <w:spacing w:after="0" w:line="54" w:lineRule="exact"/>
        <w:rPr>
          <w:sz w:val="20"/>
          <w:szCs w:val="20"/>
          <w:color w:val="auto"/>
        </w:rPr>
      </w:pPr>
    </w:p>
    <w:p>
      <w:pPr>
        <w:ind w:right="640" w:firstLine="423"/>
        <w:spacing w:after="0" w:line="282" w:lineRule="auto"/>
        <w:rPr>
          <w:sz w:val="20"/>
          <w:szCs w:val="20"/>
          <w:color w:val="auto"/>
        </w:rPr>
      </w:pPr>
      <w:r>
        <w:rPr>
          <w:rFonts w:ascii="Times New Roman" w:cs="Times New Roman" w:eastAsia="Times New Roman" w:hAnsi="Times New Roman"/>
          <w:sz w:val="18"/>
          <w:szCs w:val="18"/>
          <w:color w:val="auto"/>
        </w:rPr>
        <w:t>The foregoing actions set forth in clauses (iii), (iv), (v), and (vi) of this Section 4(r) shall be performed at the close of the Registered Exchange Offer and the effective date of any post-effective amendment to the Exchange Offer Registration Statement.</w:t>
      </w:r>
    </w:p>
    <w:p>
      <w:pPr>
        <w:spacing w:after="0" w:line="54" w:lineRule="exact"/>
        <w:rPr>
          <w:sz w:val="20"/>
          <w:szCs w:val="20"/>
          <w:color w:val="auto"/>
        </w:rPr>
      </w:pPr>
    </w:p>
    <w:p>
      <w:pPr>
        <w:ind w:right="120" w:firstLine="419"/>
        <w:spacing w:after="0" w:line="261" w:lineRule="auto"/>
        <w:tabs>
          <w:tab w:leader="none" w:pos="65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Registered Exchange Offer is to be consummated, upon delivery of the Securities by Holders to the Company (or to such other Person as directed by the Company) in exchange for the Exchange Securities, the Company shall mark, or caused to be marked, on the Securities so exchanged that such Securities are being canceled in exchange for the Exchange Securities. In no event shall the Securities be marked as paid or otherwise satisfied.</w:t>
      </w:r>
    </w:p>
    <w:p>
      <w:pPr>
        <w:sectPr>
          <w:pgSz w:w="11900" w:h="16838" w:orient="portrait"/>
          <w:cols w:equalWidth="0" w:num="1">
            <w:col w:w="10560"/>
          </w:cols>
          <w:pgMar w:left="880" w:top="270" w:right="459" w:bottom="1440" w:gutter="0" w:footer="0" w:header="0"/>
        </w:sectPr>
      </w:pPr>
    </w:p>
    <w:bookmarkStart w:id="154" w:name="page155"/>
    <w:bookmarkEnd w:id="154"/>
    <w:p>
      <w:pPr>
        <w:ind w:left="4" w:right="100" w:firstLine="419"/>
        <w:spacing w:after="0" w:line="276" w:lineRule="auto"/>
        <w:tabs>
          <w:tab w:leader="none" w:pos="641" w:val="left"/>
        </w:tabs>
        <w:numPr>
          <w:ilvl w:val="1"/>
          <w:numId w:val="1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Issuers will use their reasonable best efforts (i) if the Securities have been rated prior to the initial sale of such Securities, to confirm such ratings will apply to the Securities or the Exchange Securities, as the case may be, covered by a Exchange Offer Registration Statement; or</w:t>
      </w:r>
    </w:p>
    <w:p>
      <w:pPr>
        <w:ind w:left="4" w:right="160" w:hanging="4"/>
        <w:spacing w:after="0" w:line="255" w:lineRule="auto"/>
        <w:tabs>
          <w:tab w:leader="none" w:pos="268"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Securities were not previously rated, to cause the Securities covered by a Registration Statement to be rated with at least one nationally recognized statistical rating agency, if so requested by Majority Holders with respect to the related Registration Statement or by any Managing Underwriters.</w:t>
      </w:r>
    </w:p>
    <w:p>
      <w:pPr>
        <w:spacing w:after="0" w:line="77" w:lineRule="exact"/>
        <w:rPr>
          <w:rFonts w:ascii="Times New Roman" w:cs="Times New Roman" w:eastAsia="Times New Roman" w:hAnsi="Times New Roman"/>
          <w:sz w:val="18"/>
          <w:szCs w:val="18"/>
          <w:color w:val="auto"/>
        </w:rPr>
      </w:pPr>
    </w:p>
    <w:p>
      <w:pPr>
        <w:ind w:left="4" w:right="20" w:firstLine="419"/>
        <w:spacing w:after="0" w:line="281" w:lineRule="auto"/>
        <w:tabs>
          <w:tab w:leader="none" w:pos="681" w:val="left"/>
        </w:tabs>
        <w:numPr>
          <w:ilvl w:val="1"/>
          <w:numId w:val="1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the event that any Broker-Dealer shall underwrite any Securities or Exchange Securities or participate as a member of an underwriting syndicate or selling group or “assist in the distribution” (within the meaning of the Financial Industry Regulatory Authority, Inc. (the “</w:t>
      </w:r>
      <w:r>
        <w:rPr>
          <w:rFonts w:ascii="Times New Roman" w:cs="Times New Roman" w:eastAsia="Times New Roman" w:hAnsi="Times New Roman"/>
          <w:sz w:val="17"/>
          <w:szCs w:val="17"/>
          <w:u w:val="single" w:color="auto"/>
          <w:color w:val="auto"/>
        </w:rPr>
        <w:t>Conduct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Rules</w:t>
      </w:r>
      <w:r>
        <w:rPr>
          <w:rFonts w:ascii="Times New Roman" w:cs="Times New Roman" w:eastAsia="Times New Roman" w:hAnsi="Times New Roman"/>
          <w:sz w:val="17"/>
          <w:szCs w:val="17"/>
          <w:color w:val="auto"/>
        </w:rPr>
        <w:t>”)) thereof, whether as a Holder or as an underwriter, a placement or sales agent or a broker or dealer in respect thereof, or otherwise, the Issuers shall assist such Broker-Dealer in complying with the requirements of such Conduct Rules, including, without limitation, by:</w:t>
      </w:r>
    </w:p>
    <w:p>
      <w:pPr>
        <w:spacing w:after="0" w:line="56" w:lineRule="exact"/>
        <w:rPr>
          <w:rFonts w:ascii="Times New Roman" w:cs="Times New Roman" w:eastAsia="Times New Roman" w:hAnsi="Times New Roman"/>
          <w:sz w:val="17"/>
          <w:szCs w:val="17"/>
          <w:color w:val="auto"/>
        </w:rPr>
      </w:pPr>
    </w:p>
    <w:p>
      <w:pPr>
        <w:ind w:left="544" w:right="240" w:firstLine="408"/>
        <w:spacing w:after="0" w:line="261" w:lineRule="auto"/>
        <w:tabs>
          <w:tab w:leader="none" w:pos="1159" w:val="left"/>
        </w:tabs>
        <w:numPr>
          <w:ilvl w:val="3"/>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Conduct Rules shall so require, engaging a “qualified independent underwriter” (as defined in such Conduct Rules) to participate in the preparation of the Registration Statement, to exercise usual standards of due diligence with respect thereto and, if any portion of the offering contemplated by such Registration Statement is an underwritten offering or is made through a placement or sales agent, to recommend the yield of such Securities or Exchange Securities;</w:t>
      </w:r>
    </w:p>
    <w:p>
      <w:pPr>
        <w:spacing w:after="0" w:line="71" w:lineRule="exact"/>
        <w:rPr>
          <w:rFonts w:ascii="Times New Roman" w:cs="Times New Roman" w:eastAsia="Times New Roman" w:hAnsi="Times New Roman"/>
          <w:sz w:val="18"/>
          <w:szCs w:val="18"/>
          <w:color w:val="auto"/>
        </w:rPr>
      </w:pPr>
    </w:p>
    <w:p>
      <w:pPr>
        <w:ind w:left="544" w:right="600" w:firstLine="408"/>
        <w:spacing w:after="0" w:line="282" w:lineRule="auto"/>
        <w:tabs>
          <w:tab w:leader="none" w:pos="1209" w:val="left"/>
        </w:tabs>
        <w:numPr>
          <w:ilvl w:val="3"/>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indemnifying any such qualified independent underwriter to the extent of the indemnification of underwriters provided in Section 6 hereof; and</w:t>
      </w:r>
    </w:p>
    <w:p>
      <w:pPr>
        <w:spacing w:after="0" w:line="53" w:lineRule="exact"/>
        <w:rPr>
          <w:rFonts w:ascii="Times New Roman" w:cs="Times New Roman" w:eastAsia="Times New Roman" w:hAnsi="Times New Roman"/>
          <w:sz w:val="18"/>
          <w:szCs w:val="18"/>
          <w:color w:val="auto"/>
        </w:rPr>
      </w:pPr>
    </w:p>
    <w:p>
      <w:pPr>
        <w:ind w:left="544" w:right="560" w:firstLine="408"/>
        <w:spacing w:after="0" w:line="282" w:lineRule="auto"/>
        <w:tabs>
          <w:tab w:leader="none" w:pos="1259" w:val="left"/>
        </w:tabs>
        <w:numPr>
          <w:ilvl w:val="3"/>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such information to such Broker-Dealer as may be required in order for such Broker-Dealer to comply with the requirements of such Conduct Rules.</w:t>
      </w:r>
    </w:p>
    <w:p>
      <w:pPr>
        <w:spacing w:after="0" w:line="53" w:lineRule="exact"/>
        <w:rPr>
          <w:rFonts w:ascii="Times New Roman" w:cs="Times New Roman" w:eastAsia="Times New Roman" w:hAnsi="Times New Roman"/>
          <w:sz w:val="18"/>
          <w:szCs w:val="18"/>
          <w:color w:val="auto"/>
        </w:rPr>
      </w:pPr>
    </w:p>
    <w:p>
      <w:pPr>
        <w:ind w:left="4" w:right="600" w:firstLine="419"/>
        <w:spacing w:after="0" w:line="282" w:lineRule="auto"/>
        <w:tabs>
          <w:tab w:leader="none" w:pos="681"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shall use their reasonable best efforts to take all other steps necessary to effect the registration of the Securities or the Exchange Securities, as the case may be, covered by a Registration Statement.</w:t>
      </w:r>
    </w:p>
    <w:p>
      <w:pPr>
        <w:spacing w:after="0" w:line="161" w:lineRule="exact"/>
        <w:rPr>
          <w:rFonts w:ascii="Times New Roman" w:cs="Times New Roman" w:eastAsia="Times New Roman" w:hAnsi="Times New Roman"/>
          <w:sz w:val="18"/>
          <w:szCs w:val="18"/>
          <w:color w:val="auto"/>
        </w:rPr>
      </w:pPr>
    </w:p>
    <w:p>
      <w:pPr>
        <w:ind w:left="-436" w:right="20" w:firstLine="987"/>
        <w:spacing w:after="0" w:line="261" w:lineRule="auto"/>
        <w:tabs>
          <w:tab w:leader="none" w:pos="735" w:val="left"/>
        </w:tabs>
        <w:numPr>
          <w:ilvl w:val="2"/>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Registration Expenses</w:t>
      </w:r>
      <w:r>
        <w:rPr>
          <w:rFonts w:ascii="Times New Roman" w:cs="Times New Roman" w:eastAsia="Times New Roman" w:hAnsi="Times New Roman"/>
          <w:sz w:val="18"/>
          <w:szCs w:val="18"/>
          <w:color w:val="auto"/>
        </w:rPr>
        <w:t>. The Issuers shall bear all expenses incurred in connection with the performance of their obligations under Sections 2, 3 and 4 hereof and, in the event of any Shelf Registration Statement, will reimburse the Holders for the reasonable fees and disbursements of one firm or counsel designated by the Majority Holders to act as counsel for the Holders in connection therewith, and, in the case of any Exchange Offer Registration Statement, will reimburse the Initial Purchasers for the reasonable fees and disbursements of counsel acting in connection therewith.</w:t>
      </w:r>
    </w:p>
    <w:p>
      <w:pPr>
        <w:spacing w:after="0" w:line="179" w:lineRule="exact"/>
        <w:rPr>
          <w:rFonts w:ascii="Times New Roman" w:cs="Times New Roman" w:eastAsia="Times New Roman" w:hAnsi="Times New Roman"/>
          <w:sz w:val="18"/>
          <w:szCs w:val="18"/>
          <w:color w:val="auto"/>
        </w:rPr>
      </w:pPr>
    </w:p>
    <w:p>
      <w:pPr>
        <w:ind w:left="724" w:hanging="173"/>
        <w:spacing w:after="0"/>
        <w:tabs>
          <w:tab w:leader="none" w:pos="724" w:val="left"/>
        </w:tabs>
        <w:numPr>
          <w:ilvl w:val="2"/>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Indemnification and Contribution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36" w:firstLine="987"/>
        <w:spacing w:after="0" w:line="256" w:lineRule="auto"/>
        <w:tabs>
          <w:tab w:leader="none" w:pos="800" w:val="left"/>
        </w:tabs>
        <w:numPr>
          <w:ilvl w:val="0"/>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jointly and severally, agree to indemnify and hold harmless each Holder of Securities or Exchange Securities, as the case may be, covered by any Registration Statement (including each Initial Purchaser and each Affiliate thereof and, with respect to any Prospectus delivery as contemplated in Section 4(h) hereof, each Exchanging Dealer), the directors, officers, employees and agents of each such Holder and each person who controls any such Holder within the meaning of either the Act or the Exchange Act against any and all losses, claims, damages or liabilities, joint or several, to which they or any of them may become subject under the Act, the Exchange Act or other Federal or state statutory law or regulation, at common law or</w:t>
      </w:r>
    </w:p>
    <w:p>
      <w:pPr>
        <w:sectPr>
          <w:pgSz w:w="11900" w:h="16838" w:orient="portrait"/>
          <w:cols w:equalWidth="0" w:num="1">
            <w:col w:w="10564"/>
          </w:cols>
          <w:pgMar w:left="876" w:top="270" w:right="459" w:bottom="1440" w:gutter="0" w:footer="0" w:header="0"/>
        </w:sectPr>
      </w:pPr>
    </w:p>
    <w:bookmarkStart w:id="155" w:name="page156"/>
    <w:bookmarkEnd w:id="155"/>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otherwise, insofar as such losses, claims, damages or liabilities (or actions in respect thereof) arise out of or are based upon any untrue statement or alleged untrue statement of a material fact contained in the Registration Statement as originally filed or in any amendment thereof, or in any preliminary Prospectus or the Prospectus, or in any amendment thereof or supplement thereto, or arise out of or are based upon the omission or alleged omission to state therein a material fact required to be stated therein or necessary to make the statements therein not misleading, and to reimburse each such indemnified party, as incurred, for any legal or other expenses reasonably incurred by them in connection with investigating or defending any such loss, claim, damage, liability or action;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xml:space="preserve">, that the Issuers will not be liable in any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such Holder specifically for inclusion therein;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further</w:t>
      </w:r>
      <w:r>
        <w:rPr>
          <w:rFonts w:ascii="Times New Roman" w:cs="Times New Roman" w:eastAsia="Times New Roman" w:hAnsi="Times New Roman"/>
          <w:sz w:val="18"/>
          <w:szCs w:val="18"/>
          <w:color w:val="auto"/>
        </w:rPr>
        <w:t>, that with respect to any untrue statement or omission of material fact made in any preliminary Prospectus, the indemnity agreement contained in this Section 6 shall not inure to the benefit of any Holder from whom the Person asserting any such loss, claim, damage or liability purchased such Securities or Exchange Securities, as the case may be, to the extent that any such loss, claim, damage or liability of such Holder occurs under the circumstance where it shall have been determined by a court of competent jurisdiction by final and nonappealable judgment that (w) the Company had previously furnished copies of the Prospectus to such Holder, (x) delivery of the Prospectus was required by the Act to be made to such Person, (y) the untrue statement or omission of a material fact contained in the preliminary Prospectus was corrected in the Prospectus and (z) there was not sent or given to such Person, at or prior to the written confirmation of the sale of such securities to such Person, a copy of the Prospectus. This indemnity agreement will be in addition to any liability which the Issuers may otherwise have.</w:t>
      </w:r>
    </w:p>
    <w:p>
      <w:pPr>
        <w:spacing w:after="0" w:line="195" w:lineRule="exact"/>
        <w:rPr>
          <w:sz w:val="20"/>
          <w:szCs w:val="20"/>
          <w:color w:val="auto"/>
        </w:rPr>
      </w:pPr>
    </w:p>
    <w:p>
      <w:pPr>
        <w:ind w:firstLine="991"/>
        <w:spacing w:after="0" w:line="258" w:lineRule="auto"/>
        <w:rPr>
          <w:sz w:val="20"/>
          <w:szCs w:val="20"/>
          <w:color w:val="auto"/>
        </w:rPr>
      </w:pPr>
      <w:r>
        <w:rPr>
          <w:rFonts w:ascii="Times New Roman" w:cs="Times New Roman" w:eastAsia="Times New Roman" w:hAnsi="Times New Roman"/>
          <w:sz w:val="18"/>
          <w:szCs w:val="18"/>
          <w:color w:val="auto"/>
        </w:rPr>
        <w:t>The Issuers also, jointly and severally, agree to indemnify or contribute as provided in Section 6(d) to Losses of each underwriter of Securities or Exchange Securities, as the case may be, registered under a Shelf Registration Statement, their directors, officers, employees or agents and each person who controls such underwriter on substantially the same basis as that of the indemnification of the Initial Purchasers and the selling Holders provided in this Section 6(a) and shall, if requested by any Holder, enter into an underwriting agreement reflecting such agreement, as provided in Section 4(p) hereof.</w:t>
      </w:r>
    </w:p>
    <w:p>
      <w:pPr>
        <w:spacing w:after="0" w:line="183" w:lineRule="exact"/>
        <w:rPr>
          <w:sz w:val="20"/>
          <w:szCs w:val="20"/>
          <w:color w:val="auto"/>
        </w:rPr>
      </w:pPr>
    </w:p>
    <w:p>
      <w:pPr>
        <w:ind w:right="220" w:firstLine="987"/>
        <w:spacing w:after="0" w:line="255" w:lineRule="auto"/>
        <w:tabs>
          <w:tab w:leader="none" w:pos="124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securities covered by a Registration Statement (including each Initial Purchaser and each Affiliate thereof and, with respect to any Prospectus delivery as contemplated in Section 4(h) hereof, each Exchanging Dealer) severally and not jointly agrees to indemnify and hold harmless the Issuers, each of their respective directors, each of their respective officers who signs such Registration Statement, and each person who controls any Issuer within the meaning of either the Act or the Exchange Act, to the same extent as the foregoing indemnity from the Issuers to each such Holder, but only with reference to written information relating to such Holder furnished to the Issuers by or on behalf of such Holder specifically for inclusion in the documents referred to in the foregoing indemnity. This indemnity agreement will be in addition to any liability which any such Holder may otherwise have.</w:t>
      </w:r>
    </w:p>
    <w:p>
      <w:pPr>
        <w:spacing w:after="0" w:line="188" w:lineRule="exact"/>
        <w:rPr>
          <w:rFonts w:ascii="Times New Roman" w:cs="Times New Roman" w:eastAsia="Times New Roman" w:hAnsi="Times New Roman"/>
          <w:sz w:val="18"/>
          <w:szCs w:val="18"/>
          <w:color w:val="auto"/>
        </w:rPr>
      </w:pPr>
    </w:p>
    <w:p>
      <w:pPr>
        <w:ind w:firstLine="987"/>
        <w:spacing w:after="0" w:line="254" w:lineRule="auto"/>
        <w:tabs>
          <w:tab w:leader="none" w:pos="1236" w:val="left"/>
        </w:tabs>
        <w:numPr>
          <w:ilvl w:val="0"/>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by an indemnified party under this Section 6 of notice of the commencement of any action, such indemnified party will, if a claim in respect thereof is to be made against the indemnifying party under this Section 6,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counsel of the indemnifying party’s choice at the indemnifying party’s expense to represent the indemnified party in any action for which indemnification is sought (in which case the indemnifying party shall not thereafter be responsible for</w:t>
      </w:r>
    </w:p>
    <w:p>
      <w:pPr>
        <w:sectPr>
          <w:pgSz w:w="11900" w:h="16838" w:orient="portrait"/>
          <w:cols w:equalWidth="0" w:num="1">
            <w:col w:w="10980"/>
          </w:cols>
          <w:pgMar w:left="440" w:top="270" w:right="479" w:bottom="1440" w:gutter="0" w:footer="0" w:header="0"/>
        </w:sectPr>
      </w:pPr>
    </w:p>
    <w:bookmarkStart w:id="156" w:name="page157"/>
    <w:bookmarkEnd w:id="156"/>
    <w:p>
      <w:pPr>
        <w:ind w:right="160"/>
        <w:spacing w:after="0" w:line="268"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fees and expenses of any separate counsel retained by the indemnified party or parties except as set forth below);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such counsel shall be reasonably satisfactory to the indemnified party. Notwithstanding the indemnifying party’s election to appoint counsel to represent the indemnified party in an action, the indemnified party shall have the right to employ separate counsel (including local counsel), and the indemnifying party shall bear the reasonable fees, costs and expenses of such separate counsel if (i) the use of counsel chosen by the indemnifying party to represent the indemnified party would present such counsel with a conflict of interest; (ii) the actual or potential defendants in, or targets of, any such action include both the indemnified party and the indemnifying party and the indemnified party shall have reasonably concluded that there may be legal defenses available to it and/or other indemnified parties which are different from or additional to those available to the indemnifying party; (iii) the indemnifying party shall not have employed counsel reasonably satisfactory to the indemnified party to represent the indemnified party within a reasonable time after notice of the institution of such action; or (iv) the indemnifying party shall authorize the indemnified party to employ separate counsel at the expense of the indemnifying party. An indemnifying party will not, without the prior written consent of the indemnified parties,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includes an unconditional release of each indemnified party from all liability arising out of such claim, action, suit or proceeding. An indemnifying party shall not be liable under this Section 6 to any indemnified party regarding any settlement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is consented to by such indemnifying party, which consent shall not be unreasonably withheld.</w:t>
      </w:r>
    </w:p>
    <w:p>
      <w:pPr>
        <w:spacing w:after="0" w:line="177" w:lineRule="exact"/>
        <w:rPr>
          <w:sz w:val="20"/>
          <w:szCs w:val="20"/>
          <w:color w:val="auto"/>
        </w:rPr>
      </w:pPr>
    </w:p>
    <w:p>
      <w:pPr>
        <w:ind w:firstLine="987"/>
        <w:spacing w:after="0" w:line="252" w:lineRule="auto"/>
        <w:tabs>
          <w:tab w:leader="none" w:pos="1246"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indemnity provided in paragraph (a) or (b) of this Section 6 is unavailable to or insufficient to hold harmless an indemnified party for any reason, then each applicable indemnifying party shall have a joint and several obligation to contribute to the aggregate losses, claims, damages and liabilities (including legal or other expenses reasonably incurred in connection with investigating or defending same) (collectively “</w:t>
      </w:r>
      <w:r>
        <w:rPr>
          <w:rFonts w:ascii="Times New Roman" w:cs="Times New Roman" w:eastAsia="Times New Roman" w:hAnsi="Times New Roman"/>
          <w:sz w:val="18"/>
          <w:szCs w:val="18"/>
          <w:u w:val="single" w:color="auto"/>
          <w:color w:val="auto"/>
        </w:rPr>
        <w:t>Losses</w:t>
      </w:r>
      <w:r>
        <w:rPr>
          <w:rFonts w:ascii="Times New Roman" w:cs="Times New Roman" w:eastAsia="Times New Roman" w:hAnsi="Times New Roman"/>
          <w:sz w:val="18"/>
          <w:szCs w:val="18"/>
          <w:color w:val="auto"/>
        </w:rPr>
        <w:t xml:space="preserve">”) to which such indemnified party may be subject in such proportion as is appropriate to reflect the relative benefits received by such indemnifying party, on the one hand, and such indemnified party, on the other hand, from the Initial Placement and the Registration Statement which resulted in such Losses;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in no case shall any Initial Purchaser or any subsequent Holder of any Security or Exchange Security be responsible, in the aggregate, for any amount in excess of the purchase discount or commission applicable to such Security, or in the case of an Exchange Security, applicable to the Security that was exchangeable into such Exchange Security, as set forth on the cover page of the Final Memorandum, nor shall any underwriter be responsible for any amount in excess of the underwriting discount or commission applicable to the securities purchased by such underwriter under the Registration Statement which resulted in such Losses. If the allocation provided by the immediately preceding sentence is unavailable for any reason, the indemnifying party and the indemnified party shall contribute in such proportion as is appropriate to reflect not only such relative benefits but also the relative fault of such indemnifying party, on the one hand, and such indemnified party, on the other hand, in connection with the statements or omissions which resulted in such Losses as well as any other relevant equitable considerations. Benefits received by the Issuers shall be deemed to be equal to the sum of (x) the total net proceeds from the Initial Placement (before deducting expenses or original issue discount) as set forth on the cover page of the Final Memorandum and (y) the total amount of additional interest which the Issuers were not required to pay as a result of registering the securities covered by the Registration Statement which resulted in such Losses. Benefits received by the Initial Purchasers shall be deemed to be equal to the total purchase discounts and commissions as set forth on the cover page of the Final Memorandum, and benefits received by any other Holders shall be deemed to be equal to the value of receiving Securities or Exchange Securities, as applicable, registered under the Act. Benefits received by any underwriter shall be deemed to be equal to the total underwriting discounts and commissions, as set forth on the cover page of the Prospectus forming a part of the Registration Statement which resulted in such Losses. Relative fault shall</w:t>
      </w:r>
    </w:p>
    <w:p>
      <w:pPr>
        <w:sectPr>
          <w:pgSz w:w="11900" w:h="16838" w:orient="portrait"/>
          <w:cols w:equalWidth="0" w:num="1">
            <w:col w:w="11000"/>
          </w:cols>
          <w:pgMar w:left="440" w:top="270" w:right="459" w:bottom="1440" w:gutter="0" w:footer="0" w:header="0"/>
        </w:sectPr>
      </w:pPr>
    </w:p>
    <w:bookmarkStart w:id="157" w:name="page158"/>
    <w:bookmarkEnd w:id="157"/>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be determined by reference to, among other things, whether any untrue or alleged untrue statement of or omission or alleged omission to state a material fact relates to information provided by the indemnifying party, on the one hand, or by the indemnified party, on the other hand, the intent of the parties and their relative knowledge, access to information and opportunity to correct or prevent such untrue statement or omission. The parties agree that it would not be just and equitable if contribution were determined by pro rata allocation (even if the Holders were treated as one entity for such purpose) or any other method of allocation which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For purposes of this Section 6, each person who controls a Holder within the meaning of either the Act or the Exchange Act and each director, officer, employee and agent of such Holder shall have the same rights to contribution as such Holder, and each person who controls any Issuer within the meaning of either the Act or the Exchange Act, each officer of any Issuer who shall have signed the Registration Statement and each director of any Issuer shall have the same rights to contribution as the Issuers, subject in each case to the applicable terms and conditions of this paragraph (d).</w:t>
      </w:r>
    </w:p>
    <w:p>
      <w:pPr>
        <w:spacing w:after="0" w:line="192" w:lineRule="exact"/>
        <w:rPr>
          <w:sz w:val="20"/>
          <w:szCs w:val="20"/>
          <w:color w:val="auto"/>
        </w:rPr>
      </w:pPr>
    </w:p>
    <w:p>
      <w:pPr>
        <w:ind w:firstLine="987"/>
        <w:spacing w:after="0" w:line="266" w:lineRule="auto"/>
        <w:tabs>
          <w:tab w:leader="none" w:pos="1236" w:val="left"/>
        </w:tabs>
        <w:numPr>
          <w:ilvl w:val="0"/>
          <w:numId w:val="1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6 will remain in full force and effect, regardless of any investigation made by or on behalf of any Holder or the Issuers or any of the officers, directors or controlling Persons referred to in this Section 6 hereof, and will survive the sale by a Holder of securities covered by a Registration Statement.</w:t>
      </w:r>
    </w:p>
    <w:p>
      <w:pPr>
        <w:spacing w:after="0" w:line="176" w:lineRule="exact"/>
        <w:rPr>
          <w:sz w:val="20"/>
          <w:szCs w:val="20"/>
          <w:color w:val="auto"/>
        </w:rPr>
      </w:pPr>
    </w:p>
    <w:p>
      <w:pPr>
        <w:ind w:left="1160" w:hanging="173"/>
        <w:spacing w:after="0"/>
        <w:tabs>
          <w:tab w:leader="none" w:pos="1160"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Underwritten Registrations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987"/>
        <w:spacing w:after="0" w:line="282" w:lineRule="auto"/>
        <w:tabs>
          <w:tab w:leader="none" w:pos="123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of the Securities or Exchange Securities, as the case may be, covered by any Shelf Registration Statement are to be sold in an underwritten offering, the Managing Underwriters shall be selected by the Majority Holders.</w:t>
      </w:r>
    </w:p>
    <w:p>
      <w:pPr>
        <w:spacing w:after="0" w:line="161" w:lineRule="exact"/>
        <w:rPr>
          <w:rFonts w:ascii="Times New Roman" w:cs="Times New Roman" w:eastAsia="Times New Roman" w:hAnsi="Times New Roman"/>
          <w:sz w:val="18"/>
          <w:szCs w:val="18"/>
          <w:color w:val="auto"/>
        </w:rPr>
      </w:pPr>
    </w:p>
    <w:p>
      <w:pPr>
        <w:jc w:val="both"/>
        <w:ind w:right="100" w:firstLine="987"/>
        <w:spacing w:after="0" w:line="261" w:lineRule="auto"/>
        <w:tabs>
          <w:tab w:leader="none" w:pos="1246"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may participate in any underwritten offering pursuant to any Shelf Registration Statement, unless such Person (i) agrees to sell such Person’s Securities or Exchange Securities, as the case may be, on the basis reasonably provided in any underwriting arrangements approved by the Persons entitled hereunder to approve such arrangements; and (ii) completes and executes all questionnaires, powers of attorney, indemnities, underwriting agreements and other documents reasonably required under the terms of such underwriting arrangements.</w:t>
      </w:r>
    </w:p>
    <w:p>
      <w:pPr>
        <w:spacing w:after="0" w:line="180" w:lineRule="exact"/>
        <w:rPr>
          <w:sz w:val="20"/>
          <w:szCs w:val="20"/>
          <w:color w:val="auto"/>
        </w:rPr>
      </w:pPr>
    </w:p>
    <w:p>
      <w:pPr>
        <w:ind w:firstLine="987"/>
        <w:spacing w:after="0" w:line="261" w:lineRule="auto"/>
        <w:tabs>
          <w:tab w:leader="none" w:pos="1171"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Registration Defaults. The Issuers and the Initial Purchasers agree that the Holders will suffer damages if the Issuers fail to fulfill their obligations under Section 2 or Section 3 hereof and that it would not be feasible to ascertain the extent of such damages with precision. Accordingly, the Issuers agree to pay, jointly and severally, as liquidated damages, additional interest on the Notes (“Additional Interest”) under the circumstances and to the extent set forth below (each of which shall be given independent effect):</w:t>
      </w:r>
    </w:p>
    <w:p>
      <w:pPr>
        <w:spacing w:after="0" w:line="71"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108"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Registered Exchange Offer is not completed on or prior to the 360th day after the Issue Date, then commencing on the day after such date, Additional Interest shall accrue on the principal amount of the Securities at a rate of 0.25% per annum for the first 90 days immediately following each date, such Additional Interest rate increasing by an additional 0.25% per annum at the beginning of each subsequent 90-day period; or</w:t>
      </w:r>
    </w:p>
    <w:p>
      <w:pPr>
        <w:spacing w:after="0" w:line="71" w:lineRule="exact"/>
        <w:rPr>
          <w:rFonts w:ascii="Times New Roman" w:cs="Times New Roman" w:eastAsia="Times New Roman" w:hAnsi="Times New Roman"/>
          <w:sz w:val="18"/>
          <w:szCs w:val="18"/>
          <w:color w:val="auto"/>
        </w:rPr>
      </w:pPr>
    </w:p>
    <w:p>
      <w:pPr>
        <w:ind w:left="440" w:firstLine="419"/>
        <w:spacing w:after="0" w:line="256" w:lineRule="auto"/>
        <w:tabs>
          <w:tab w:leader="none" w:pos="1118"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Issuers are required by Section 3(a) hereof to file a Shelf Registration Statement and (i) such Shelf Registration Statement is not filed with the Commission by the date required by Section 3(b) hereof or (ii) such Shelf Registration Statement is not declared effective by the Commission on or prior to the 60th day following the date such Shelf Registration Statement was filed, then, commencing on the day after either such required date, Additional Interest shall accrue on the principal amount of the Securities at a rate of 0.25% per annum for the first 90 days immediately following such date, such Additional Interest rate increasing by an additional 0.25% per annum at the beginning of each subsequent 90-day period; or</w:t>
      </w:r>
    </w:p>
    <w:p>
      <w:pPr>
        <w:sectPr>
          <w:pgSz w:w="11900" w:h="16838" w:orient="portrait"/>
          <w:cols w:equalWidth="0" w:num="1">
            <w:col w:w="10960"/>
          </w:cols>
          <w:pgMar w:left="440" w:top="270" w:right="499" w:bottom="1440" w:gutter="0" w:footer="0" w:header="0"/>
        </w:sectPr>
      </w:pPr>
    </w:p>
    <w:bookmarkStart w:id="158" w:name="page159"/>
    <w:bookmarkEnd w:id="158"/>
    <w:p>
      <w:pPr>
        <w:ind w:left="444" w:right="60" w:firstLine="419"/>
        <w:spacing w:after="0" w:line="258" w:lineRule="auto"/>
        <w:tabs>
          <w:tab w:leader="none" w:pos="1112"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applicable, the Shelf Registration Statement has been declared effective and such Shelf Registration Statement ceases to be effective at any time prior to the one year anniversary of its effective date prior to all Securities covered by the Shelf Registration Statement having been sold, then Additional Interest shall accrue on the principal amount of the Securities at a rate of 0.25% per annum for the first 90 days commencing on the day such Shelf Registration Statement ceases to be effective, such Additional Interest rate increasing by an additional 0.25% per annum at the beginning of each subsequent 90-day period;</w:t>
      </w:r>
    </w:p>
    <w:p>
      <w:pPr>
        <w:spacing w:after="0" w:line="183" w:lineRule="exact"/>
        <w:rPr>
          <w:sz w:val="20"/>
          <w:szCs w:val="20"/>
          <w:color w:val="auto"/>
        </w:rPr>
      </w:pPr>
    </w:p>
    <w:p>
      <w:pPr>
        <w:ind w:left="4" w:right="60"/>
        <w:spacing w:after="0" w:line="272" w:lineRule="auto"/>
        <w:rPr>
          <w:sz w:val="20"/>
          <w:szCs w:val="20"/>
          <w:color w:val="auto"/>
        </w:rPr>
      </w:pPr>
      <w:r>
        <w:rPr>
          <w:rFonts w:ascii="Times New Roman" w:cs="Times New Roman" w:eastAsia="Times New Roman" w:hAnsi="Times New Roman"/>
          <w:sz w:val="17"/>
          <w:szCs w:val="17"/>
          <w:color w:val="auto"/>
        </w:rPr>
        <w:t xml:space="preserve">(each such event referred to in (a), (b) and (c), a “Registration Default”),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xml:space="preserve">, that the Additional Interest rate on the Securities shall not accrue under more than one Registration Default at any one time and at no time shall the aggregate amount of Additional Interest accruing exceed in the aggregate 1.0% per annum;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further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however</w:t>
      </w:r>
      <w:r>
        <w:rPr>
          <w:rFonts w:ascii="Times New Roman" w:cs="Times New Roman" w:eastAsia="Times New Roman" w:hAnsi="Times New Roman"/>
          <w:sz w:val="17"/>
          <w:szCs w:val="17"/>
          <w:color w:val="auto"/>
        </w:rPr>
        <w:t>, that (1) upon the completion of the Registered Exchange Offer (in the case of clause (a) above),</w:t>
      </w:r>
    </w:p>
    <w:p>
      <w:pPr>
        <w:spacing w:after="0" w:line="2" w:lineRule="exact"/>
        <w:rPr>
          <w:sz w:val="20"/>
          <w:szCs w:val="20"/>
          <w:color w:val="auto"/>
        </w:rPr>
      </w:pPr>
    </w:p>
    <w:p>
      <w:pPr>
        <w:ind w:left="4" w:right="20" w:hanging="4"/>
        <w:spacing w:after="0" w:line="253" w:lineRule="auto"/>
        <w:tabs>
          <w:tab w:leader="none" w:pos="259"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filing of the Shelf Registration Statement (in the case of clause (b)(i) above) or upon the effectiveness of the Shelf Registration Statement (in the case of clause (b)(ii) above), or (3) upon the effectiveness of the Shelf Registration Statement which had ceased to remain effective (in the case of clause (c)above), Additional Interest on the Securities as a result of such clause (or the relevant subclause thereof), as the case may be, shall cease to accrue. Any amounts of Additional Interest due as a result of a Registration Default shall be payable in cash on the same original interest payment dates as the Securities.</w:t>
      </w:r>
    </w:p>
    <w:p>
      <w:pPr>
        <w:spacing w:after="0" w:line="186" w:lineRule="exact"/>
        <w:rPr>
          <w:rFonts w:ascii="Times New Roman" w:cs="Times New Roman" w:eastAsia="Times New Roman" w:hAnsi="Times New Roman"/>
          <w:sz w:val="18"/>
          <w:szCs w:val="18"/>
          <w:color w:val="auto"/>
        </w:rPr>
      </w:pPr>
    </w:p>
    <w:p>
      <w:pPr>
        <w:ind w:left="4" w:right="40" w:firstLine="987"/>
        <w:spacing w:after="0" w:line="312" w:lineRule="auto"/>
        <w:tabs>
          <w:tab w:leader="none" w:pos="1175" w:val="left"/>
        </w:tabs>
        <w:numPr>
          <w:ilvl w:val="1"/>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Inconsistent Agreements</w:t>
      </w:r>
      <w:r>
        <w:rPr>
          <w:rFonts w:ascii="Times New Roman" w:cs="Times New Roman" w:eastAsia="Times New Roman" w:hAnsi="Times New Roman"/>
          <w:sz w:val="17"/>
          <w:szCs w:val="17"/>
          <w:color w:val="auto"/>
        </w:rPr>
        <w:t>. No Issuer has, as of the date hereof, entered into, nor shall it, on or after the date hereof, enter into, any agreement with respect to its securities that is inconsistent with the rights granted to the Holders herein or otherwise conflicts with the provisions hereof.</w:t>
      </w:r>
    </w:p>
    <w:p>
      <w:pPr>
        <w:spacing w:after="0" w:line="139" w:lineRule="exact"/>
        <w:rPr>
          <w:rFonts w:ascii="Times New Roman" w:cs="Times New Roman" w:eastAsia="Times New Roman" w:hAnsi="Times New Roman"/>
          <w:sz w:val="17"/>
          <w:szCs w:val="17"/>
          <w:color w:val="auto"/>
        </w:rPr>
      </w:pPr>
    </w:p>
    <w:p>
      <w:pPr>
        <w:ind w:left="4" w:firstLine="987"/>
        <w:spacing w:after="0" w:line="268" w:lineRule="auto"/>
        <w:tabs>
          <w:tab w:leader="none" w:pos="1265" w:val="left"/>
        </w:tabs>
        <w:numPr>
          <w:ilvl w:val="1"/>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Amendments and Waivers</w:t>
      </w:r>
      <w:r>
        <w:rPr>
          <w:rFonts w:ascii="Times New Roman" w:cs="Times New Roman" w:eastAsia="Times New Roman" w:hAnsi="Times New Roman"/>
          <w:sz w:val="17"/>
          <w:szCs w:val="17"/>
          <w:color w:val="auto"/>
        </w:rPr>
        <w:t xml:space="preserve">. The provisions of this Agreement, including the provisions of this sentence, may not be amended, qualified, modified or supplemented, and waivers or consents to departures from the provisions hereof may not be given, unless the Issuers have obtained the written consent of the Majority Holders;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with respect to any matter that directly or indirectly affects the rights of any Initial Purchaser hereunder, the Issuers shall obtain the written consent of each Initial Purchaser against which such amendment, qualification, supplement, waiver or consent is to be effective provided, further, that no amendment, qualification, supplement, waiver or consent with respect to Section 8 hereof shall be effective as against any Holder of Securities unless consented to in writing by such Holder; and provided, further, that the provisions of this Article</w:t>
      </w:r>
    </w:p>
    <w:p>
      <w:pPr>
        <w:spacing w:after="0" w:line="4" w:lineRule="exact"/>
        <w:rPr>
          <w:rFonts w:ascii="Times New Roman" w:cs="Times New Roman" w:eastAsia="Times New Roman" w:hAnsi="Times New Roman"/>
          <w:sz w:val="17"/>
          <w:szCs w:val="17"/>
          <w:color w:val="auto"/>
        </w:rPr>
      </w:pPr>
    </w:p>
    <w:p>
      <w:pPr>
        <w:ind w:left="4" w:right="20"/>
        <w:spacing w:after="0" w:line="25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10 may not be amended, qualified, modified or supplemented, and waivers or consents to departures from the provisions hereof may not be given, unless the Issuers have obtained the written consent of the Initial Purchasers and each Holder. Notwithstanding the foregoing (except the foregoing proviso), a waiver or consent to departure from the provisions hereof with respect to a matter that relates exclusively to the rights of Holders whose Securities or Exchange Securities, as the case may be, are being sold pursuant to a Registration Statement and that does not directly or indirectly affect the rights of other Holders may be given by the Majority Holders, determined on the basis of Securities or Exchange Securities, as the case may be, being sold rather than registered under such Registration Statement.</w:t>
      </w:r>
    </w:p>
    <w:p>
      <w:pPr>
        <w:sectPr>
          <w:pgSz w:w="11900" w:h="16838" w:orient="portrait"/>
          <w:cols w:equalWidth="0" w:num="1">
            <w:col w:w="11024"/>
          </w:cols>
          <w:pgMar w:left="436" w:top="270" w:right="439" w:bottom="1440" w:gutter="0" w:footer="0" w:header="0"/>
        </w:sectPr>
      </w:pPr>
    </w:p>
    <w:bookmarkStart w:id="159" w:name="page160"/>
    <w:bookmarkEnd w:id="159"/>
    <w:p>
      <w:pPr>
        <w:ind w:right="240" w:firstLine="987"/>
        <w:spacing w:after="0" w:line="282" w:lineRule="auto"/>
        <w:tabs>
          <w:tab w:leader="none" w:pos="1254"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Notices</w:t>
      </w:r>
      <w:r>
        <w:rPr>
          <w:rFonts w:ascii="Times New Roman" w:cs="Times New Roman" w:eastAsia="Times New Roman" w:hAnsi="Times New Roman"/>
          <w:sz w:val="18"/>
          <w:szCs w:val="18"/>
          <w:color w:val="auto"/>
        </w:rPr>
        <w:t>. All notices and other communications provided for or permitted hereunder shall be made in writing by hand-delivery, first-class mail, telex, telecopier or air courier guaranteeing overnight delivery:</w:t>
      </w:r>
    </w:p>
    <w:p>
      <w:pPr>
        <w:spacing w:after="0" w:line="53"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08"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 Holder, at the most current address given by such holder to the Issuers in accordance with the provisions of this Section 11, which address initially is, with respect to each Holder, the address of such Holder maintained by the Registrar under the Indenture, with a copy in like manner to BofA Securities, Inc.;</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you, initially at the respective addresses set forth in the Purchase Agreement; and</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the Issuers, initially at their address set forth in the Purchase Agreement.</w:t>
      </w:r>
    </w:p>
    <w:p>
      <w:pPr>
        <w:spacing w:after="0" w:line="225"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All such notices and communications shall be deemed to have been duly given when received.</w:t>
      </w:r>
    </w:p>
    <w:p>
      <w:pPr>
        <w:spacing w:after="0" w:line="225" w:lineRule="exact"/>
        <w:rPr>
          <w:sz w:val="20"/>
          <w:szCs w:val="20"/>
          <w:color w:val="auto"/>
        </w:rPr>
      </w:pPr>
    </w:p>
    <w:p>
      <w:pPr>
        <w:ind w:right="20" w:firstLine="991"/>
        <w:spacing w:after="0" w:line="282" w:lineRule="auto"/>
        <w:rPr>
          <w:sz w:val="20"/>
          <w:szCs w:val="20"/>
          <w:color w:val="auto"/>
        </w:rPr>
      </w:pPr>
      <w:r>
        <w:rPr>
          <w:rFonts w:ascii="Times New Roman" w:cs="Times New Roman" w:eastAsia="Times New Roman" w:hAnsi="Times New Roman"/>
          <w:sz w:val="18"/>
          <w:szCs w:val="18"/>
          <w:color w:val="auto"/>
        </w:rPr>
        <w:t>The Initial Purchasers or the Issuers by notice to the other parties may designate additional or different addresses for subsequent notices or communications.</w:t>
      </w:r>
    </w:p>
    <w:p>
      <w:pPr>
        <w:spacing w:after="0" w:line="162" w:lineRule="exact"/>
        <w:rPr>
          <w:sz w:val="20"/>
          <w:szCs w:val="20"/>
          <w:color w:val="auto"/>
        </w:rPr>
      </w:pPr>
    </w:p>
    <w:p>
      <w:pPr>
        <w:ind w:right="140" w:firstLine="987"/>
        <w:spacing w:after="0" w:line="261" w:lineRule="auto"/>
        <w:tabs>
          <w:tab w:leader="none" w:pos="1261"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w:t>
      </w:r>
      <w:r>
        <w:rPr>
          <w:rFonts w:ascii="Times New Roman" w:cs="Times New Roman" w:eastAsia="Times New Roman" w:hAnsi="Times New Roman"/>
          <w:sz w:val="18"/>
          <w:szCs w:val="18"/>
          <w:color w:val="auto"/>
        </w:rPr>
        <w:t>. This Agreement shall inure to the benefit of and be binding upon the successors and assigns of each of the parties hereto, including, without the need for an express assignment or any consent by the Issuers thereto, subsequent Holders of Securities and the Exchange Securities. The Issuers hereby agree to extend the benefits of this Agreement to any Holder of Securities or the Exchange Securities, and any such Holder may specifically enforce the provisions of this Agreement as if an original party hereto.</w:t>
      </w:r>
    </w:p>
    <w:p>
      <w:pPr>
        <w:spacing w:after="0" w:line="179" w:lineRule="exact"/>
        <w:rPr>
          <w:rFonts w:ascii="Times New Roman" w:cs="Times New Roman" w:eastAsia="Times New Roman" w:hAnsi="Times New Roman"/>
          <w:sz w:val="18"/>
          <w:szCs w:val="18"/>
          <w:color w:val="auto"/>
        </w:rPr>
      </w:pPr>
    </w:p>
    <w:p>
      <w:pPr>
        <w:ind w:right="60" w:firstLine="987"/>
        <w:spacing w:after="0" w:line="258" w:lineRule="auto"/>
        <w:tabs>
          <w:tab w:leader="none" w:pos="1261"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in signed counterparts, each of which shall an original and all of which together shall constitute one and the same agreement. Delivery of an executed counterpart of a signature page to this Agreement by telecopier, facsimile or other electronic transmission (i.e., a “pdf” or “tif”) complying with the U.S. federal ESIGN Act of 2000 or the New York Electronic Signature and Records Act shall be deemed to have been duly and validly delivered and be valid and effective for all purposes to the fullest extent permitted by applicable law and shall be effective as delivery of a manually executed counterpart to this Agreement.</w:t>
      </w:r>
    </w:p>
    <w:p>
      <w:pPr>
        <w:spacing w:after="0" w:line="183" w:lineRule="exact"/>
        <w:rPr>
          <w:rFonts w:ascii="Times New Roman" w:cs="Times New Roman" w:eastAsia="Times New Roman" w:hAnsi="Times New Roman"/>
          <w:sz w:val="18"/>
          <w:szCs w:val="18"/>
          <w:color w:val="auto"/>
        </w:rPr>
      </w:pPr>
    </w:p>
    <w:p>
      <w:pPr>
        <w:ind w:left="1260" w:hanging="273"/>
        <w:spacing w:after="0"/>
        <w:tabs>
          <w:tab w:leader="none" w:pos="126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The headings used herein are for convenience only and shall not affect the construction hereof.</w:t>
      </w:r>
    </w:p>
    <w:p>
      <w:pPr>
        <w:spacing w:after="0" w:line="225" w:lineRule="exact"/>
        <w:rPr>
          <w:rFonts w:ascii="Times New Roman" w:cs="Times New Roman" w:eastAsia="Times New Roman" w:hAnsi="Times New Roman"/>
          <w:sz w:val="18"/>
          <w:szCs w:val="18"/>
          <w:color w:val="auto"/>
        </w:rPr>
      </w:pPr>
    </w:p>
    <w:p>
      <w:pPr>
        <w:ind w:right="60" w:firstLine="987"/>
        <w:spacing w:after="0" w:line="282" w:lineRule="auto"/>
        <w:tabs>
          <w:tab w:leader="none" w:pos="1261"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Applicable Law</w:t>
      </w:r>
      <w:r>
        <w:rPr>
          <w:rFonts w:ascii="Times New Roman" w:cs="Times New Roman" w:eastAsia="Times New Roman" w:hAnsi="Times New Roman"/>
          <w:sz w:val="18"/>
          <w:szCs w:val="18"/>
          <w:color w:val="auto"/>
        </w:rPr>
        <w:t>. This Agreement shall be governed by and construed in accordance with the laws of the State of New York applicable to contracts made and to be performed in the State of New York.</w:t>
      </w:r>
    </w:p>
    <w:p>
      <w:pPr>
        <w:spacing w:after="0" w:line="161" w:lineRule="exact"/>
        <w:rPr>
          <w:rFonts w:ascii="Times New Roman" w:cs="Times New Roman" w:eastAsia="Times New Roman" w:hAnsi="Times New Roman"/>
          <w:sz w:val="18"/>
          <w:szCs w:val="18"/>
          <w:color w:val="auto"/>
        </w:rPr>
      </w:pPr>
    </w:p>
    <w:p>
      <w:pPr>
        <w:ind w:right="140" w:firstLine="987"/>
        <w:spacing w:after="0" w:line="261" w:lineRule="auto"/>
        <w:tabs>
          <w:tab w:leader="none" w:pos="1261"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In the event that any one of more of the provisions contained herein, or the application thereof in any circumstances, is held invalid, illegal or unenforceable in any respect for any reason, the validity, legality and enforceability of any such provision in every other respect and of the remaining provisions hereof shall not be in any way impaired or affected thereby, it being intended that all of the rights and privileges of the parties shall be enforceable to the fullest extent permitted by law.</w:t>
      </w:r>
    </w:p>
    <w:p>
      <w:pPr>
        <w:spacing w:after="0" w:line="179" w:lineRule="exact"/>
        <w:rPr>
          <w:rFonts w:ascii="Times New Roman" w:cs="Times New Roman" w:eastAsia="Times New Roman" w:hAnsi="Times New Roman"/>
          <w:sz w:val="18"/>
          <w:szCs w:val="18"/>
          <w:color w:val="auto"/>
        </w:rPr>
      </w:pPr>
    </w:p>
    <w:p>
      <w:pPr>
        <w:ind w:firstLine="987"/>
        <w:spacing w:after="0" w:line="258" w:lineRule="auto"/>
        <w:tabs>
          <w:tab w:leader="none" w:pos="1261"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Securities Held by the Issuers, etc</w:t>
      </w:r>
      <w:r>
        <w:rPr>
          <w:rFonts w:ascii="Times New Roman" w:cs="Times New Roman" w:eastAsia="Times New Roman" w:hAnsi="Times New Roman"/>
          <w:sz w:val="18"/>
          <w:szCs w:val="18"/>
          <w:color w:val="auto"/>
        </w:rPr>
        <w:t>. Whenever the consent or approval of Holders of a specified percentage of principal amount of Securities or Exchange Securities is required hereunder, Securities or Exchange Securities, as applicable, held by any Issuer or its Affiliates (other than subsequent Holders of Securities or Exchange Securities if such subsequent Holders are deemed to be Affiliates solely by reason of their holdings of such Securities or Exchange Securities) shall not be counted in determining whether such consent or approval was given by the Holders of such required percentage.</w:t>
      </w:r>
    </w:p>
    <w:p>
      <w:pPr>
        <w:sectPr>
          <w:pgSz w:w="11900" w:h="16838" w:orient="portrait"/>
          <w:cols w:equalWidth="0" w:num="1">
            <w:col w:w="10980"/>
          </w:cols>
          <w:pgMar w:left="440" w:top="270" w:right="479" w:bottom="1440" w:gutter="0" w:footer="0" w:header="0"/>
        </w:sectPr>
      </w:pPr>
    </w:p>
    <w:bookmarkStart w:id="160" w:name="page161"/>
    <w:bookmarkEnd w:id="160"/>
    <w:p>
      <w:pPr>
        <w:ind w:firstLine="991"/>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the foregoing is in accordance with your understanding of our agreement, please sign and return to us the enclosed duplicate hereof, whereupon this Agreement and your acceptance shall represent a binding agreement among the Issuers and the several Initial Purchasers.</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Crown Holdings, Inc.</w:t>
      </w:r>
    </w:p>
    <w:p>
      <w:pPr>
        <w:spacing w:after="0" w:line="225" w:lineRule="exact"/>
        <w:rPr>
          <w:sz w:val="20"/>
          <w:szCs w:val="20"/>
          <w:color w:val="auto"/>
        </w:rPr>
      </w:pPr>
    </w:p>
    <w:p>
      <w:pPr>
        <w:ind w:left="6620"/>
        <w:spacing w:after="0"/>
        <w:tabs>
          <w:tab w:leader="none" w:pos="7080" w:val="left"/>
        </w:tabs>
        <w:rPr>
          <w:sz w:val="20"/>
          <w:szCs w:val="20"/>
          <w:color w:val="auto"/>
        </w:rPr>
      </w:pPr>
      <w:r>
        <w:rPr>
          <w:rFonts w:ascii="Times New Roman" w:cs="Times New Roman" w:eastAsia="Times New Roman" w:hAnsi="Times New Roman"/>
          <w:sz w:val="18"/>
          <w:szCs w:val="18"/>
          <w:color w:val="auto"/>
        </w:rPr>
        <w:t>By:</w:t>
        <w:tab/>
        <w:t>/s/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17145</wp:posOffset>
            </wp:positionV>
            <wp:extent cx="252031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520315" cy="8255"/>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Vice President &amp; Treasurer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Crown Americas LLC</w:t>
      </w:r>
    </w:p>
    <w:p>
      <w:pPr>
        <w:spacing w:after="0" w:line="225" w:lineRule="exact"/>
        <w:rPr>
          <w:sz w:val="20"/>
          <w:szCs w:val="20"/>
          <w:color w:val="auto"/>
        </w:rPr>
      </w:pPr>
    </w:p>
    <w:p>
      <w:pPr>
        <w:ind w:left="6620"/>
        <w:spacing w:after="0"/>
        <w:tabs>
          <w:tab w:leader="none" w:pos="7080" w:val="left"/>
        </w:tabs>
        <w:rPr>
          <w:sz w:val="20"/>
          <w:szCs w:val="20"/>
          <w:color w:val="auto"/>
        </w:rPr>
      </w:pPr>
      <w:r>
        <w:rPr>
          <w:rFonts w:ascii="Times New Roman" w:cs="Times New Roman" w:eastAsia="Times New Roman" w:hAnsi="Times New Roman"/>
          <w:sz w:val="18"/>
          <w:szCs w:val="18"/>
          <w:color w:val="auto"/>
        </w:rPr>
        <w:t>By:</w:t>
        <w:tab/>
        <w:t>/s/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17145</wp:posOffset>
            </wp:positionV>
            <wp:extent cx="2520315"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2520315" cy="8890"/>
                    </a:xfrm>
                    <a:prstGeom prst="rect">
                      <a:avLst/>
                    </a:prstGeom>
                    <a:noFill/>
                  </pic:spPr>
                </pic:pic>
              </a:graphicData>
            </a:graphic>
          </wp:anchor>
        </w:drawing>
      </w:r>
    </w:p>
    <w:p>
      <w:pPr>
        <w:spacing w:after="0" w:line="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 Vice President &amp; Treasurer</w:t>
      </w:r>
    </w:p>
    <w:p>
      <w:pPr>
        <w:spacing w:after="0" w:line="20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Registration Rights Agreement</w:t>
      </w:r>
      <w:r>
        <w:rPr>
          <w:rFonts w:ascii="Times New Roman" w:cs="Times New Roman" w:eastAsia="Times New Roman" w:hAnsi="Times New Roman"/>
          <w:sz w:val="18"/>
          <w:szCs w:val="18"/>
          <w:color w:val="auto"/>
        </w:rPr>
        <w:t>]</w:t>
      </w:r>
    </w:p>
    <w:p>
      <w:pPr>
        <w:sectPr>
          <w:pgSz w:w="11900" w:h="16838" w:orient="portrait"/>
          <w:cols w:equalWidth="0" w:num="1">
            <w:col w:w="10640"/>
          </w:cols>
          <w:pgMar w:left="440" w:top="270" w:right="819" w:bottom="1440" w:gutter="0" w:footer="0" w:header="0"/>
        </w:sectPr>
      </w:pPr>
    </w:p>
    <w:bookmarkStart w:id="161" w:name="page162"/>
    <w:bookmarkEnd w:id="161"/>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GUARANTORS:</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 USA, Inc.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CROWN Beverage Packaging Puerto Rico, Inc.</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Consultants,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Financial Corporation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Cork &amp; Seal Company (DE),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Foreign Manufacturers Finance Corporation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Cork &amp; Seal Company,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International Holdings,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Packaging Technology, Inc.</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 &amp; Treasurer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Cork &amp; Seal USA, Inc.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Beverage Packaging, LLC</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Assistant Treasurer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Industrial Group US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Crown Beverage Holdings, Inc.</w:t>
      </w:r>
    </w:p>
    <w:p>
      <w:pPr>
        <w:spacing w:after="0" w:line="22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13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Registration Rights Agreement</w:t>
      </w:r>
      <w:r>
        <w:rPr>
          <w:rFonts w:ascii="Times New Roman" w:cs="Times New Roman" w:eastAsia="Times New Roman" w:hAnsi="Times New Roman"/>
          <w:sz w:val="18"/>
          <w:szCs w:val="18"/>
          <w:color w:val="auto"/>
        </w:rPr>
        <w:t>]</w:t>
      </w:r>
    </w:p>
    <w:p>
      <w:pPr>
        <w:sectPr>
          <w:pgSz w:w="11900" w:h="16838" w:orient="portrait"/>
          <w:cols w:equalWidth="0" w:num="1">
            <w:col w:w="9060"/>
          </w:cols>
          <w:pgMar w:left="1440" w:top="270" w:right="1399" w:bottom="1440" w:gutter="0" w:footer="0" w:header="0"/>
        </w:sectPr>
      </w:pPr>
    </w:p>
    <w:bookmarkStart w:id="162" w:name="page163"/>
    <w:bookmarkEnd w:id="162"/>
    <w:p>
      <w:pPr>
        <w:ind w:left="56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Signode Industrial Group LLC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Pickling Holding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US IP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Industrial Group Holdings US Inc.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Signode International IP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Simplimatic Automation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Simplimatic Engineering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SHE Real Estate Holdings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 International Holding LLC</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SE International Holdings II LLC</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David A. Beaver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7"/>
          <w:szCs w:val="17"/>
          <w:color w:val="auto"/>
        </w:rPr>
        <w:t>Title: Vice President &amp; Assistant Treasurer</w:t>
      </w:r>
    </w:p>
    <w:p>
      <w:pPr>
        <w:spacing w:after="0" w:line="149"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Registration Rights Agreement</w:t>
      </w:r>
      <w:r>
        <w:rPr>
          <w:rFonts w:ascii="Times New Roman" w:cs="Times New Roman" w:eastAsia="Times New Roman" w:hAnsi="Times New Roman"/>
          <w:sz w:val="18"/>
          <w:szCs w:val="18"/>
          <w:color w:val="auto"/>
        </w:rPr>
        <w:t>]</w:t>
      </w:r>
    </w:p>
    <w:p>
      <w:pPr>
        <w:sectPr>
          <w:pgSz w:w="11900" w:h="16838" w:orient="portrait"/>
          <w:cols w:equalWidth="0" w:num="1">
            <w:col w:w="9060"/>
          </w:cols>
          <w:pgMar w:left="1440" w:top="270" w:right="139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foregoing Agreement is hereby confirmed and accepted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first above written.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BOFA SECURITIES,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/s/ James Dallas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wp:posOffset>
            </wp:positionH>
            <wp:positionV relativeFrom="paragraph">
              <wp:posOffset>17145</wp:posOffset>
            </wp:positionV>
            <wp:extent cx="259715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Name: James Dallas</w:t>
      </w:r>
    </w:p>
    <w:p>
      <w:pPr>
        <w:spacing w:after="0" w:line="2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itself and the other several Initial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Purchasers named in Schedule I to the foregoing Agreement.</w:t>
      </w:r>
    </w:p>
    <w:p>
      <w:pPr>
        <w:spacing w:after="0" w:line="137" w:lineRule="exact"/>
        <w:rPr>
          <w:sz w:val="20"/>
          <w:szCs w:val="20"/>
          <w:color w:val="auto"/>
        </w:rPr>
      </w:pPr>
    </w:p>
    <w:p>
      <w:pPr>
        <w:jc w:val="right"/>
        <w:ind w:right="267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to Registration Rights Agreement</w:t>
      </w:r>
      <w:r>
        <w:rPr>
          <w:rFonts w:ascii="Times New Roman" w:cs="Times New Roman" w:eastAsia="Times New Roman" w:hAnsi="Times New Roman"/>
          <w:sz w:val="18"/>
          <w:szCs w:val="18"/>
          <w:color w:val="auto"/>
        </w:rPr>
        <w:t>]</w:t>
      </w:r>
    </w:p>
    <w:p>
      <w:pPr>
        <w:sectPr>
          <w:pgSz w:w="11900" w:h="16838" w:orient="portrait"/>
          <w:cols w:equalWidth="0" w:num="1">
            <w:col w:w="10019"/>
          </w:cols>
          <w:pgMar w:left="440" w:top="270" w:right="1440" w:bottom="1440" w:gutter="0" w:footer="0" w:header="0"/>
        </w:sectPr>
      </w:pPr>
    </w:p>
    <w:bookmarkStart w:id="164" w:name="page165"/>
    <w:bookmarkEnd w:id="164"/>
    <w:p>
      <w:pPr>
        <w:ind w:left="1020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A</w:t>
      </w:r>
    </w:p>
    <w:p>
      <w:pPr>
        <w:spacing w:after="0" w:line="225" w:lineRule="exact"/>
        <w:rPr>
          <w:sz w:val="20"/>
          <w:szCs w:val="20"/>
          <w:color w:val="auto"/>
        </w:rPr>
      </w:pPr>
    </w:p>
    <w:p>
      <w:pPr>
        <w:ind w:right="140" w:firstLine="991"/>
        <w:spacing w:after="0" w:line="255" w:lineRule="auto"/>
        <w:rPr>
          <w:sz w:val="20"/>
          <w:szCs w:val="20"/>
          <w:color w:val="auto"/>
        </w:rPr>
      </w:pPr>
      <w:r>
        <w:rPr>
          <w:rFonts w:ascii="Times New Roman" w:cs="Times New Roman" w:eastAsia="Times New Roman" w:hAnsi="Times New Roman"/>
          <w:sz w:val="18"/>
          <w:szCs w:val="18"/>
          <w:color w:val="auto"/>
        </w:rPr>
        <w:t>Each Broker-Dealer that receives Exchange Securities for its own account pursuant to the Exchange Offer must acknowledge that it will deliver a prospectus in connection with any resale of such Exchange Securities. The Letter of Transmittal states that by so acknowledging and by delivering a prospectus, a Broker-Dealer will not be deemed to admit that it is an “underwriter” within the meaning of the Act. This Prospectus, as it may be amended or supplemented from time to time, may be used by a Broker-Dealer in connection with resales of Exchange Securities received in exchange for Securities where such Securities were acquired by such Broker-Dealer as a result of market-making activities or other trading activities. The Issuers have agreed that, starting on the Expiration Date (as defined herein) and ending on the close of business one year after the Expiration Date, they will make this Prospectus available to any Broker-Dealer for use in connection with any such resale. See “Plan of Distribution.”</w:t>
      </w:r>
    </w:p>
    <w:p>
      <w:pPr>
        <w:sectPr>
          <w:pgSz w:w="11900" w:h="16838" w:orient="portrait"/>
          <w:cols w:equalWidth="0" w:num="1">
            <w:col w:w="11020"/>
          </w:cols>
          <w:pgMar w:left="440" w:top="270" w:right="439" w:bottom="1440" w:gutter="0" w:footer="0" w:header="0"/>
        </w:sectPr>
      </w:pPr>
    </w:p>
    <w:bookmarkStart w:id="165" w:name="page166"/>
    <w:bookmarkEnd w:id="165"/>
    <w:p>
      <w:pPr>
        <w:ind w:left="102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B</w:t>
      </w:r>
    </w:p>
    <w:p>
      <w:pPr>
        <w:spacing w:after="0" w:line="225" w:lineRule="exact"/>
        <w:rPr>
          <w:sz w:val="20"/>
          <w:szCs w:val="20"/>
          <w:color w:val="auto"/>
        </w:rPr>
      </w:pPr>
    </w:p>
    <w:p>
      <w:pPr>
        <w:jc w:val="both"/>
        <w:ind w:right="20" w:firstLine="991"/>
        <w:spacing w:after="0" w:line="266" w:lineRule="auto"/>
        <w:rPr>
          <w:sz w:val="20"/>
          <w:szCs w:val="20"/>
          <w:color w:val="auto"/>
        </w:rPr>
      </w:pPr>
      <w:r>
        <w:rPr>
          <w:rFonts w:ascii="Times New Roman" w:cs="Times New Roman" w:eastAsia="Times New Roman" w:hAnsi="Times New Roman"/>
          <w:sz w:val="18"/>
          <w:szCs w:val="18"/>
          <w:color w:val="auto"/>
        </w:rPr>
        <w:t>Each Broker-Dealer that receives Exchange Securities for its own account in exchange for Securities, where such Securities were acquired by such Broker-Dealer as a result of market-making activities or other trading activities, must acknowledge that it will deliver a prospectus in connection with any resale of such Exchange Securities. See “Plan of Distribution.”</w:t>
      </w:r>
    </w:p>
    <w:p>
      <w:pPr>
        <w:sectPr>
          <w:pgSz w:w="11900" w:h="16838" w:orient="portrait"/>
          <w:cols w:equalWidth="0" w:num="1">
            <w:col w:w="11020"/>
          </w:cols>
          <w:pgMar w:left="440" w:top="270" w:right="439" w:bottom="1440" w:gutter="0" w:footer="0" w:header="0"/>
        </w:sectPr>
      </w:pPr>
    </w:p>
    <w:bookmarkStart w:id="166" w:name="page167"/>
    <w:bookmarkEnd w:id="166"/>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Plan of Distribution</w:t>
      </w:r>
    </w:p>
    <w:p>
      <w:pPr>
        <w:spacing w:after="0" w:line="225" w:lineRule="exact"/>
        <w:rPr>
          <w:sz w:val="20"/>
          <w:szCs w:val="20"/>
          <w:color w:val="auto"/>
        </w:rPr>
      </w:pPr>
    </w:p>
    <w:p>
      <w:pPr>
        <w:ind w:right="20" w:firstLine="991"/>
        <w:spacing w:after="0" w:line="255" w:lineRule="auto"/>
        <w:rPr>
          <w:sz w:val="20"/>
          <w:szCs w:val="20"/>
          <w:color w:val="auto"/>
        </w:rPr>
      </w:pPr>
      <w:r>
        <w:rPr>
          <w:rFonts w:ascii="Times New Roman" w:cs="Times New Roman" w:eastAsia="Times New Roman" w:hAnsi="Times New Roman"/>
          <w:sz w:val="18"/>
          <w:szCs w:val="18"/>
          <w:color w:val="auto"/>
        </w:rPr>
        <w:t>Each Broker-Dealer that receives Exchange Securities for its own account pursuant to the Exchange Offer must acknowledge that it will deliver a prospectus in connection with any resale of such Exchange Securities. This Prospectus, as it may be amended or supplemented from time to time, may be used by a Broker-Dealer in connection with resales of Exchange Securities received in exchange for Securities where such Securities were acquired as a result of market-making activities or other trading activities. The Issuers have agreed that, starting on the Expiration Date and ending on the close of business one year after the Expiration Date, they will make this Prospectus, as amended or supplemented, available to any Broker-Dealer for use in connection with any such resale. In addition, until __________, 202_, all dealers effecting transactions in the Exchange Securities may be required to deliver a prospectus.</w:t>
      </w:r>
    </w:p>
    <w:p>
      <w:pPr>
        <w:spacing w:after="0" w:line="189" w:lineRule="exact"/>
        <w:rPr>
          <w:sz w:val="20"/>
          <w:szCs w:val="20"/>
          <w:color w:val="auto"/>
        </w:rPr>
      </w:pPr>
    </w:p>
    <w:p>
      <w:pPr>
        <w:ind w:right="120" w:firstLine="991"/>
        <w:spacing w:after="0" w:line="270" w:lineRule="auto"/>
        <w:rPr>
          <w:sz w:val="20"/>
          <w:szCs w:val="20"/>
          <w:color w:val="auto"/>
        </w:rPr>
      </w:pPr>
      <w:r>
        <w:rPr>
          <w:rFonts w:ascii="Times New Roman" w:cs="Times New Roman" w:eastAsia="Times New Roman" w:hAnsi="Times New Roman"/>
          <w:sz w:val="17"/>
          <w:szCs w:val="17"/>
          <w:color w:val="auto"/>
        </w:rPr>
        <w:t>The Issuers will not receive any proceeds from any sale of Exchange Securities by Brokers-Dealers. Exchange Securities received by Broker-Dealers for their own account pursuant to the Exchange Offer may be sold from time to time in one or more transactions in the over-the-counter market, in negotiated transactions, through the writing of options on the Exchange Securities or a combination of such methods of resale, at market prices prevailing at the time of resale, at prices related to such prevailing market prices or negotiated prices. Any such resale may be made directly to purchasers or to or through brokers or dealers who may receive compensation in the form of commissions or concessions from any such Broker-Dealer and/or the purchasers of any such Exchange Securities. Any Broker-Dealer that resells Exchange Securities that were received by it for its own account pursuant to the Exchange Offer and any broker or dealer that participates in a distribution of such Exchange Securities may be deemed to be an “underwriter” within the meaning of the Act and any profit of any such resale of Exchange Securities and any commissions or concessions received by any such Persons may be deemed to be underwriting compensation under the Act. The Letter of Transmittal states that by acknowledging that it will deliver and by delivering a prospectus, a Broker-Dealer will not be deemed to admit that it is an “underwriter” within the meaning of the Act.</w:t>
      </w:r>
    </w:p>
    <w:p>
      <w:pPr>
        <w:spacing w:after="0" w:line="177" w:lineRule="exact"/>
        <w:rPr>
          <w:sz w:val="20"/>
          <w:szCs w:val="20"/>
          <w:color w:val="auto"/>
        </w:rPr>
      </w:pPr>
    </w:p>
    <w:p>
      <w:pPr>
        <w:ind w:right="120" w:firstLine="991"/>
        <w:spacing w:after="0" w:line="258" w:lineRule="auto"/>
        <w:rPr>
          <w:sz w:val="20"/>
          <w:szCs w:val="20"/>
          <w:color w:val="auto"/>
        </w:rPr>
      </w:pPr>
      <w:r>
        <w:rPr>
          <w:rFonts w:ascii="Times New Roman" w:cs="Times New Roman" w:eastAsia="Times New Roman" w:hAnsi="Times New Roman"/>
          <w:sz w:val="18"/>
          <w:szCs w:val="18"/>
          <w:color w:val="auto"/>
        </w:rPr>
        <w:t>For a period of one year after the Expiration Date, the Issuers will promptly send additional copies of this Prospectus and any amendment or supplement to this Prospectus to any Broker-Dealer that requests such documents in the Letter of Transmittal. The Issuers have agreed to pay all expenses incident to the Exchange Offer (including the expenses of one counsel for the holder of the Securities) other than commissions or concessions of any brokers or dealers and will indemnify the holders of the Securities (including any Broker-Dealers) against certain liabilities, including liabilities under the Act.</w:t>
      </w:r>
    </w:p>
    <w:p>
      <w:pPr>
        <w:spacing w:after="0" w:line="183"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If applicable, add information required by Regulation S-K Items 507 and/or 508.</w:t>
      </w:r>
    </w:p>
    <w:p>
      <w:pPr>
        <w:sectPr>
          <w:pgSz w:w="11900" w:h="16838" w:orient="portrait"/>
          <w:cols w:equalWidth="0" w:num="1">
            <w:col w:w="11020"/>
          </w:cols>
          <w:pgMar w:left="440" w:top="270" w:right="439" w:bottom="1440" w:gutter="0" w:footer="0" w:header="0"/>
        </w:sectPr>
      </w:pPr>
    </w:p>
    <w:bookmarkStart w:id="167" w:name="page168"/>
    <w:bookmarkEnd w:id="167"/>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D</w:t>
      </w:r>
    </w:p>
    <w:p>
      <w:pPr>
        <w:spacing w:after="0" w:line="252" w:lineRule="exact"/>
        <w:rPr>
          <w:sz w:val="20"/>
          <w:szCs w:val="20"/>
          <w:color w:val="auto"/>
        </w:rPr>
      </w:pPr>
    </w:p>
    <w:p>
      <w:pPr>
        <w:spacing w:after="0"/>
        <w:tabs>
          <w:tab w:leader="none" w:pos="520" w:val="left"/>
        </w:tabs>
        <w:rPr>
          <w:sz w:val="20"/>
          <w:szCs w:val="20"/>
          <w:color w:val="auto"/>
        </w:rPr>
      </w:pPr>
      <w:r>
        <w:rPr>
          <w:rFonts w:ascii="Times New Roman" w:cs="Times New Roman" w:eastAsia="Times New Roman" w:hAnsi="Times New Roman"/>
          <w:sz w:val="18"/>
          <w:szCs w:val="18"/>
          <w:color w:val="auto"/>
        </w:rPr>
        <w:t>[   ]</w:t>
      </w:r>
      <w:r>
        <w:rPr>
          <w:sz w:val="20"/>
          <w:szCs w:val="20"/>
          <w:color w:val="auto"/>
        </w:rPr>
        <w:tab/>
      </w:r>
      <w:r>
        <w:rPr>
          <w:rFonts w:ascii="Times New Roman" w:cs="Times New Roman" w:eastAsia="Times New Roman" w:hAnsi="Times New Roman"/>
          <w:sz w:val="17"/>
          <w:szCs w:val="17"/>
          <w:color w:val="auto"/>
        </w:rPr>
        <w:t>CHECK HERE IF YOU ARE A BROKER-DEALER AND</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WISH TO RECEIVE 10 ADDITIONAL COPIES OF THE PROSPECTUS</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AND 10 COPIES OF ANY AMENDMENTS</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OR SUPPLEMENTS THERETO.</w:t>
      </w:r>
    </w:p>
    <w:p>
      <w:pPr>
        <w:spacing w:after="0" w:line="20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Name:       _________________________________________</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Address:   _________________________________________</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_________________________________________</w:t>
      </w:r>
    </w:p>
    <w:p>
      <w:pPr>
        <w:spacing w:after="0" w:line="207"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If the undersigned is not a Broker-Dealer, the undersigned represents that it acquired the Exchange Securities in the ordinary course of its business, it is not engaged in, and does not intend to engage in, a distribution of Exchange Securities and it has no arrangements or understandings with any Person to participate in a distribution of the Exchange Securities. If the undersigned is a Broker-Dealer that will receive Exchange Securities for its own account in exchange for Securities, it represents that the Securities to be exchanged for Exchange Securities were acquired by it as a result of market-making activities or other trading activities and acknowledges that it will deliver a prospectus in connection with any resale of such Exchange Securities; however, by so acknowledging and by delivering a prospectus, the undersigned will not be deemed to admit that it is an “underwriter” within the meaning of the Act.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D-2</w:t>
      </w: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CC1016F"/>
    <w:multiLevelType w:val="hybridMultilevel"/>
    <w:lvl w:ilvl="0">
      <w:lvlJc w:val="left"/>
      <w:lvlText w:val="☐"/>
      <w:numFmt w:val="bullet"/>
      <w:start w:val="1"/>
    </w:lvl>
  </w:abstractNum>
  <w:abstractNum w:abstractNumId="1">
    <w:nsid w:val="43F18422"/>
    <w:multiLevelType w:val="hybridMultilevel"/>
    <w:lvl w:ilvl="0">
      <w:lvlJc w:val="left"/>
      <w:lvlText w:val="(%1)"/>
      <w:numFmt w:val="lowerLetter"/>
      <w:start w:val="4"/>
    </w:lvl>
  </w:abstractNum>
  <w:abstractNum w:abstractNumId="2">
    <w:nsid w:val="60EF0119"/>
    <w:multiLevelType w:val="hybridMultilevel"/>
    <w:lvl w:ilvl="0">
      <w:lvlJc w:val="left"/>
      <w:lvlText w:val="(%1)"/>
      <w:numFmt w:val="decimal"/>
      <w:start w:val="2"/>
    </w:lvl>
  </w:abstractNum>
  <w:abstractNum w:abstractNumId="3">
    <w:nsid w:val="26F324BA"/>
    <w:multiLevelType w:val="hybridMultilevel"/>
    <w:lvl w:ilvl="0">
      <w:lvlJc w:val="left"/>
      <w:lvlText w:val="(%1)"/>
      <w:numFmt w:val="decimal"/>
      <w:start w:val="1"/>
    </w:lvl>
  </w:abstractNum>
  <w:abstractNum w:abstractNumId="4">
    <w:nsid w:val="7F01579B"/>
    <w:multiLevelType w:val="hybridMultilevel"/>
    <w:lvl w:ilvl="0">
      <w:lvlJc w:val="left"/>
      <w:lvlText w:val="(%1)"/>
      <w:numFmt w:val="decimal"/>
      <w:start w:val="5"/>
    </w:lvl>
  </w:abstractNum>
  <w:abstractNum w:abstractNumId="5">
    <w:nsid w:val="49DA307D"/>
    <w:multiLevelType w:val="hybridMultilevel"/>
    <w:lvl w:ilvl="0">
      <w:lvlJc w:val="left"/>
      <w:lvlText w:val="(%1)"/>
      <w:numFmt w:val="decimal"/>
      <w:start w:val="1"/>
    </w:lvl>
  </w:abstractNum>
  <w:abstractNum w:abstractNumId="6">
    <w:nsid w:val="7055A5F5"/>
    <w:multiLevelType w:val="hybridMultilevel"/>
    <w:lvl w:ilvl="0">
      <w:lvlJc w:val="left"/>
      <w:lvlText w:val="(%1)"/>
      <w:numFmt w:val="decimal"/>
      <w:start w:val="1"/>
    </w:lvl>
  </w:abstractNum>
  <w:abstractNum w:abstractNumId="7">
    <w:nsid w:val="5FB8370B"/>
    <w:multiLevelType w:val="hybridMultilevel"/>
    <w:lvl w:ilvl="0">
      <w:lvlJc w:val="left"/>
      <w:lvlText w:val="(%1)"/>
      <w:numFmt w:val="decimal"/>
      <w:start w:val="1"/>
    </w:lvl>
  </w:abstractNum>
  <w:abstractNum w:abstractNumId="8">
    <w:nsid w:val="50801EE1"/>
    <w:multiLevelType w:val="hybridMultilevel"/>
    <w:lvl w:ilvl="0">
      <w:lvlJc w:val="left"/>
      <w:lvlText w:val="(%1)"/>
      <w:numFmt w:val="decimal"/>
      <w:start w:val="1"/>
    </w:lvl>
  </w:abstractNum>
  <w:abstractNum w:abstractNumId="9">
    <w:nsid w:val="488AC1A"/>
    <w:multiLevelType w:val="hybridMultilevel"/>
    <w:lvl w:ilvl="0">
      <w:lvlJc w:val="left"/>
      <w:lvlText w:val="(%1)"/>
      <w:numFmt w:val="decimal"/>
      <w:start w:val="1"/>
    </w:lvl>
  </w:abstractNum>
  <w:abstractNum w:abstractNumId="10">
    <w:nsid w:val="5FB8011C"/>
    <w:multiLevelType w:val="hybridMultilevel"/>
    <w:lvl w:ilvl="0">
      <w:lvlJc w:val="left"/>
      <w:lvlText w:val="(%1)"/>
      <w:numFmt w:val="decimal"/>
      <w:start w:val="1"/>
    </w:lvl>
  </w:abstractNum>
  <w:abstractNum w:abstractNumId="11">
    <w:nsid w:val="6AA78F7F"/>
    <w:multiLevelType w:val="hybridMultilevel"/>
    <w:lvl w:ilvl="0">
      <w:lvlJc w:val="left"/>
      <w:lvlText w:val="(%1)"/>
      <w:numFmt w:val="decimal"/>
      <w:start w:val="1"/>
    </w:lvl>
    <w:lvl w:ilvl="1">
      <w:lvlJc w:val="left"/>
      <w:lvlText w:val="(%2)"/>
      <w:numFmt w:val="lowerLetter"/>
      <w:start w:val="1"/>
    </w:lvl>
  </w:abstractNum>
  <w:abstractNum w:abstractNumId="12">
    <w:nsid w:val="7672BD23"/>
    <w:multiLevelType w:val="hybridMultilevel"/>
    <w:lvl w:ilvl="0">
      <w:lvlJc w:val="left"/>
      <w:lvlText w:val="%1"/>
      <w:numFmt w:val="lowerLetter"/>
      <w:start w:val="1"/>
    </w:lvl>
    <w:lvl w:ilvl="1">
      <w:lvlJc w:val="left"/>
      <w:lvlText w:val="(%2)"/>
      <w:numFmt w:val="decimal"/>
      <w:start w:val="1"/>
    </w:lvl>
  </w:abstractNum>
  <w:abstractNum w:abstractNumId="13">
    <w:nsid w:val="6FC75AF8"/>
    <w:multiLevelType w:val="hybridMultilevel"/>
    <w:lvl w:ilvl="0">
      <w:lvlJc w:val="left"/>
      <w:lvlText w:val="(%1)"/>
      <w:numFmt w:val="lowerLetter"/>
      <w:start w:val="2"/>
    </w:lvl>
    <w:lvl w:ilvl="1">
      <w:lvlJc w:val="left"/>
      <w:lvlText w:val="(%2)"/>
      <w:numFmt w:val="decimal"/>
      <w:start w:val="3"/>
    </w:lvl>
  </w:abstractNum>
  <w:abstractNum w:abstractNumId="14">
    <w:nsid w:val="6A5F7029"/>
    <w:multiLevelType w:val="hybridMultilevel"/>
    <w:lvl w:ilvl="0">
      <w:lvlJc w:val="left"/>
      <w:lvlText w:val="%1"/>
      <w:numFmt w:val="decimal"/>
      <w:start w:val="1"/>
    </w:lvl>
    <w:lvl w:ilvl="1">
      <w:lvlJc w:val="left"/>
      <w:lvlText w:val="(%2)"/>
      <w:numFmt w:val="decimal"/>
      <w:start w:val="7"/>
    </w:lvl>
  </w:abstractNum>
  <w:abstractNum w:abstractNumId="15">
    <w:nsid w:val="7D5E18F8"/>
    <w:multiLevelType w:val="hybridMultilevel"/>
    <w:lvl w:ilvl="0">
      <w:lvlJc w:val="left"/>
      <w:lvlText w:val="(%1)"/>
      <w:numFmt w:val="decimal"/>
      <w:start w:val="10"/>
    </w:lvl>
    <w:lvl w:ilvl="1">
      <w:lvlJc w:val="left"/>
      <w:lvlText w:val="(%2)"/>
      <w:numFmt w:val="decimal"/>
      <w:start w:val="8"/>
    </w:lvl>
  </w:abstractNum>
  <w:abstractNum w:abstractNumId="16">
    <w:nsid w:val="5F3534A4"/>
    <w:multiLevelType w:val="hybridMultilevel"/>
    <w:lvl w:ilvl="0">
      <w:lvlJc w:val="left"/>
      <w:lvlText w:val="(%1)"/>
      <w:numFmt w:val="decimal"/>
      <w:start w:val="13"/>
    </w:lvl>
  </w:abstractNum>
  <w:abstractNum w:abstractNumId="17">
    <w:nsid w:val="73A1821B"/>
    <w:multiLevelType w:val="hybridMultilevel"/>
    <w:lvl w:ilvl="0">
      <w:lvlJc w:val="left"/>
      <w:lvlText w:val="(%1)"/>
      <w:numFmt w:val="decimal"/>
      <w:start w:val="1"/>
    </w:lvl>
  </w:abstractNum>
  <w:abstractNum w:abstractNumId="18">
    <w:nsid w:val="7DE67713"/>
    <w:multiLevelType w:val="hybridMultilevel"/>
    <w:lvl w:ilvl="0">
      <w:lvlJc w:val="left"/>
      <w:lvlText w:val="(%1)"/>
      <w:numFmt w:val="decimal"/>
      <w:start w:val="2"/>
    </w:lvl>
  </w:abstractNum>
  <w:abstractNum w:abstractNumId="19">
    <w:nsid w:val="555C55B5"/>
    <w:multiLevelType w:val="hybridMultilevel"/>
    <w:lvl w:ilvl="0">
      <w:lvlJc w:val="left"/>
      <w:lvlText w:val="%1"/>
      <w:numFmt w:val="lowerLetter"/>
      <w:start w:val="1"/>
    </w:lvl>
    <w:lvl w:ilvl="1">
      <w:lvlJc w:val="left"/>
      <w:lvlText w:val="(%2)"/>
      <w:numFmt w:val="decimal"/>
      <w:start w:val="1"/>
    </w:lvl>
  </w:abstractNum>
  <w:abstractNum w:abstractNumId="20">
    <w:nsid w:val="3FA62ACA"/>
    <w:multiLevelType w:val="hybridMultilevel"/>
    <w:lvl w:ilvl="0">
      <w:lvlJc w:val="left"/>
      <w:lvlText w:val="(%1)"/>
      <w:numFmt w:val="lowerLetter"/>
      <w:start w:val="2"/>
    </w:lvl>
    <w:lvl w:ilvl="1">
      <w:lvlJc w:val="left"/>
      <w:lvlText w:val="%2"/>
      <w:numFmt w:val="decimal"/>
      <w:start w:val="1"/>
    </w:lvl>
  </w:abstractNum>
  <w:abstractNum w:abstractNumId="21">
    <w:nsid w:val="14FCE74E"/>
    <w:multiLevelType w:val="hybridMultilevel"/>
    <w:lvl w:ilvl="0">
      <w:lvlJc w:val="left"/>
      <w:lvlText w:val="(%1)"/>
      <w:numFmt w:val="decimal"/>
      <w:start w:val="1"/>
    </w:lvl>
  </w:abstractNum>
  <w:abstractNum w:abstractNumId="22">
    <w:nsid w:val="6A3DD3E8"/>
    <w:multiLevelType w:val="hybridMultilevel"/>
    <w:lvl w:ilvl="0">
      <w:lvlJc w:val="left"/>
      <w:lvlText w:val="%1"/>
      <w:numFmt w:val="lowerLetter"/>
      <w:start w:val="1"/>
    </w:lvl>
    <w:lvl w:ilvl="1">
      <w:lvlJc w:val="left"/>
      <w:lvlText w:val="(%2)"/>
      <w:numFmt w:val="lowerLetter"/>
      <w:start w:val="1"/>
    </w:lvl>
  </w:abstractNum>
  <w:abstractNum w:abstractNumId="23">
    <w:nsid w:val="71C91298"/>
    <w:multiLevelType w:val="hybridMultilevel"/>
    <w:lvl w:ilvl="0">
      <w:lvlJc w:val="left"/>
      <w:lvlText w:val="(%1)"/>
      <w:numFmt w:val="lowerLetter"/>
      <w:start w:val="61"/>
    </w:lvl>
    <w:lvl w:ilvl="1">
      <w:lvlJc w:val="left"/>
      <w:lvlText w:val="%2"/>
      <w:numFmt w:val="lowerLetter"/>
      <w:start w:val="1"/>
    </w:lvl>
  </w:abstractNum>
  <w:abstractNum w:abstractNumId="24">
    <w:nsid w:val="9DAF632"/>
    <w:multiLevelType w:val="hybridMultilevel"/>
    <w:lvl w:ilvl="0">
      <w:lvlJc w:val="left"/>
      <w:lvlText w:val="%1"/>
      <w:numFmt w:val="lowerLetter"/>
      <w:start w:val="1"/>
    </w:lvl>
    <w:lvl w:ilvl="1">
      <w:lvlJc w:val="left"/>
      <w:lvlText w:val="(%2)"/>
      <w:numFmt w:val="lowerLetter"/>
      <w:start w:val="2"/>
    </w:lvl>
  </w:abstractNum>
  <w:abstractNum w:abstractNumId="25">
    <w:nsid w:val="53299938"/>
    <w:multiLevelType w:val="hybridMultilevel"/>
    <w:lvl w:ilvl="0">
      <w:lvlJc w:val="left"/>
      <w:lvlText w:val="(%1)"/>
      <w:numFmt w:val="lowerLetter"/>
      <w:start w:val="61"/>
    </w:lvl>
    <w:lvl w:ilvl="1">
      <w:lvlJc w:val="left"/>
      <w:lvlText w:val="(%2)"/>
      <w:numFmt w:val="lowerLetter"/>
      <w:start w:val="3"/>
    </w:lvl>
  </w:abstractNum>
  <w:abstractNum w:abstractNumId="26">
    <w:nsid w:val="1FBFE8E0"/>
    <w:multiLevelType w:val="hybridMultilevel"/>
    <w:lvl w:ilvl="0">
      <w:lvlJc w:val="left"/>
      <w:lvlText w:val="(%1)"/>
      <w:numFmt w:val="lowerLetter"/>
      <w:start w:val="1"/>
    </w:lvl>
  </w:abstractNum>
  <w:abstractNum w:abstractNumId="27">
    <w:nsid w:val="5092CA79"/>
    <w:multiLevelType w:val="hybridMultilevel"/>
    <w:lvl w:ilvl="0">
      <w:lvlJc w:val="left"/>
      <w:lvlText w:val="%1"/>
      <w:numFmt w:val="lowerRoman"/>
      <w:start w:val="1"/>
    </w:lvl>
    <w:lvl w:ilvl="1">
      <w:lvlJc w:val="left"/>
      <w:lvlText w:val="(%2)"/>
      <w:numFmt w:val="lowerLetter"/>
      <w:start w:val="2"/>
    </w:lvl>
    <w:lvl w:ilvl="2">
      <w:lvlJc w:val="left"/>
      <w:lvlText w:val="%3"/>
      <w:numFmt w:val="upperLetter"/>
      <w:start w:val="1"/>
    </w:lvl>
  </w:abstractNum>
  <w:abstractNum w:abstractNumId="28">
    <w:nsid w:val="1D545C4D"/>
    <w:multiLevelType w:val="hybridMultilevel"/>
    <w:lvl w:ilvl="0">
      <w:lvlJc w:val="left"/>
      <w:lvlText w:val="(%1)"/>
      <w:numFmt w:val="lowerRoman"/>
      <w:start w:val="1"/>
    </w:lvl>
    <w:lvl w:ilvl="1">
      <w:lvlJc w:val="left"/>
      <w:lvlText w:val="%2"/>
      <w:numFmt w:val="lowerLetter"/>
      <w:start w:val="1"/>
    </w:lvl>
    <w:lvl w:ilvl="2">
      <w:lvlJc w:val="left"/>
      <w:lvlText w:val="(%3)"/>
      <w:numFmt w:val="upperLetter"/>
      <w:start w:val="1"/>
    </w:lvl>
  </w:abstractNum>
  <w:abstractNum w:abstractNumId="29">
    <w:nsid w:val="59ADEA3D"/>
    <w:multiLevelType w:val="hybridMultilevel"/>
    <w:lvl w:ilvl="0">
      <w:lvlJc w:val="left"/>
      <w:lvlText w:val="%1"/>
      <w:numFmt w:val="lowerRoman"/>
      <w:start w:val="1"/>
    </w:lvl>
    <w:lvl w:ilvl="1">
      <w:lvlJc w:val="left"/>
      <w:lvlText w:val="(%2)"/>
      <w:numFmt w:val="upperLetter"/>
      <w:start w:val="2"/>
    </w:lvl>
  </w:abstractNum>
  <w:abstractNum w:abstractNumId="30">
    <w:nsid w:val="288F1A34"/>
    <w:multiLevelType w:val="hybridMultilevel"/>
    <w:lvl w:ilvl="0">
      <w:lvlJc w:val="left"/>
      <w:lvlText w:val="(%1)"/>
      <w:numFmt w:val="lowerRoman"/>
      <w:start w:val="4"/>
    </w:lvl>
    <w:lvl w:ilvl="1">
      <w:lvlJc w:val="left"/>
      <w:lvlText w:val="(%2)"/>
      <w:numFmt w:val="upperLetter"/>
      <w:start w:val="1"/>
    </w:lvl>
  </w:abstractNum>
  <w:abstractNum w:abstractNumId="31">
    <w:nsid w:val="2A155DBC"/>
    <w:multiLevelType w:val="hybridMultilevel"/>
    <w:lvl w:ilvl="0">
      <w:lvlJc w:val="left"/>
      <w:lvlText w:val="(%1)"/>
      <w:numFmt w:val="lowerLetter"/>
      <w:start w:val="22"/>
    </w:lvl>
    <w:lvl w:ilvl="1">
      <w:lvlJc w:val="left"/>
      <w:lvlText w:val="(%2)"/>
      <w:numFmt w:val="lowerLetter"/>
      <w:start w:val="3"/>
    </w:lvl>
  </w:abstractNum>
  <w:abstractNum w:abstractNumId="32">
    <w:nsid w:val="1D9F6E5F"/>
    <w:multiLevelType w:val="hybridMultilevel"/>
    <w:lvl w:ilvl="0">
      <w:lvlJc w:val="left"/>
      <w:lvlText w:val="(%1)"/>
      <w:numFmt w:val="lowerRoman"/>
      <w:start w:val="1"/>
    </w:lvl>
    <w:lvl w:ilvl="1">
      <w:lvlJc w:val="left"/>
      <w:lvlText w:val="(%2)"/>
      <w:numFmt w:val="upperLetter"/>
      <w:start w:val="1"/>
    </w:lvl>
  </w:abstractNum>
  <w:abstractNum w:abstractNumId="33">
    <w:nsid w:val="97E1B4E"/>
    <w:multiLevelType w:val="hybridMultilevel"/>
    <w:lvl w:ilvl="0">
      <w:lvlJc w:val="left"/>
      <w:lvlText w:val="(%1)"/>
      <w:numFmt w:val="upperLetter"/>
      <w:start w:val="5"/>
    </w:lvl>
  </w:abstractNum>
  <w:abstractNum w:abstractNumId="34">
    <w:nsid w:val="51088277"/>
    <w:multiLevelType w:val="hybridMultilevel"/>
    <w:lvl w:ilvl="0">
      <w:lvlJc w:val="left"/>
      <w:lvlText w:val="(%1)"/>
      <w:numFmt w:val="lowerRoman"/>
      <w:start w:val="2"/>
    </w:lvl>
    <w:lvl w:ilvl="1">
      <w:lvlJc w:val="left"/>
      <w:lvlText w:val="(%2)"/>
      <w:numFmt w:val="upperLetter"/>
      <w:start w:val="1"/>
    </w:lvl>
  </w:abstractNum>
  <w:abstractNum w:abstractNumId="35">
    <w:nsid w:val="1CA0C5FA"/>
    <w:multiLevelType w:val="hybridMultilevel"/>
    <w:lvl w:ilvl="0">
      <w:lvlJc w:val="left"/>
      <w:lvlText w:val="(%1)"/>
      <w:numFmt w:val="lowerRoman"/>
      <w:start w:val="3"/>
    </w:lvl>
    <w:lvl w:ilvl="1">
      <w:lvlJc w:val="left"/>
      <w:lvlText w:val="(%2)"/>
      <w:numFmt w:val="lowerLetter"/>
      <w:start w:val="5"/>
    </w:lvl>
  </w:abstractNum>
  <w:abstractNum w:abstractNumId="36">
    <w:nsid w:val="53584BCB"/>
    <w:multiLevelType w:val="hybridMultilevel"/>
    <w:lvl w:ilvl="0">
      <w:lvlJc w:val="left"/>
      <w:lvlText w:val="(%1)"/>
      <w:numFmt w:val="lowerRoman"/>
      <w:start w:val="1"/>
    </w:lvl>
    <w:lvl w:ilvl="1">
      <w:lvlJc w:val="left"/>
      <w:lvlText w:val="(%2)"/>
      <w:numFmt w:val="upperLetter"/>
      <w:start w:val="1"/>
    </w:lvl>
  </w:abstractNum>
  <w:abstractNum w:abstractNumId="37">
    <w:nsid w:val="415E286C"/>
    <w:multiLevelType w:val="hybridMultilevel"/>
    <w:lvl w:ilvl="0">
      <w:lvlJc w:val="left"/>
      <w:lvlText w:val="%1"/>
      <w:numFmt w:val="lowerRoman"/>
      <w:start w:val="1"/>
    </w:lvl>
    <w:lvl w:ilvl="1">
      <w:lvlJc w:val="left"/>
      <w:lvlText w:val="(%2)"/>
      <w:numFmt w:val="upperLetter"/>
      <w:start w:val="2"/>
    </w:lvl>
  </w:abstractNum>
  <w:abstractNum w:abstractNumId="38">
    <w:nsid w:val="7C58FD05"/>
    <w:multiLevelType w:val="hybridMultilevel"/>
    <w:lvl w:ilvl="0">
      <w:lvlJc w:val="left"/>
      <w:lvlText w:val="(%1)"/>
      <w:numFmt w:val="lowerRoman"/>
      <w:start w:val="2"/>
    </w:lvl>
    <w:lvl w:ilvl="1">
      <w:lvlJc w:val="left"/>
      <w:lvlText w:val="%2"/>
      <w:numFmt w:val="upperLetter"/>
      <w:start w:val="1"/>
    </w:lvl>
  </w:abstractNum>
  <w:abstractNum w:abstractNumId="39">
    <w:nsid w:val="23D86AAC"/>
    <w:multiLevelType w:val="hybridMultilevel"/>
    <w:lvl w:ilvl="0">
      <w:lvlJc w:val="left"/>
      <w:lvlText w:val="%1"/>
      <w:numFmt w:val="decimal"/>
      <w:start w:val="1"/>
    </w:lvl>
    <w:lvl w:ilvl="1">
      <w:lvlJc w:val="left"/>
      <w:lvlText w:val="(%2)"/>
      <w:numFmt w:val="decimal"/>
      <w:start w:val="1"/>
    </w:lvl>
  </w:abstractNum>
  <w:abstractNum w:abstractNumId="40">
    <w:nsid w:val="45E6D486"/>
    <w:multiLevelType w:val="hybridMultilevel"/>
    <w:lvl w:ilvl="0">
      <w:lvlJc w:val="left"/>
      <w:lvlText w:val="(%1)"/>
      <w:numFmt w:val="decimal"/>
      <w:start w:val="4"/>
    </w:lvl>
    <w:lvl w:ilvl="1">
      <w:lvlJc w:val="left"/>
      <w:lvlText w:val="%2"/>
      <w:numFmt w:val="decimal"/>
      <w:start w:val="1"/>
    </w:lvl>
  </w:abstractNum>
  <w:abstractNum w:abstractNumId="41">
    <w:nsid w:val="5C10FE21"/>
    <w:multiLevelType w:val="hybridMultilevel"/>
    <w:lvl w:ilvl="0">
      <w:lvlJc w:val="left"/>
      <w:lvlText w:val="(%1)"/>
      <w:numFmt w:val="lowerRoman"/>
      <w:start w:val="3"/>
    </w:lvl>
  </w:abstractNum>
  <w:abstractNum w:abstractNumId="42">
    <w:nsid w:val="E7FFA2B"/>
    <w:multiLevelType w:val="hybridMultilevel"/>
    <w:lvl w:ilvl="0">
      <w:lvlJc w:val="left"/>
      <w:lvlText w:val="(%1)"/>
      <w:numFmt w:val="lowerRoman"/>
      <w:start w:val="4"/>
    </w:lvl>
    <w:lvl w:ilvl="1">
      <w:lvlJc w:val="left"/>
      <w:lvlText w:val="(%2)"/>
      <w:numFmt w:val="lowerLetter"/>
      <w:start w:val="6"/>
    </w:lvl>
  </w:abstractNum>
  <w:abstractNum w:abstractNumId="43">
    <w:nsid w:val="3C5991AA"/>
    <w:multiLevelType w:val="hybridMultilevel"/>
    <w:lvl w:ilvl="0">
      <w:lvlJc w:val="left"/>
      <w:lvlText w:val="(%1)"/>
      <w:numFmt w:val="decimal"/>
      <w:start w:val="1"/>
    </w:lvl>
  </w:abstractNum>
  <w:abstractNum w:abstractNumId="44">
    <w:nsid w:val="4BD8591A"/>
    <w:multiLevelType w:val="hybridMultilevel"/>
    <w:lvl w:ilvl="0">
      <w:lvlJc w:val="left"/>
      <w:lvlText w:val="(%1)"/>
      <w:numFmt w:val="lowerLetter"/>
      <w:start w:val="1"/>
    </w:lvl>
  </w:abstractNum>
  <w:abstractNum w:abstractNumId="45">
    <w:nsid w:val="78DF6A55"/>
    <w:multiLevelType w:val="hybridMultilevel"/>
    <w:lvl w:ilvl="0">
      <w:lvlJc w:val="left"/>
      <w:lvlText w:val="(%1)"/>
      <w:numFmt w:val="lowerLetter"/>
      <w:start w:val="2"/>
    </w:lvl>
  </w:abstractNum>
  <w:abstractNum w:abstractNumId="46">
    <w:nsid w:val="39B7AAA2"/>
    <w:multiLevelType w:val="hybridMultilevel"/>
    <w:lvl w:ilvl="0">
      <w:lvlJc w:val="left"/>
      <w:lvlText w:val="(%1)"/>
      <w:numFmt w:val="lowerRoman"/>
      <w:start w:val="1"/>
    </w:lvl>
  </w:abstractNum>
  <w:abstractNum w:abstractNumId="47">
    <w:nsid w:val="2B0D8DBE"/>
    <w:multiLevelType w:val="hybridMultilevel"/>
    <w:lvl w:ilvl="0">
      <w:lvlJc w:val="left"/>
      <w:lvlText w:val="(%1)"/>
      <w:numFmt w:val="lowerLetter"/>
      <w:start w:val="1"/>
    </w:lvl>
  </w:abstractNum>
  <w:abstractNum w:abstractNumId="48">
    <w:nsid w:val="6C80EC70"/>
    <w:multiLevelType w:val="hybridMultilevel"/>
    <w:lvl w:ilvl="0">
      <w:lvlJc w:val="left"/>
      <w:lvlText w:val="%1"/>
      <w:numFmt w:val="decimal"/>
      <w:start w:val="1"/>
    </w:lvl>
    <w:lvl w:ilvl="1">
      <w:lvlJc w:val="left"/>
      <w:lvlText w:val="(%2)"/>
      <w:numFmt w:val="lowerLetter"/>
      <w:start w:val="1"/>
    </w:lvl>
  </w:abstractNum>
  <w:abstractNum w:abstractNumId="49">
    <w:nsid w:val="379E21B5"/>
    <w:multiLevelType w:val="hybridMultilevel"/>
    <w:lvl w:ilvl="0">
      <w:lvlJc w:val="left"/>
      <w:lvlText w:val="(%1)"/>
      <w:numFmt w:val="decimal"/>
      <w:start w:val="1"/>
    </w:lvl>
    <w:lvl w:ilvl="1">
      <w:lvlJc w:val="left"/>
      <w:lvlText w:val="%2"/>
      <w:numFmt w:val="lowerLetter"/>
      <w:start w:val="1"/>
    </w:lvl>
  </w:abstractNum>
  <w:abstractNum w:abstractNumId="50">
    <w:nsid w:val="69E373"/>
    <w:multiLevelType w:val="hybridMultilevel"/>
    <w:lvl w:ilvl="0">
      <w:lvlJc w:val="left"/>
      <w:lvlText w:val="(%1)"/>
      <w:numFmt w:val="decimal"/>
      <w:start w:val="6"/>
    </w:lvl>
    <w:lvl w:ilvl="1">
      <w:lvlJc w:val="left"/>
      <w:lvlText w:val="(%2)"/>
      <w:numFmt w:val="lowerLetter"/>
      <w:start w:val="3"/>
    </w:lvl>
  </w:abstractNum>
  <w:abstractNum w:abstractNumId="51">
    <w:nsid w:val="2C27173B"/>
    <w:multiLevelType w:val="hybridMultilevel"/>
    <w:lvl w:ilvl="0">
      <w:lvlJc w:val="left"/>
      <w:lvlText w:val="(%1)"/>
      <w:numFmt w:val="decimal"/>
      <w:start w:val="1"/>
    </w:lvl>
  </w:abstractNum>
  <w:abstractNum w:abstractNumId="52">
    <w:nsid w:val="4C9B0904"/>
    <w:multiLevelType w:val="hybridMultilevel"/>
    <w:lvl w:ilvl="0">
      <w:lvlJc w:val="left"/>
      <w:lvlText w:val="(%1)"/>
      <w:numFmt w:val="lowerLetter"/>
      <w:start w:val="4"/>
    </w:lvl>
  </w:abstractNum>
  <w:abstractNum w:abstractNumId="53">
    <w:nsid w:val="6AA7B75C"/>
    <w:multiLevelType w:val="hybridMultilevel"/>
    <w:lvl w:ilvl="0">
      <w:lvlJc w:val="left"/>
      <w:lvlText w:val="(%1)"/>
      <w:numFmt w:val="lowerLetter"/>
      <w:start w:val="1"/>
    </w:lvl>
  </w:abstractNum>
  <w:abstractNum w:abstractNumId="54">
    <w:nsid w:val="1DF029D3"/>
    <w:multiLevelType w:val="hybridMultilevel"/>
    <w:lvl w:ilvl="0">
      <w:lvlJc w:val="left"/>
      <w:lvlText w:val="(%1)"/>
      <w:numFmt w:val="decimal"/>
      <w:start w:val="1"/>
    </w:lvl>
  </w:abstractNum>
  <w:abstractNum w:abstractNumId="55">
    <w:nsid w:val="5675FF36"/>
    <w:multiLevelType w:val="hybridMultilevel"/>
    <w:lvl w:ilvl="0">
      <w:lvlJc w:val="left"/>
      <w:lvlText w:val="%1"/>
      <w:numFmt w:val="decimal"/>
      <w:start w:val="1"/>
    </w:lvl>
    <w:lvl w:ilvl="1">
      <w:lvlJc w:val="left"/>
      <w:lvlText w:val="(%2)"/>
      <w:numFmt w:val="lowerLetter"/>
      <w:start w:val="1"/>
    </w:lvl>
  </w:abstractNum>
  <w:abstractNum w:abstractNumId="56">
    <w:nsid w:val="3DD15094"/>
    <w:multiLevelType w:val="hybridMultilevel"/>
    <w:lvl w:ilvl="0">
      <w:lvlJc w:val="left"/>
      <w:lvlText w:val="(%1)"/>
      <w:numFmt w:val="decimal"/>
      <w:start w:val="1"/>
    </w:lvl>
    <w:lvl w:ilvl="1">
      <w:lvlJc w:val="left"/>
      <w:lvlText w:val="%2"/>
      <w:numFmt w:val="lowerLetter"/>
      <w:start w:val="1"/>
    </w:lvl>
  </w:abstractNum>
  <w:abstractNum w:abstractNumId="57">
    <w:nsid w:val="3DB012B3"/>
    <w:multiLevelType w:val="hybridMultilevel"/>
    <w:lvl w:ilvl="0">
      <w:lvlJc w:val="left"/>
      <w:lvlText w:val="(%1)"/>
      <w:numFmt w:val="lowerLetter"/>
      <w:start w:val="2"/>
    </w:lvl>
  </w:abstractNum>
  <w:abstractNum w:abstractNumId="58">
    <w:nsid w:val="2708C9AF"/>
    <w:multiLevelType w:val="hybridMultilevel"/>
    <w:lvl w:ilvl="0">
      <w:lvlJc w:val="left"/>
      <w:lvlText w:val="%1"/>
      <w:numFmt w:val="decimal"/>
      <w:start w:val="1"/>
    </w:lvl>
    <w:lvl w:ilvl="1">
      <w:lvlJc w:val="left"/>
      <w:lvlText w:val="(%2)"/>
      <w:numFmt w:val="lowerLetter"/>
      <w:start w:val="1"/>
    </w:lvl>
  </w:abstractNum>
  <w:abstractNum w:abstractNumId="59">
    <w:nsid w:val="5B25ACE2"/>
    <w:multiLevelType w:val="hybridMultilevel"/>
    <w:lvl w:ilvl="0">
      <w:lvlJc w:val="left"/>
      <w:lvlText w:val="(%1)"/>
      <w:numFmt w:val="decimal"/>
      <w:start w:val="1"/>
    </w:lvl>
    <w:lvl w:ilvl="1">
      <w:lvlJc w:val="left"/>
      <w:lvlText w:val="%2"/>
      <w:numFmt w:val="lowerLetter"/>
      <w:start w:val="1"/>
    </w:lvl>
  </w:abstractNum>
  <w:abstractNum w:abstractNumId="60">
    <w:nsid w:val="175DFCF0"/>
    <w:multiLevelType w:val="hybridMultilevel"/>
    <w:lvl w:ilvl="0">
      <w:lvlJc w:val="left"/>
      <w:lvlText w:val="(%1)"/>
      <w:numFmt w:val="upperLetter"/>
      <w:start w:val="2"/>
    </w:lvl>
  </w:abstractNum>
  <w:abstractNum w:abstractNumId="61">
    <w:nsid w:val="4F97E3E4"/>
    <w:multiLevelType w:val="hybridMultilevel"/>
    <w:lvl w:ilvl="0">
      <w:lvlJc w:val="left"/>
      <w:lvlText w:val="(%1)"/>
      <w:numFmt w:val="decimal"/>
      <w:start w:val="2"/>
    </w:lvl>
  </w:abstractNum>
  <w:abstractNum w:abstractNumId="62">
    <w:nsid w:val="53B0A9E"/>
    <w:multiLevelType w:val="hybridMultilevel"/>
    <w:lvl w:ilvl="0">
      <w:lvlJc w:val="left"/>
      <w:lvlText w:val="%1"/>
      <w:numFmt w:val="decimal"/>
      <w:start w:val="1"/>
    </w:lvl>
    <w:lvl w:ilvl="1">
      <w:lvlJc w:val="left"/>
      <w:lvlText w:val="(%2)"/>
      <w:numFmt w:val="lowerLetter"/>
      <w:start w:val="2"/>
    </w:lvl>
  </w:abstractNum>
  <w:abstractNum w:abstractNumId="63">
    <w:nsid w:val="34FD6B4F"/>
    <w:multiLevelType w:val="hybridMultilevel"/>
    <w:lvl w:ilvl="0">
      <w:lvlJc w:val="left"/>
      <w:lvlText w:val="(%1)"/>
      <w:numFmt w:val="decimal"/>
      <w:start w:val="1"/>
    </w:lvl>
    <w:lvl w:ilvl="1">
      <w:lvlJc w:val="left"/>
      <w:lvlText w:val="(%2)"/>
      <w:numFmt w:val="lowerLetter"/>
      <w:start w:val="3"/>
    </w:lvl>
  </w:abstractNum>
  <w:abstractNum w:abstractNumId="64">
    <w:nsid w:val="5915FF32"/>
    <w:multiLevelType w:val="hybridMultilevel"/>
    <w:lvl w:ilvl="0">
      <w:lvlJc w:val="left"/>
      <w:lvlText w:val="(%1)"/>
      <w:numFmt w:val="decimal"/>
      <w:start w:val="1"/>
    </w:lvl>
  </w:abstractNum>
  <w:abstractNum w:abstractNumId="65">
    <w:nsid w:val="56438D15"/>
    <w:multiLevelType w:val="hybridMultilevel"/>
    <w:lvl w:ilvl="0">
      <w:lvlJc w:val="left"/>
      <w:lvlText w:val="(%1)"/>
      <w:numFmt w:val="decimal"/>
      <w:start w:val="1"/>
    </w:lvl>
  </w:abstractNum>
  <w:abstractNum w:abstractNumId="66">
    <w:nsid w:val="519E3149"/>
    <w:multiLevelType w:val="hybridMultilevel"/>
    <w:lvl w:ilvl="0">
      <w:lvlJc w:val="left"/>
      <w:lvlText w:val="(%1)"/>
      <w:numFmt w:val="decimal"/>
      <w:start w:val="5"/>
    </w:lvl>
  </w:abstractNum>
  <w:abstractNum w:abstractNumId="67">
    <w:nsid w:val="2C6E4AFD"/>
    <w:multiLevelType w:val="hybridMultilevel"/>
    <w:lvl w:ilvl="0">
      <w:lvlJc w:val="left"/>
      <w:lvlText w:val="(%1)"/>
      <w:numFmt w:val="decimal"/>
      <w:start w:val="8"/>
    </w:lvl>
  </w:abstractNum>
  <w:abstractNum w:abstractNumId="68">
    <w:nsid w:val="17A1B582"/>
    <w:multiLevelType w:val="hybridMultilevel"/>
    <w:lvl w:ilvl="0">
      <w:lvlJc w:val="left"/>
      <w:lvlText w:val="(%1)"/>
      <w:numFmt w:val="decimal"/>
      <w:start w:val="1"/>
    </w:lvl>
  </w:abstractNum>
  <w:abstractNum w:abstractNumId="69">
    <w:nsid w:val="4DF72E4E"/>
    <w:multiLevelType w:val="hybridMultilevel"/>
    <w:lvl w:ilvl="0">
      <w:lvlJc w:val="left"/>
      <w:lvlText w:val="(%1)"/>
      <w:numFmt w:val="decimal"/>
      <w:start w:val="4"/>
    </w:lvl>
  </w:abstractNum>
  <w:abstractNum w:abstractNumId="70">
    <w:nsid w:val="5046B5A9"/>
    <w:multiLevelType w:val="hybridMultilevel"/>
    <w:lvl w:ilvl="0">
      <w:lvlJc w:val="left"/>
      <w:lvlText w:val="(%1)"/>
      <w:numFmt w:val="lowerLetter"/>
      <w:start w:val="1"/>
    </w:lvl>
  </w:abstractNum>
  <w:abstractNum w:abstractNumId="71">
    <w:nsid w:val="5D888A08"/>
    <w:multiLevelType w:val="hybridMultilevel"/>
    <w:lvl w:ilvl="0">
      <w:lvlJc w:val="left"/>
      <w:lvlText w:val="(%1)"/>
      <w:numFmt w:val="decimal"/>
      <w:start w:val="1"/>
    </w:lvl>
  </w:abstractNum>
  <w:abstractNum w:abstractNumId="72">
    <w:nsid w:val="2A082C70"/>
    <w:multiLevelType w:val="hybridMultilevel"/>
    <w:lvl w:ilvl="0">
      <w:lvlJc w:val="left"/>
      <w:lvlText w:val="(%1)"/>
      <w:numFmt w:val="lowerLetter"/>
      <w:start w:val="1"/>
    </w:lvl>
  </w:abstractNum>
  <w:abstractNum w:abstractNumId="73">
    <w:nsid w:val="5EC6AFD4"/>
    <w:multiLevelType w:val="hybridMultilevel"/>
    <w:lvl w:ilvl="0">
      <w:lvlJc w:val="left"/>
      <w:lvlText w:val="%1"/>
      <w:numFmt w:val="decimal"/>
      <w:start w:val="1"/>
    </w:lvl>
    <w:lvl w:ilvl="1">
      <w:lvlJc w:val="left"/>
      <w:lvlText w:val="(%2)"/>
      <w:numFmt w:val="lowerLetter"/>
      <w:start w:val="2"/>
    </w:lvl>
  </w:abstractNum>
  <w:abstractNum w:abstractNumId="74">
    <w:nsid w:val="19E21BB2"/>
    <w:multiLevelType w:val="hybridMultilevel"/>
    <w:lvl w:ilvl="0">
      <w:lvlJc w:val="left"/>
      <w:lvlText w:val="(%1)"/>
      <w:numFmt w:val="decimal"/>
      <w:start w:val="1"/>
    </w:lvl>
    <w:lvl w:ilvl="1">
      <w:lvlJc w:val="left"/>
      <w:lvlText w:val="(%2)"/>
      <w:numFmt w:val="lowerLetter"/>
      <w:start w:val="3"/>
    </w:lvl>
  </w:abstractNum>
  <w:abstractNum w:abstractNumId="75">
    <w:nsid w:val="75E0858A"/>
    <w:multiLevelType w:val="hybridMultilevel"/>
    <w:lvl w:ilvl="0">
      <w:lvlJc w:val="left"/>
      <w:lvlText w:val="(%1)"/>
      <w:numFmt w:val="decimal"/>
      <w:start w:val="1"/>
    </w:lvl>
  </w:abstractNum>
  <w:abstractNum w:abstractNumId="76">
    <w:nsid w:val="57A61A29"/>
    <w:multiLevelType w:val="hybridMultilevel"/>
    <w:lvl w:ilvl="0">
      <w:lvlJc w:val="left"/>
      <w:lvlText w:val="(%1)"/>
      <w:numFmt w:val="decimal"/>
      <w:start w:val="2"/>
    </w:lvl>
    <w:lvl w:ilvl="1">
      <w:lvlJc w:val="left"/>
      <w:lvlText w:val="(%2)"/>
      <w:numFmt w:val="lowerLetter"/>
      <w:start w:val="4"/>
    </w:lvl>
  </w:abstractNum>
  <w:abstractNum w:abstractNumId="77">
    <w:nsid w:val="5399C654"/>
    <w:multiLevelType w:val="hybridMultilevel"/>
    <w:lvl w:ilvl="0">
      <w:lvlJc w:val="left"/>
      <w:lvlText w:val="(%1)"/>
      <w:numFmt w:val="lowerLetter"/>
      <w:start w:val="1"/>
    </w:lvl>
  </w:abstractNum>
  <w:abstractNum w:abstractNumId="78">
    <w:nsid w:val="20EE1348"/>
    <w:multiLevelType w:val="hybridMultilevel"/>
    <w:lvl w:ilvl="0">
      <w:lvlJc w:val="left"/>
      <w:lvlText w:val="(%1)"/>
      <w:numFmt w:val="lowerLetter"/>
      <w:start w:val="2"/>
    </w:lvl>
  </w:abstractNum>
  <w:abstractNum w:abstractNumId="79">
    <w:nsid w:val="4427069A"/>
    <w:multiLevelType w:val="hybridMultilevel"/>
    <w:lvl w:ilvl="0">
      <w:lvlJc w:val="left"/>
      <w:lvlText w:val="(%1)"/>
      <w:numFmt w:val="lowerLetter"/>
      <w:start w:val="10"/>
    </w:lvl>
  </w:abstractNum>
  <w:abstractNum w:abstractNumId="80">
    <w:nsid w:val="B37E80A"/>
    <w:multiLevelType w:val="hybridMultilevel"/>
    <w:lvl w:ilvl="0">
      <w:lvlJc w:val="left"/>
      <w:lvlText w:val="(%1)"/>
      <w:numFmt w:val="decimal"/>
      <w:start w:val="1"/>
    </w:lvl>
  </w:abstractNum>
  <w:abstractNum w:abstractNumId="81">
    <w:nsid w:val="2157F6BC"/>
    <w:multiLevelType w:val="hybridMultilevel"/>
    <w:lvl w:ilvl="0">
      <w:lvlJc w:val="left"/>
      <w:lvlText w:val="(%1)"/>
      <w:numFmt w:val="decimal"/>
      <w:start w:val="1"/>
    </w:lvl>
  </w:abstractNum>
  <w:abstractNum w:abstractNumId="82">
    <w:nsid w:val="704E1DD5"/>
    <w:multiLevelType w:val="hybridMultilevel"/>
    <w:lvl w:ilvl="0">
      <w:lvlJc w:val="left"/>
      <w:lvlText w:val="(%1)"/>
      <w:numFmt w:val="upperLetter"/>
      <w:start w:val="1"/>
    </w:lvl>
  </w:abstractNum>
  <w:abstractNum w:abstractNumId="83">
    <w:nsid w:val="57D2F10E"/>
    <w:multiLevelType w:val="hybridMultilevel"/>
    <w:lvl w:ilvl="0">
      <w:lvlJc w:val="left"/>
      <w:lvlText w:val="(%1)"/>
      <w:numFmt w:val="decimal"/>
      <w:start w:val="1"/>
    </w:lvl>
  </w:abstractNum>
  <w:abstractNum w:abstractNumId="84">
    <w:nsid w:val="BFFAE18"/>
    <w:multiLevelType w:val="hybridMultilevel"/>
    <w:lvl w:ilvl="0">
      <w:lvlJc w:val="left"/>
      <w:lvlText w:val="%1"/>
      <w:numFmt w:val="decimal"/>
      <w:start w:val="1"/>
    </w:lvl>
    <w:lvl w:ilvl="1">
      <w:lvlJc w:val="left"/>
      <w:lvlText w:val="(%2)"/>
      <w:numFmt w:val="lowerLetter"/>
      <w:start w:val="1"/>
    </w:lvl>
  </w:abstractNum>
  <w:abstractNum w:abstractNumId="85">
    <w:nsid w:val="E3E47A8"/>
    <w:multiLevelType w:val="hybridMultilevel"/>
    <w:lvl w:ilvl="0">
      <w:lvlJc w:val="left"/>
      <w:lvlText w:val="(%1)"/>
      <w:numFmt w:val="decimal"/>
      <w:start w:val="1"/>
    </w:lvl>
    <w:lvl w:ilvl="1">
      <w:lvlJc w:val="left"/>
      <w:lvlText w:val="%2"/>
      <w:numFmt w:val="lowerLetter"/>
      <w:start w:val="1"/>
    </w:lvl>
  </w:abstractNum>
  <w:abstractNum w:abstractNumId="86">
    <w:nsid w:val="2E48F044"/>
    <w:multiLevelType w:val="hybridMultilevel"/>
    <w:lvl w:ilvl="0">
      <w:lvlJc w:val="left"/>
      <w:lvlText w:val="%1"/>
      <w:numFmt w:val="lowerLetter"/>
      <w:start w:val="1"/>
    </w:lvl>
    <w:lvl w:ilvl="1">
      <w:lvlJc w:val="left"/>
      <w:lvlText w:val="(%2)"/>
      <w:numFmt w:val="decimal"/>
      <w:start w:val="7"/>
    </w:lvl>
  </w:abstractNum>
  <w:abstractNum w:abstractNumId="87">
    <w:nsid w:val="49D0FEAC"/>
    <w:multiLevelType w:val="hybridMultilevel"/>
    <w:lvl w:ilvl="0">
      <w:lvlJc w:val="left"/>
      <w:lvlText w:val="(%1)"/>
      <w:numFmt w:val="lowerLetter"/>
      <w:start w:val="3"/>
    </w:lvl>
    <w:lvl w:ilvl="1">
      <w:lvlJc w:val="left"/>
      <w:lvlText w:val="%2"/>
      <w:numFmt w:val="decimal"/>
      <w:start w:val="1"/>
    </w:lvl>
  </w:abstractNum>
  <w:abstractNum w:abstractNumId="88">
    <w:nsid w:val="4BEE5A5B"/>
    <w:multiLevelType w:val="hybridMultilevel"/>
    <w:lvl w:ilvl="0">
      <w:lvlJc w:val="left"/>
      <w:lvlText w:val="(%1)"/>
      <w:numFmt w:val="lowerLetter"/>
      <w:start w:val="1"/>
    </w:lvl>
  </w:abstractNum>
  <w:abstractNum w:abstractNumId="89">
    <w:nsid w:val="5551B9F3"/>
    <w:multiLevelType w:val="hybridMultilevel"/>
    <w:lvl w:ilvl="0">
      <w:lvlJc w:val="left"/>
      <w:lvlText w:val="(%1)"/>
      <w:numFmt w:val="lowerLetter"/>
      <w:start w:val="3"/>
    </w:lvl>
  </w:abstractNum>
  <w:abstractNum w:abstractNumId="90">
    <w:nsid w:val="24F6AB8E"/>
    <w:multiLevelType w:val="hybridMultilevel"/>
    <w:lvl w:ilvl="0">
      <w:lvlJc w:val="left"/>
      <w:lvlText w:val="%1"/>
      <w:numFmt w:val="lowerLetter"/>
      <w:start w:val="1"/>
    </w:lvl>
    <w:lvl w:ilvl="1">
      <w:lvlJc w:val="left"/>
      <w:lvlText w:val="(%2)"/>
      <w:numFmt w:val="decimal"/>
      <w:start w:val="1"/>
    </w:lvl>
  </w:abstractNum>
  <w:abstractNum w:abstractNumId="91">
    <w:nsid w:val="634C574C"/>
    <w:multiLevelType w:val="hybridMultilevel"/>
    <w:lvl w:ilvl="0">
      <w:lvlJc w:val="left"/>
      <w:lvlText w:val="(%1)"/>
      <w:numFmt w:val="lowerLetter"/>
      <w:start w:val="3"/>
    </w:lvl>
    <w:lvl w:ilvl="1">
      <w:lvlJc w:val="left"/>
      <w:lvlText w:val="%2"/>
      <w:numFmt w:val="decimal"/>
      <w:start w:val="1"/>
    </w:lvl>
  </w:abstractNum>
  <w:abstractNum w:abstractNumId="92">
    <w:nsid w:val="24E99DD7"/>
    <w:multiLevelType w:val="hybridMultilevel"/>
    <w:lvl w:ilvl="0">
      <w:lvlJc w:val="left"/>
      <w:lvlText w:val="(%1)"/>
      <w:numFmt w:val="decimal"/>
      <w:start w:val="1"/>
    </w:lvl>
  </w:abstractNum>
  <w:abstractNum w:abstractNumId="93">
    <w:nsid w:val="2A31B62D"/>
    <w:multiLevelType w:val="hybridMultilevel"/>
    <w:lvl w:ilvl="0">
      <w:lvlJc w:val="left"/>
      <w:lvlText w:val="(%1)"/>
      <w:numFmt w:val="decimal"/>
      <w:start w:val="3"/>
    </w:lvl>
  </w:abstractNum>
  <w:abstractNum w:abstractNumId="94">
    <w:nsid w:val="1849C29B"/>
    <w:multiLevelType w:val="hybridMultilevel"/>
    <w:lvl w:ilvl="0">
      <w:lvlJc w:val="left"/>
      <w:lvlText w:val="(%1)"/>
      <w:numFmt w:val="lowerRoman"/>
      <w:start w:val="2"/>
    </w:lvl>
  </w:abstractNum>
  <w:abstractNum w:abstractNumId="95">
    <w:nsid w:val="7DFF9D09"/>
    <w:multiLevelType w:val="hybridMultilevel"/>
    <w:lvl w:ilvl="0">
      <w:lvlJc w:val="left"/>
      <w:lvlText w:val="%1"/>
      <w:numFmt w:val="decimal"/>
      <w:start w:val="1"/>
    </w:lvl>
    <w:lvl w:ilvl="1">
      <w:lvlJc w:val="left"/>
      <w:lvlText w:val="(%2)"/>
      <w:numFmt w:val="lowerLetter"/>
      <w:start w:val="1"/>
    </w:lvl>
  </w:abstractNum>
  <w:abstractNum w:abstractNumId="96">
    <w:nsid w:val="754342"/>
    <w:multiLevelType w:val="hybridMultilevel"/>
    <w:lvl w:ilvl="0">
      <w:lvlJc w:val="left"/>
      <w:lvlText w:val="(%1)"/>
      <w:numFmt w:val="decimal"/>
      <w:start w:val="1"/>
    </w:lvl>
    <w:lvl w:ilvl="1">
      <w:lvlJc w:val="left"/>
      <w:lvlText w:val="%2"/>
      <w:numFmt w:val="lowerLetter"/>
      <w:start w:val="1"/>
    </w:lvl>
  </w:abstractNum>
  <w:abstractNum w:abstractNumId="97">
    <w:nsid w:val="69E7F3E5"/>
    <w:multiLevelType w:val="hybridMultilevel"/>
    <w:lvl w:ilvl="0">
      <w:lvlJc w:val="left"/>
      <w:lvlText w:val="(%1)"/>
      <w:numFmt w:val="decimal"/>
      <w:start w:val="4"/>
    </w:lvl>
    <w:lvl w:ilvl="1">
      <w:lvlJc w:val="left"/>
      <w:lvlText w:val="(%2)"/>
      <w:numFmt w:val="lowerLetter"/>
      <w:start w:val="2"/>
    </w:lvl>
  </w:abstractNum>
  <w:abstractNum w:abstractNumId="98">
    <w:nsid w:val="2A6DE806"/>
    <w:multiLevelType w:val="hybridMultilevel"/>
    <w:lvl w:ilvl="0">
      <w:lvlJc w:val="left"/>
      <w:lvlText w:val="(%1)"/>
      <w:numFmt w:val="decimal"/>
      <w:start w:val="1"/>
    </w:lvl>
  </w:abstractNum>
  <w:abstractNum w:abstractNumId="99">
    <w:nsid w:val="1816F8C4"/>
    <w:multiLevelType w:val="hybridMultilevel"/>
    <w:lvl w:ilvl="0">
      <w:lvlJc w:val="left"/>
      <w:lvlText w:val="(%1)"/>
      <w:numFmt w:val="decimal"/>
      <w:start w:val="1"/>
    </w:lvl>
  </w:abstractNum>
  <w:abstractNum w:abstractNumId="100">
    <w:nsid w:val="37DF2233"/>
    <w:multiLevelType w:val="hybridMultilevel"/>
    <w:lvl w:ilvl="0">
      <w:lvlJc w:val="left"/>
      <w:lvlText w:val="(%1)"/>
      <w:numFmt w:val="decimal"/>
      <w:start w:val="4"/>
    </w:lvl>
  </w:abstractNum>
  <w:abstractNum w:abstractNumId="101">
    <w:nsid w:val="7AB49DAF"/>
    <w:multiLevelType w:val="hybridMultilevel"/>
    <w:lvl w:ilvl="0">
      <w:lvlJc w:val="left"/>
      <w:lvlText w:val="%1."/>
      <w:numFmt w:val="decimal"/>
      <w:start w:val="1"/>
    </w:lvl>
  </w:abstractNum>
  <w:abstractNum w:abstractNumId="102">
    <w:nsid w:val="759F82CD"/>
    <w:multiLevelType w:val="hybridMultilevel"/>
    <w:lvl w:ilvl="0">
      <w:lvlJc w:val="left"/>
      <w:lvlText w:val="1"/>
      <w:numFmt w:val="bullet"/>
      <w:start w:val="1"/>
    </w:lvl>
  </w:abstractNum>
  <w:abstractNum w:abstractNumId="103">
    <w:nsid w:val="61E74EA3"/>
    <w:multiLevelType w:val="hybridMultilevel"/>
    <w:lvl w:ilvl="0">
      <w:lvlJc w:val="left"/>
      <w:lvlText w:val="2"/>
      <w:numFmt w:val="bullet"/>
      <w:start w:val="1"/>
    </w:lvl>
  </w:abstractNum>
  <w:abstractNum w:abstractNumId="104">
    <w:nsid w:val="597B4D84"/>
    <w:multiLevelType w:val="hybridMultilevel"/>
    <w:lvl w:ilvl="0">
      <w:lvlJc w:val="left"/>
      <w:lvlText w:val="%1."/>
      <w:numFmt w:val="decimal"/>
      <w:start w:val="5"/>
    </w:lvl>
  </w:abstractNum>
  <w:abstractNum w:abstractNumId="105">
    <w:nsid w:val="F819E7F"/>
    <w:multiLevelType w:val="hybridMultilevel"/>
    <w:lvl w:ilvl="0">
      <w:lvlJc w:val="left"/>
      <w:lvlText w:val="(%1)"/>
      <w:numFmt w:val="lowerLetter"/>
      <w:start w:val="1"/>
    </w:lvl>
  </w:abstractNum>
  <w:abstractNum w:abstractNumId="106">
    <w:nsid w:val="57C7D42D"/>
    <w:multiLevelType w:val="hybridMultilevel"/>
    <w:lvl w:ilvl="0">
      <w:lvlJc w:val="left"/>
      <w:lvlText w:val="%1"/>
      <w:numFmt w:val="decimal"/>
      <w:start w:val="1"/>
    </w:lvl>
    <w:lvl w:ilvl="1">
      <w:lvlJc w:val="left"/>
      <w:lvlText w:val="(%2)"/>
      <w:numFmt w:val="lowerLetter"/>
      <w:start w:val="2"/>
    </w:lvl>
  </w:abstractNum>
  <w:abstractNum w:abstractNumId="107">
    <w:nsid w:val="312167AD"/>
    <w:multiLevelType w:val="hybridMultilevel"/>
    <w:lvl w:ilvl="0">
      <w:lvlJc w:val="left"/>
      <w:lvlText w:val="(%1)"/>
      <w:numFmt w:val="decimal"/>
      <w:start w:val="2"/>
    </w:lvl>
    <w:lvl w:ilvl="1">
      <w:lvlJc w:val="left"/>
      <w:lvlText w:val="(%2)"/>
      <w:numFmt w:val="lowerLetter"/>
      <w:start w:val="4"/>
    </w:lvl>
  </w:abstractNum>
  <w:abstractNum w:abstractNumId="108">
    <w:nsid w:val="631B64D4"/>
    <w:multiLevelType w:val="hybridMultilevel"/>
    <w:lvl w:ilvl="0">
      <w:lvlJc w:val="left"/>
      <w:lvlText w:val="%1."/>
      <w:numFmt w:val="decimal"/>
      <w:start w:val="6"/>
    </w:lvl>
  </w:abstractNum>
  <w:abstractNum w:abstractNumId="109">
    <w:nsid w:val="78B5E776"/>
    <w:multiLevelType w:val="hybridMultilevel"/>
    <w:lvl w:ilvl="0">
      <w:lvlJc w:val="left"/>
      <w:lvlText w:val="%1."/>
      <w:numFmt w:val="decimal"/>
      <w:start w:val="7"/>
    </w:lvl>
  </w:abstractNum>
  <w:abstractNum w:abstractNumId="110">
    <w:nsid w:val="75486E47"/>
    <w:multiLevelType w:val="hybridMultilevel"/>
    <w:lvl w:ilvl="0">
      <w:lvlJc w:val="left"/>
      <w:lvlText w:val="%1."/>
      <w:numFmt w:val="decimal"/>
      <w:start w:val="10"/>
    </w:lvl>
  </w:abstractNum>
  <w:abstractNum w:abstractNumId="111">
    <w:nsid w:val="6E534CDE"/>
    <w:multiLevelType w:val="hybridMultilevel"/>
    <w:lvl w:ilvl="0">
      <w:lvlJc w:val="left"/>
      <w:lvlText w:val="%1."/>
      <w:numFmt w:val="decimal"/>
      <w:start w:val="14"/>
    </w:lvl>
  </w:abstractNum>
  <w:abstractNum w:abstractNumId="112">
    <w:nsid w:val="1A0DDE32"/>
    <w:multiLevelType w:val="hybridMultilevel"/>
    <w:lvl w:ilvl="0">
      <w:lvlJc w:val="left"/>
      <w:lvlText w:val="(%1)"/>
      <w:numFmt w:val="decimal"/>
      <w:start w:val="1"/>
    </w:lvl>
  </w:abstractNum>
  <w:abstractNum w:abstractNumId="113">
    <w:nsid w:val="65968C1C"/>
    <w:multiLevelType w:val="hybridMultilevel"/>
    <w:lvl w:ilvl="0">
      <w:lvlJc w:val="left"/>
      <w:lvlText w:val="%1."/>
      <w:numFmt w:val="decimal"/>
      <w:start w:val="17"/>
    </w:lvl>
  </w:abstractNum>
  <w:abstractNum w:abstractNumId="114">
    <w:nsid w:val="46263DEC"/>
    <w:multiLevelType w:val="hybridMultilevel"/>
    <w:lvl w:ilvl="0">
      <w:lvlJc w:val="left"/>
      <w:lvlText w:val="*"/>
      <w:numFmt w:val="bullet"/>
      <w:start w:val="1"/>
    </w:lvl>
  </w:abstractNum>
  <w:abstractNum w:abstractNumId="115">
    <w:nsid w:val="260D8C4A"/>
    <w:multiLevelType w:val="hybridMultilevel"/>
    <w:lvl w:ilvl="0">
      <w:lvlJc w:val="left"/>
      <w:lvlText w:val="%1."/>
      <w:numFmt w:val="decimal"/>
      <w:start w:val="1"/>
    </w:lvl>
  </w:abstractNum>
  <w:abstractNum w:abstractNumId="116">
    <w:nsid w:val="73D4D3C4"/>
    <w:multiLevelType w:val="hybridMultilevel"/>
    <w:lvl w:ilvl="0">
      <w:lvlJc w:val="left"/>
      <w:lvlText w:val="%1."/>
      <w:numFmt w:val="decimal"/>
      <w:start w:val="5"/>
    </w:lvl>
  </w:abstractNum>
  <w:abstractNum w:abstractNumId="117">
    <w:nsid w:val="746F2E30"/>
    <w:multiLevelType w:val="hybridMultilevel"/>
    <w:lvl w:ilvl="0">
      <w:lvlJc w:val="left"/>
      <w:lvlText w:val="(%1)"/>
      <w:numFmt w:val="lowerLetter"/>
      <w:start w:val="1"/>
    </w:lvl>
  </w:abstractNum>
  <w:abstractNum w:abstractNumId="118">
    <w:nsid w:val="6FDE8AF6"/>
    <w:multiLevelType w:val="hybridMultilevel"/>
    <w:lvl w:ilvl="0">
      <w:lvlJc w:val="left"/>
      <w:lvlText w:val="%1"/>
      <w:numFmt w:val="decimal"/>
      <w:start w:val="1"/>
    </w:lvl>
    <w:lvl w:ilvl="1">
      <w:lvlJc w:val="left"/>
      <w:lvlText w:val="(%2)"/>
      <w:numFmt w:val="lowerLetter"/>
      <w:start w:val="2"/>
    </w:lvl>
  </w:abstractNum>
  <w:abstractNum w:abstractNumId="119">
    <w:nsid w:val="3FC32E20"/>
    <w:multiLevelType w:val="hybridMultilevel"/>
    <w:lvl w:ilvl="0">
      <w:lvlJc w:val="left"/>
      <w:lvlText w:val="(%1)"/>
      <w:numFmt w:val="decimal"/>
      <w:start w:val="2"/>
    </w:lvl>
    <w:lvl w:ilvl="1">
      <w:lvlJc w:val="left"/>
      <w:lvlText w:val="(%2)"/>
      <w:numFmt w:val="lowerLetter"/>
      <w:start w:val="4"/>
    </w:lvl>
  </w:abstractNum>
  <w:abstractNum w:abstractNumId="120">
    <w:nsid w:val="49C0E823"/>
    <w:multiLevelType w:val="hybridMultilevel"/>
    <w:lvl w:ilvl="0">
      <w:lvlJc w:val="left"/>
      <w:lvlText w:val="%1."/>
      <w:numFmt w:val="decimal"/>
      <w:start w:val="6"/>
    </w:lvl>
  </w:abstractNum>
  <w:abstractNum w:abstractNumId="121">
    <w:nsid w:val="14D53685"/>
    <w:multiLevelType w:val="hybridMultilevel"/>
    <w:lvl w:ilvl="0">
      <w:lvlJc w:val="left"/>
      <w:lvlText w:val="%1."/>
      <w:numFmt w:val="decimal"/>
      <w:start w:val="7"/>
    </w:lvl>
  </w:abstractNum>
  <w:abstractNum w:abstractNumId="122">
    <w:nsid w:val="230F856C"/>
    <w:multiLevelType w:val="hybridMultilevel"/>
    <w:lvl w:ilvl="0">
      <w:lvlJc w:val="left"/>
      <w:lvlText w:val="%1."/>
      <w:numFmt w:val="decimal"/>
      <w:start w:val="14"/>
    </w:lvl>
  </w:abstractNum>
  <w:abstractNum w:abstractNumId="123">
    <w:nsid w:val="6EAA85FB"/>
    <w:multiLevelType w:val="hybridMultilevel"/>
    <w:lvl w:ilvl="0">
      <w:lvlJc w:val="left"/>
      <w:lvlText w:val="(%1)"/>
      <w:numFmt w:val="decimal"/>
      <w:start w:val="1"/>
    </w:lvl>
  </w:abstractNum>
  <w:abstractNum w:abstractNumId="124">
    <w:nsid w:val="3F06ECB2"/>
    <w:multiLevelType w:val="hybridMultilevel"/>
    <w:lvl w:ilvl="0">
      <w:lvlJc w:val="left"/>
      <w:lvlText w:val="%1."/>
      <w:numFmt w:val="decimal"/>
      <w:start w:val="16"/>
    </w:lvl>
  </w:abstractNum>
  <w:abstractNum w:abstractNumId="125">
    <w:nsid w:val="3B594807"/>
    <w:multiLevelType w:val="hybridMultilevel"/>
    <w:lvl w:ilvl="0">
      <w:lvlJc w:val="left"/>
      <w:lvlText w:val="*"/>
      <w:numFmt w:val="bullet"/>
      <w:start w:val="1"/>
    </w:lvl>
  </w:abstractNum>
  <w:abstractNum w:abstractNumId="126">
    <w:nsid w:val="6CAA2304"/>
    <w:multiLevelType w:val="hybridMultilevel"/>
    <w:lvl w:ilvl="0">
      <w:lvlJc w:val="left"/>
      <w:lvlText w:val="(%1)"/>
      <w:numFmt w:val="upperLetter"/>
      <w:start w:val="4"/>
    </w:lvl>
  </w:abstractNum>
  <w:abstractNum w:abstractNumId="127">
    <w:nsid w:val="3F7C2FF4"/>
    <w:multiLevelType w:val="hybridMultilevel"/>
    <w:lvl w:ilvl="0">
      <w:lvlJc w:val="left"/>
      <w:lvlText w:val="(%1)"/>
      <w:numFmt w:val="upperLetter"/>
      <w:start w:val="7"/>
    </w:lvl>
  </w:abstractNum>
  <w:abstractNum w:abstractNumId="128">
    <w:nsid w:val="25413BEC"/>
    <w:multiLevelType w:val="hybridMultilevel"/>
    <w:lvl w:ilvl="0">
      <w:lvlJc w:val="left"/>
      <w:lvlText w:val="%1."/>
      <w:numFmt w:val="decimal"/>
      <w:start w:val="1"/>
    </w:lvl>
  </w:abstractNum>
  <w:abstractNum w:abstractNumId="129">
    <w:nsid w:val="17180B0B"/>
    <w:multiLevelType w:val="hybridMultilevel"/>
    <w:lvl w:ilvl="0">
      <w:lvlJc w:val="left"/>
      <w:lvlText w:val="%1."/>
      <w:numFmt w:val="decimal"/>
      <w:start w:val="2"/>
    </w:lvl>
  </w:abstractNum>
  <w:abstractNum w:abstractNumId="130">
    <w:nsid w:val="579328B9"/>
    <w:multiLevelType w:val="hybridMultilevel"/>
    <w:lvl w:ilvl="0">
      <w:lvlJc w:val="left"/>
      <w:lvlText w:val="(%1)"/>
      <w:numFmt w:val="lowerLetter"/>
      <w:start w:val="1"/>
    </w:lvl>
  </w:abstractNum>
  <w:abstractNum w:abstractNumId="131">
    <w:nsid w:val="5D205E20"/>
    <w:multiLevelType w:val="hybridMultilevel"/>
    <w:lvl w:ilvl="0">
      <w:lvlJc w:val="left"/>
      <w:lvlText w:val="(%1)"/>
      <w:numFmt w:val="lowerLetter"/>
      <w:start w:val="3"/>
    </w:lvl>
  </w:abstractNum>
  <w:abstractNum w:abstractNumId="132">
    <w:nsid w:val="11CCA8BA"/>
    <w:multiLevelType w:val="hybridMultilevel"/>
    <w:lvl w:ilvl="0">
      <w:lvlJc w:val="left"/>
      <w:lvlText w:val="%1"/>
      <w:numFmt w:val="decimal"/>
      <w:start w:val="1"/>
    </w:lvl>
    <w:lvl w:ilvl="1">
      <w:lvlJc w:val="left"/>
      <w:lvlText w:val="(%2)"/>
      <w:numFmt w:val="lowerLetter"/>
      <w:start w:val="4"/>
    </w:lvl>
    <w:lvl w:ilvl="2">
      <w:lvlJc w:val="left"/>
      <w:lvlText w:val="%3"/>
      <w:numFmt w:val="lowerLetter"/>
      <w:start w:val="1"/>
    </w:lvl>
  </w:abstractNum>
  <w:abstractNum w:abstractNumId="133">
    <w:nsid w:val="4D32AB86"/>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134">
    <w:nsid w:val="3F07ACC3"/>
    <w:multiLevelType w:val="hybridMultilevel"/>
    <w:lvl w:ilvl="0">
      <w:lvlJc w:val="left"/>
      <w:lvlText w:val="(%1)"/>
      <w:numFmt w:val="lowerLetter"/>
      <w:start w:val="3"/>
    </w:lvl>
  </w:abstractNum>
  <w:abstractNum w:abstractNumId="135">
    <w:nsid w:val="6B47F63E"/>
    <w:multiLevelType w:val="hybridMultilevel"/>
    <w:lvl w:ilvl="0">
      <w:lvlJc w:val="left"/>
      <w:lvlText w:val="%1."/>
      <w:numFmt w:val="decimal"/>
      <w:start w:val="1"/>
    </w:lvl>
  </w:abstractNum>
  <w:abstractNum w:abstractNumId="136">
    <w:nsid w:val="5CB44A0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37">
    <w:nsid w:val="16CF80F1"/>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138">
    <w:nsid w:val="1C695DEC"/>
    <w:multiLevelType w:val="hybridMultilevel"/>
    <w:lvl w:ilvl="0">
      <w:lvlJc w:val="left"/>
      <w:lvlText w:val="(%1)"/>
      <w:numFmt w:val="lowerLetter"/>
      <w:start w:val="1"/>
    </w:lvl>
    <w:lvl w:ilvl="1">
      <w:lvlJc w:val="left"/>
      <w:lvlText w:val="(%2)"/>
      <w:numFmt w:val="lowerRoman"/>
      <w:start w:val="1"/>
    </w:lvl>
  </w:abstractNum>
  <w:abstractNum w:abstractNumId="139">
    <w:nsid w:val="3FCFAED9"/>
    <w:multiLevelType w:val="hybridMultilevel"/>
    <w:lvl w:ilvl="0">
      <w:lvlJc w:val="left"/>
      <w:lvlText w:val="%1."/>
      <w:numFmt w:val="decimal"/>
      <w:start w:val="1"/>
    </w:lvl>
    <w:lvl w:ilvl="1">
      <w:lvlJc w:val="left"/>
      <w:lvlText w:val="(%2)"/>
      <w:numFmt w:val="lowerLetter"/>
      <w:start w:val="1"/>
    </w:lvl>
  </w:abstractNum>
  <w:abstractNum w:abstractNumId="140">
    <w:nsid w:val="F856867"/>
    <w:multiLevelType w:val="hybridMultilevel"/>
    <w:lvl w:ilvl="0">
      <w:lvlJc w:val="left"/>
      <w:lvlText w:val="%1"/>
      <w:numFmt w:val="decimal"/>
      <w:start w:val="1"/>
    </w:lvl>
    <w:lvl w:ilvl="1">
      <w:lvlJc w:val="left"/>
      <w:lvlText w:val="(%2)"/>
      <w:numFmt w:val="lowerLetter"/>
      <w:start w:val="2"/>
    </w:lvl>
  </w:abstractNum>
  <w:abstractNum w:abstractNumId="141">
    <w:nsid w:val="11B1CC33"/>
    <w:multiLevelType w:val="hybridMultilevel"/>
    <w:lvl w:ilvl="0">
      <w:lvlJc w:val="left"/>
      <w:lvlText w:val="%1."/>
      <w:numFmt w:val="decimal"/>
      <w:start w:val="2"/>
    </w:lvl>
    <w:lvl w:ilvl="1">
      <w:lvlJc w:val="left"/>
      <w:lvlText w:val="(%2)"/>
      <w:numFmt w:val="lowerLetter"/>
      <w:start w:val="1"/>
    </w:lvl>
  </w:abstractNum>
  <w:abstractNum w:abstractNumId="142">
    <w:nsid w:val="2E22FBB7"/>
    <w:multiLevelType w:val="hybridMultilevel"/>
    <w:lvl w:ilvl="0">
      <w:lvlJc w:val="left"/>
      <w:lvlText w:val="(%1)"/>
      <w:numFmt w:val="lowerLetter"/>
      <w:start w:val="1"/>
    </w:lvl>
  </w:abstractNum>
  <w:abstractNum w:abstractNumId="143">
    <w:nsid w:val="29934699"/>
    <w:multiLevelType w:val="hybridMultilevel"/>
    <w:lvl w:ilvl="0">
      <w:lvlJc w:val="left"/>
      <w:lvlText w:val="%1."/>
      <w:numFmt w:val="decimal"/>
      <w:start w:val="1"/>
    </w:lvl>
  </w:abstractNum>
  <w:abstractNum w:abstractNumId="144">
    <w:nsid w:val="77485850"/>
    <w:multiLevelType w:val="hybridMultilevel"/>
    <w:lvl w:ilvl="0">
      <w:lvlJc w:val="left"/>
      <w:lvlText w:val="%1"/>
      <w:numFmt w:val="upperLetter"/>
      <w:start w:val="1"/>
    </w:lvl>
    <w:lvl w:ilvl="1">
      <w:lvlJc w:val="left"/>
      <w:lvlText w:val="%2."/>
      <w:numFmt w:val="decimal"/>
      <w:start w:val="2"/>
    </w:lvl>
  </w:abstractNum>
  <w:abstractNum w:abstractNumId="145">
    <w:nsid w:val="744939A3"/>
    <w:multiLevelType w:val="hybridMultilevel"/>
    <w:lvl w:ilvl="0">
      <w:lvlJc w:val="left"/>
      <w:lvlText w:val="(%1)"/>
      <w:numFmt w:val="upperLetter"/>
      <w:start w:val="2"/>
    </w:lvl>
    <w:lvl w:ilvl="1">
      <w:lvlJc w:val="left"/>
      <w:lvlText w:val="%2"/>
      <w:numFmt w:val="decimal"/>
      <w:start w:val="1"/>
    </w:lvl>
  </w:abstractNum>
  <w:abstractNum w:abstractNumId="146">
    <w:nsid w:val="4FA0D2E3"/>
    <w:multiLevelType w:val="hybridMultilevel"/>
    <w:lvl w:ilvl="0">
      <w:lvlJc w:val="left"/>
      <w:lvlText w:val="(%1)"/>
      <w:numFmt w:val="upperLetter"/>
      <w:start w:val="4"/>
    </w:lvl>
    <w:lvl w:ilvl="1">
      <w:lvlJc w:val="left"/>
      <w:lvlText w:val="%2."/>
      <w:numFmt w:val="decimal"/>
      <w:start w:val="3"/>
    </w:lvl>
  </w:abstractNum>
  <w:abstractNum w:abstractNumId="147">
    <w:nsid w:val="6B1D2C14"/>
    <w:multiLevelType w:val="hybridMultilevel"/>
    <w:lvl w:ilvl="0">
      <w:lvlJc w:val="left"/>
      <w:lvlText w:val="(%1)"/>
      <w:numFmt w:val="lowerLetter"/>
      <w:start w:val="1"/>
    </w:lvl>
  </w:abstractNum>
  <w:abstractNum w:abstractNumId="148">
    <w:nsid w:val="68B867D3"/>
    <w:multiLevelType w:val="hybridMultilevel"/>
    <w:lvl w:ilvl="0">
      <w:lvlJc w:val="left"/>
      <w:lvlText w:val="%1."/>
      <w:numFmt w:val="decimal"/>
      <w:start w:val="1"/>
    </w:lvl>
  </w:abstractNum>
  <w:abstractNum w:abstractNumId="149">
    <w:nsid w:val="3F7F5DD9"/>
    <w:multiLevelType w:val="hybridMultilevel"/>
    <w:lvl w:ilvl="0">
      <w:lvlJc w:val="left"/>
      <w:lvlText w:val="%1."/>
      <w:numFmt w:val="decimal"/>
      <w:start w:val="2"/>
    </w:lvl>
  </w:abstractNum>
  <w:abstractNum w:abstractNumId="150">
    <w:nsid w:val="2AE05A34"/>
    <w:multiLevelType w:val="hybridMultilevel"/>
    <w:lvl w:ilvl="0">
      <w:lvlJc w:val="left"/>
      <w:lvlText w:val="%1"/>
      <w:numFmt w:val="lowerRoman"/>
      <w:start w:val="1"/>
    </w:lvl>
    <w:lvl w:ilvl="1">
      <w:lvlJc w:val="left"/>
      <w:lvlText w:val="(%2)"/>
      <w:numFmt w:val="lowerLetter"/>
      <w:start w:val="1"/>
    </w:lvl>
  </w:abstractNum>
  <w:abstractNum w:abstractNumId="151">
    <w:nsid w:val="32794FF7"/>
    <w:multiLevelType w:val="hybridMultilevel"/>
    <w:lvl w:ilvl="0">
      <w:lvlJc w:val="left"/>
      <w:lvlText w:val="(%1)"/>
      <w:numFmt w:val="lowerRoman"/>
      <w:start w:val="1"/>
    </w:lvl>
    <w:lvl w:ilvl="1">
      <w:lvlJc w:val="left"/>
      <w:lvlText w:val="%2"/>
      <w:numFmt w:val="lowerLetter"/>
      <w:start w:val="1"/>
    </w:lvl>
  </w:abstractNum>
  <w:abstractNum w:abstractNumId="152">
    <w:nsid w:val="5454945E"/>
    <w:multiLevelType w:val="hybridMultilevel"/>
    <w:lvl w:ilvl="0">
      <w:lvlJc w:val="left"/>
      <w:lvlText w:val="(%1)"/>
      <w:numFmt w:val="lowerRoman"/>
      <w:start w:val="4"/>
    </w:lvl>
  </w:abstractNum>
  <w:abstractNum w:abstractNumId="153">
    <w:nsid w:val="4DEFDFA0"/>
    <w:multiLevelType w:val="hybridMultilevel"/>
    <w:lvl w:ilvl="0">
      <w:lvlJc w:val="left"/>
      <w:lvlText w:val="%1"/>
      <w:numFmt w:val="lowerRoman"/>
      <w:start w:val="1"/>
    </w:lvl>
    <w:lvl w:ilvl="1">
      <w:lvlJc w:val="left"/>
      <w:lvlText w:val="(%2)"/>
      <w:numFmt w:val="lowerLetter"/>
      <w:start w:val="4"/>
    </w:lvl>
  </w:abstractNum>
  <w:abstractNum w:abstractNumId="154">
    <w:nsid w:val="2123D5F2"/>
    <w:multiLevelType w:val="hybridMultilevel"/>
    <w:lvl w:ilvl="0">
      <w:lvlJc w:val="left"/>
      <w:lvlText w:val="(%1)"/>
      <w:numFmt w:val="lowerRoman"/>
      <w:start w:val="1"/>
    </w:lvl>
    <w:lvl w:ilvl="1">
      <w:lvlJc w:val="left"/>
      <w:lvlText w:val="(%2)"/>
      <w:numFmt w:val="lowerLetter"/>
      <w:start w:val="5"/>
    </w:lvl>
  </w:abstractNum>
  <w:abstractNum w:abstractNumId="155">
    <w:nsid w:val="135B8110"/>
    <w:multiLevelType w:val="hybridMultilevel"/>
    <w:lvl w:ilvl="0">
      <w:lvlJc w:val="left"/>
      <w:lvlText w:val="(%1)"/>
      <w:numFmt w:val="lowerRoman"/>
      <w:start w:val="2"/>
    </w:lvl>
    <w:lvl w:ilvl="1">
      <w:lvlJc w:val="left"/>
      <w:lvlText w:val="(%2)"/>
      <w:numFmt w:val="lowerLetter"/>
      <w:start w:val="6"/>
    </w:lvl>
  </w:abstractNum>
  <w:abstractNum w:abstractNumId="156">
    <w:nsid w:val="94927A8"/>
    <w:multiLevelType w:val="hybridMultilevel"/>
    <w:lvl w:ilvl="0">
      <w:lvlJc w:val="left"/>
      <w:lvlText w:val="%1."/>
      <w:numFmt w:val="decimal"/>
      <w:start w:val="3"/>
    </w:lvl>
  </w:abstractNum>
  <w:abstractNum w:abstractNumId="157">
    <w:nsid w:val="DCDF8F6"/>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1"/>
    </w:lvl>
  </w:abstractNum>
  <w:abstractNum w:abstractNumId="158">
    <w:nsid w:val="52D7B105"/>
    <w:multiLevelType w:val="hybridMultilevel"/>
    <w:lvl w:ilvl="0">
      <w:lvlJc w:val="left"/>
      <w:lvlText w:val="(%1)"/>
      <w:numFmt w:val="lowerLetter"/>
      <w:start w:val="25"/>
    </w:lvl>
    <w:lvl w:ilvl="1">
      <w:lvlJc w:val="left"/>
      <w:lvlText w:val="(%2)"/>
      <w:numFmt w:val="lowerLetter"/>
      <w:start w:val="8"/>
    </w:lvl>
    <w:lvl w:ilvl="2">
      <w:lvlJc w:val="left"/>
      <w:lvlText w:val="(%3)"/>
      <w:numFmt w:val="lowerLetter"/>
      <w:start w:val="2"/>
    </w:lvl>
  </w:abstractNum>
  <w:abstractNum w:abstractNumId="159">
    <w:nsid w:val="2E8A6394"/>
    <w:multiLevelType w:val="hybridMultilevel"/>
    <w:lvl w:ilvl="0">
      <w:lvlJc w:val="left"/>
      <w:lvlText w:val="(%1)"/>
      <w:numFmt w:val="lowerRoman"/>
      <w:start w:val="2"/>
    </w:lvl>
  </w:abstractNum>
  <w:abstractNum w:abstractNumId="160">
    <w:nsid w:val="24E60401"/>
    <w:multiLevelType w:val="hybridMultilevel"/>
    <w:lvl w:ilvl="0">
      <w:lvlJc w:val="left"/>
      <w:lvlText w:val="%1"/>
      <w:numFmt w:val="lowerLetter"/>
      <w:start w:val="1"/>
    </w:lvl>
    <w:lvl w:ilvl="1">
      <w:lvlJc w:val="left"/>
      <w:lvlText w:val="%2."/>
      <w:numFmt w:val="decimal"/>
      <w:start w:val="4"/>
    </w:lvl>
    <w:lvl w:ilvl="2">
      <w:lvlJc w:val="left"/>
      <w:lvlText w:val="%3"/>
      <w:numFmt w:val="lowerLetter"/>
      <w:start w:val="1"/>
    </w:lvl>
  </w:abstractNum>
  <w:abstractNum w:abstractNumId="161">
    <w:nsid w:val="2A6AD9BE"/>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9"/>
    </w:lvl>
  </w:abstractNum>
  <w:abstractNum w:abstractNumId="162">
    <w:nsid w:val="BAAC1B4"/>
    <w:multiLevelType w:val="hybridMultilevel"/>
    <w:lvl w:ilvl="0">
      <w:lvlJc w:val="left"/>
      <w:lvlText w:val="%1"/>
      <w:numFmt w:val="lowerLetter"/>
      <w:start w:val="1"/>
    </w:lvl>
    <w:lvl w:ilvl="1">
      <w:lvlJc w:val="left"/>
      <w:lvlText w:val="(%2)"/>
      <w:numFmt w:val="lowerRoman"/>
      <w:start w:val="2"/>
    </w:lvl>
  </w:abstractNum>
  <w:abstractNum w:abstractNumId="163">
    <w:nsid w:val="36B2ACBC"/>
    <w:multiLevelType w:val="hybridMultilevel"/>
    <w:lvl w:ilvl="0">
      <w:lvlJc w:val="left"/>
      <w:lvlText w:val="(%1)"/>
      <w:numFmt w:val="lowerLetter"/>
      <w:start w:val="2"/>
    </w:lvl>
    <w:lvl w:ilvl="1">
      <w:lvlJc w:val="left"/>
      <w:lvlText w:val="(%2)"/>
      <w:numFmt w:val="lowerRoman"/>
      <w:start w:val="1"/>
    </w:lvl>
  </w:abstractNum>
  <w:abstractNum w:abstractNumId="164">
    <w:nsid w:val="779D8544"/>
    <w:multiLevelType w:val="hybridMultilevel"/>
    <w:lvl w:ilvl="0">
      <w:lvlJc w:val="left"/>
      <w:lvlText w:val="%1"/>
      <w:numFmt w:val="lowerLetter"/>
      <w:start w:val="1"/>
    </w:lvl>
    <w:lvl w:ilvl="1">
      <w:lvlJc w:val="left"/>
      <w:lvlText w:val="(%2)"/>
      <w:numFmt w:val="lowerLetter"/>
      <w:start w:val="22"/>
    </w:lvl>
  </w:abstractNum>
  <w:abstractNum w:abstractNumId="165">
    <w:nsid w:val="4AB26E78"/>
    <w:multiLevelType w:val="hybridMultilevel"/>
    <w:lvl w:ilvl="0">
      <w:lvlJc w:val="left"/>
      <w:lvlText w:val="(%1)"/>
      <w:numFmt w:val="lowerLetter"/>
      <w:start w:val="4"/>
    </w:lvl>
    <w:lvl w:ilvl="1">
      <w:lvlJc w:val="left"/>
      <w:lvlText w:val="%2"/>
      <w:numFmt w:val="lowerLetter"/>
      <w:start w:val="1"/>
    </w:lvl>
  </w:abstractNum>
  <w:abstractNum w:abstractNumId="166">
    <w:nsid w:val="21FAA2FA"/>
    <w:multiLevelType w:val="hybridMultilevel"/>
    <w:lvl w:ilvl="0">
      <w:lvlJc w:val="left"/>
      <w:lvlText w:val="(%1)"/>
      <w:numFmt w:val="lowerLetter"/>
      <w:start w:val="10"/>
    </w:lvl>
  </w:abstractNum>
  <w:abstractNum w:abstractNumId="167">
    <w:nsid w:val="5451CF49"/>
    <w:multiLevelType w:val="hybridMultilevel"/>
    <w:lvl w:ilvl="0">
      <w:lvlJc w:val="left"/>
      <w:lvlText w:val="(%1)"/>
      <w:numFmt w:val="lowerLetter"/>
      <w:start w:val="17"/>
    </w:lvl>
    <w:lvl w:ilvl="1">
      <w:lvlJc w:val="left"/>
      <w:lvlText w:val="(%2)"/>
      <w:numFmt w:val="lowerRoman"/>
      <w:start w:val="1"/>
    </w:lvl>
  </w:abstractNum>
  <w:abstractNum w:abstractNumId="168">
    <w:nsid w:val="6181EF69"/>
    <w:multiLevelType w:val="hybridMultilevel"/>
    <w:lvl w:ilvl="0">
      <w:lvlJc w:val="left"/>
      <w:lvlText w:val="(%1)"/>
      <w:numFmt w:val="lowerLetter"/>
      <w:start w:val="18"/>
    </w:lvl>
    <w:lvl w:ilvl="1">
      <w:lvlJc w:val="left"/>
      <w:lvlText w:val="(%2)"/>
      <w:numFmt w:val="lowerRoman"/>
      <w:start w:val="1"/>
    </w:lvl>
  </w:abstractNum>
  <w:abstractNum w:abstractNumId="169">
    <w:nsid w:val="3E6400E6"/>
    <w:multiLevelType w:val="hybridMultilevel"/>
    <w:lvl w:ilvl="0">
      <w:lvlJc w:val="left"/>
      <w:lvlText w:val="(%1)"/>
      <w:numFmt w:val="lowerLetter"/>
      <w:start w:val="19"/>
    </w:lvl>
  </w:abstractNum>
  <w:abstractNum w:abstractNumId="170">
    <w:nsid w:val="14217E23"/>
    <w:multiLevelType w:val="hybridMultilevel"/>
    <w:lvl w:ilvl="0">
      <w:lvlJc w:val="left"/>
      <w:lvlText w:val="%1"/>
      <w:numFmt w:val="lowerLetter"/>
      <w:start w:val="1"/>
    </w:lvl>
    <w:lvl w:ilvl="1">
      <w:lvlJc w:val="left"/>
      <w:lvlText w:val="(%2)"/>
      <w:numFmt w:val="lowerLetter"/>
      <w:start w:val="20"/>
    </w:lvl>
    <w:lvl w:ilvl="2">
      <w:lvlJc w:val="left"/>
      <w:lvlText w:val="%3"/>
      <w:numFmt w:val="decimal"/>
      <w:start w:val="1"/>
    </w:lvl>
    <w:lvl w:ilvl="3">
      <w:lvlJc w:val="left"/>
      <w:lvlText w:val="%4"/>
      <w:numFmt w:val="lowerRoman"/>
      <w:start w:val="1"/>
    </w:lvl>
  </w:abstractNum>
  <w:abstractNum w:abstractNumId="171">
    <w:nsid w:val="710757D0"/>
    <w:multiLevelType w:val="hybridMultilevel"/>
    <w:lvl w:ilvl="0">
      <w:lvlJc w:val="left"/>
      <w:lvlText w:val="(%1)"/>
      <w:numFmt w:val="lowerLetter"/>
      <w:start w:val="35"/>
    </w:lvl>
    <w:lvl w:ilvl="1">
      <w:lvlJc w:val="left"/>
      <w:lvlText w:val="(%2)"/>
      <w:numFmt w:val="lowerLetter"/>
      <w:start w:val="21"/>
    </w:lvl>
    <w:lvl w:ilvl="2">
      <w:lvlJc w:val="left"/>
      <w:lvlText w:val="%3."/>
      <w:numFmt w:val="decimal"/>
      <w:start w:val="5"/>
    </w:lvl>
    <w:lvl w:ilvl="3">
      <w:lvlJc w:val="left"/>
      <w:lvlText w:val="(%4)"/>
      <w:numFmt w:val="lowerRoman"/>
      <w:start w:val="1"/>
    </w:lvl>
  </w:abstractNum>
  <w:abstractNum w:abstractNumId="172">
    <w:nsid w:val="5015CD1A"/>
    <w:multiLevelType w:val="hybridMultilevel"/>
    <w:lvl w:ilvl="0">
      <w:lvlJc w:val="left"/>
      <w:lvlText w:val="(%1)"/>
      <w:numFmt w:val="lowerLetter"/>
      <w:start w:val="1"/>
    </w:lvl>
  </w:abstractNum>
  <w:abstractNum w:abstractNumId="173">
    <w:nsid w:val="424479DA"/>
    <w:multiLevelType w:val="hybridMultilevel"/>
    <w:lvl w:ilvl="0">
      <w:lvlJc w:val="left"/>
      <w:lvlText w:val="(%1)"/>
      <w:numFmt w:val="lowerLetter"/>
      <w:start w:val="2"/>
    </w:lvl>
  </w:abstractNum>
  <w:abstractNum w:abstractNumId="174">
    <w:nsid w:val="1A9A9E69"/>
    <w:multiLevelType w:val="hybridMultilevel"/>
    <w:lvl w:ilvl="0">
      <w:lvlJc w:val="left"/>
      <w:lvlText w:val="(%1)"/>
      <w:numFmt w:val="lowerLetter"/>
      <w:start w:val="4"/>
    </w:lvl>
  </w:abstractNum>
  <w:abstractNum w:abstractNumId="175">
    <w:nsid w:val="475E256A"/>
    <w:multiLevelType w:val="hybridMultilevel"/>
    <w:lvl w:ilvl="0">
      <w:lvlJc w:val="left"/>
      <w:lvlText w:val="(%1)"/>
      <w:numFmt w:val="lowerLetter"/>
      <w:start w:val="5"/>
    </w:lvl>
  </w:abstractNum>
  <w:abstractNum w:abstractNumId="176">
    <w:nsid w:val="368DB37E"/>
    <w:multiLevelType w:val="hybridMultilevel"/>
    <w:lvl w:ilvl="0">
      <w:lvlJc w:val="left"/>
      <w:lvlText w:val="%1."/>
      <w:numFmt w:val="decimal"/>
      <w:start w:val="7"/>
    </w:lvl>
  </w:abstractNum>
  <w:abstractNum w:abstractNumId="177">
    <w:nsid w:val="6A3B714C"/>
    <w:multiLevelType w:val="hybridMultilevel"/>
    <w:lvl w:ilvl="0">
      <w:lvlJc w:val="left"/>
      <w:lvlText w:val="(%1)"/>
      <w:numFmt w:val="lowerLetter"/>
      <w:start w:val="1"/>
    </w:lvl>
  </w:abstractNum>
  <w:abstractNum w:abstractNumId="178">
    <w:nsid w:val="327B517E"/>
    <w:multiLevelType w:val="hybridMultilevel"/>
    <w:lvl w:ilvl="0">
      <w:lvlJc w:val="left"/>
      <w:lvlText w:val="%1"/>
      <w:numFmt w:val="lowerLetter"/>
      <w:start w:val="1"/>
    </w:lvl>
    <w:lvl w:ilvl="1">
      <w:lvlJc w:val="left"/>
      <w:lvlText w:val="%2."/>
      <w:numFmt w:val="decimal"/>
      <w:start w:val="8"/>
    </w:lvl>
  </w:abstractNum>
  <w:abstractNum w:abstractNumId="179">
    <w:nsid w:val="1F461B51"/>
    <w:multiLevelType w:val="hybridMultilevel"/>
    <w:lvl w:ilvl="0">
      <w:lvlJc w:val="left"/>
      <w:lvlText w:val="(%1)"/>
      <w:numFmt w:val="lowerLetter"/>
      <w:start w:val="1"/>
    </w:lvl>
    <w:lvl w:ilvl="1">
      <w:lvlJc w:val="left"/>
      <w:lvlText w:val="%2"/>
      <w:numFmt w:val="decimal"/>
      <w:start w:val="1"/>
    </w:lvl>
  </w:abstractNum>
  <w:abstractNum w:abstractNumId="180">
    <w:nsid w:val="29BACF25"/>
    <w:multiLevelType w:val="hybridMultilevel"/>
    <w:lvl w:ilvl="0">
      <w:lvlJc w:val="left"/>
      <w:lvlText w:val="(%1)"/>
      <w:numFmt w:val="lowerLetter"/>
      <w:start w:val="3"/>
    </w:lvl>
  </w:abstractNum>
  <w:abstractNum w:abstractNumId="181">
    <w:nsid w:val="5D5BABB3"/>
    <w:multiLevelType w:val="hybridMultilevel"/>
    <w:lvl w:ilvl="0">
      <w:lvlJc w:val="left"/>
      <w:lvlText w:val="(%1)"/>
      <w:numFmt w:val="decimal"/>
      <w:start w:val="2"/>
    </w:lvl>
    <w:lvl w:ilvl="1">
      <w:lvlJc w:val="left"/>
      <w:lvlText w:val="%2."/>
      <w:numFmt w:val="decimal"/>
      <w:start w:val="9"/>
    </w:lvl>
  </w:abstractNum>
  <w:abstractNum w:abstractNumId="182">
    <w:nsid w:val="51BF6B48"/>
    <w:multiLevelType w:val="hybridMultilevel"/>
    <w:lvl w:ilvl="0">
      <w:lvlJc w:val="left"/>
      <w:lvlText w:val="%1"/>
      <w:numFmt w:val="lowerLetter"/>
      <w:start w:val="1"/>
    </w:lvl>
    <w:lvl w:ilvl="1">
      <w:lvlJc w:val="left"/>
      <w:lvlText w:val="%2."/>
      <w:numFmt w:val="decimal"/>
      <w:start w:val="11"/>
    </w:lvl>
  </w:abstractNum>
  <w:abstractNum w:abstractNumId="183">
    <w:nsid w:val="7E0F6384"/>
    <w:multiLevelType w:val="hybridMultilevel"/>
    <w:lvl w:ilvl="0">
      <w:lvlJc w:val="left"/>
      <w:lvlText w:val="(%1)"/>
      <w:numFmt w:val="lowerLetter"/>
      <w:start w:val="1"/>
    </w:lvl>
    <w:lvl w:ilvl="1">
      <w:lvlJc w:val="left"/>
      <w:lvlText w:val="%2"/>
      <w:numFmt w:val="decimal"/>
      <w:start w:val="1"/>
    </w:lvl>
  </w:abstractNum>
  <w:abstractNum w:abstractNumId="184">
    <w:nsid w:val="2B4B8B53"/>
    <w:multiLevelType w:val="hybridMultilevel"/>
    <w:lvl w:ilvl="0">
      <w:lvlJc w:val="left"/>
      <w:lvlText w:val="%1."/>
      <w:numFmt w:val="decimal"/>
      <w:start w:val="1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2025-05-28T15:38:20Z</dcterms:created>
  <dcterms:modified xsi:type="dcterms:W3CDTF">2025-05-28T15:38:20Z</dcterms:modified>
</cp:coreProperties>
</file>