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Baila Carlos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00"/>
        <w:spacing w:after="0" w:line="365" w:lineRule="auto"/>
        <w:rPr>
          <w:sz w:val="20"/>
          <w:szCs w:val="20"/>
          <w:color w:val="auto"/>
        </w:rPr>
      </w:pPr>
      <w:r>
        <w:rPr>
          <w:rFonts w:ascii="Times New Roman" w:cs="Times New Roman" w:eastAsia="Times New Roman" w:hAnsi="Times New Roman"/>
          <w:sz w:val="17"/>
          <w:szCs w:val="17"/>
          <w:color w:val="0000FF"/>
        </w:rPr>
        <w:t>HIDDEN RIVER CORPORATE CENTER TWO 14025 RIVEREDGE DRIVE, SUITE 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TAMPA</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33637</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CROWN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CCK</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40" w:type="dxa"/>
            <w:vAlign w:val="bottom"/>
            <w:tcBorders>
              <w:bottom w:val="single" w:sz="8" w:color="0000EE"/>
            </w:tcBorders>
          </w:tcPr>
          <w:p>
            <w:pPr>
              <w:spacing w:after="0"/>
              <w:rPr>
                <w:sz w:val="3"/>
                <w:szCs w:val="3"/>
                <w:color w:val="auto"/>
              </w:rPr>
            </w:pPr>
          </w:p>
        </w:tc>
        <w:tc>
          <w:tcPr>
            <w:tcW w:w="1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34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7"/>
                <w:szCs w:val="17"/>
                <w:color w:val="0000FF"/>
              </w:rPr>
              <w:t>President - Asia Pacific Div.</w:t>
            </w:r>
          </w:p>
        </w:tc>
        <w:tc>
          <w:tcPr>
            <w:tcW w:w="0" w:type="dxa"/>
            <w:vAlign w:val="bottom"/>
          </w:tcPr>
          <w:p>
            <w:pPr>
              <w:spacing w:after="0"/>
              <w:rPr>
                <w:sz w:val="1"/>
                <w:szCs w:val="1"/>
                <w:color w:val="auto"/>
              </w:rPr>
            </w:pPr>
          </w:p>
        </w:tc>
      </w:tr>
      <w:tr>
        <w:trPr>
          <w:trHeight w:val="226"/>
        </w:trPr>
        <w:tc>
          <w:tcPr>
            <w:tcW w:w="2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01/03/2025</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01/03/2025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13,642</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39,737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01/06/2025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ind w:right="13"/>
              <w:spacing w:after="0"/>
              <w:rPr>
                <w:sz w:val="20"/>
                <w:szCs w:val="20"/>
                <w:color w:val="auto"/>
              </w:rPr>
            </w:pPr>
            <w:r>
              <w:rPr>
                <w:rFonts w:ascii="Times New Roman" w:cs="Times New Roman" w:eastAsia="Times New Roman" w:hAnsi="Times New Roman"/>
                <w:sz w:val="17"/>
                <w:szCs w:val="17"/>
                <w:color w:val="0000FF"/>
              </w:rPr>
              <w:t>1,047</w:t>
            </w:r>
            <w:r>
              <w:rPr>
                <w:rFonts w:ascii="Times New Roman" w:cs="Times New Roman" w:eastAsia="Times New Roman" w:hAnsi="Times New Roman"/>
                <w:sz w:val="22"/>
                <w:szCs w:val="22"/>
                <w:color w:val="008000"/>
                <w:vertAlign w:val="superscript"/>
              </w:rPr>
              <w:t>(2)</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80.11</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38,690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13,642 shares of Restricted Common Stock under the 2022 Stock-Based Compensation Plan. 4,704 time-vested restricted shares vest over a three year period as follows: 1,568 time-vested restricted shares on January 5, 2026, January 4, 2027 and January 3, 2028, respectively. 4,179 performance-based restricted shares are targeted to vest on January 3, 2028 based on the Company's Total Shareholder Return versus a defined peer group of companies, with the final number of performance-based vested shares varying from 0 to 200% of 4,179. 4,759 performance-based restricted shares are targeted to vest on January 3, 2028 based on the Return on Invested Capital achieved by the Company compared to the ROIC target, with the final number of performance-based vested shares varying from 0 to 4,759.</w:t>
      </w:r>
    </w:p>
    <w:p>
      <w:pPr>
        <w:spacing w:after="0" w:line="2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transferred to the Company for tax withholding in connection with vesting of restricted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Rosemary Haselroth, by</w:t>
            </w:r>
          </w:p>
        </w:tc>
        <w:tc>
          <w:tcPr>
            <w:tcW w:w="1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01/07/2025</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68983" TargetMode="External"/><Relationship Id="rId14"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2025-01-07T08:12:48Z</dcterms:created>
  <dcterms:modified xsi:type="dcterms:W3CDTF">2025-01-07T08:12:48Z</dcterms:modified>
</cp:coreProperties>
</file>