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April 28,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14025 Riveredge Drive,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Tampa, Florida 33637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698-5100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3/8% Debentures Due 2026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2.02. Results of Operations and Financial Condition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April 28, 2025 Crown Holdings, Inc. issued a press release announcing its earnings for the first quarter ended March 31, 2025.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ans-serif" w:hAnsi="Times New Roman;sans-serif"/>
          <w:b w:val="false"/>
          <w:color w:val="000000"/>
          <w:sz w:val="24"/>
        </w:rPr>
        <w:t>99     </w:t>
      </w:r>
      <w:hyperlink w:anchor="ex99mar2025.htm">
        <w:r>
          <w:rPr>
            <w:rStyle w:val="InternetLink"/>
            <w:rFonts w:ascii="Times New Roman;sans-serif" w:hAnsi="Times New Roman;sans-serif"/>
            <w:b w:val="false"/>
            <w:color w:val="0000FF"/>
            <w:sz w:val="24"/>
            <w:u w:val="single"/>
          </w:rPr>
          <w:t>Press release, dated April 28, 2025, issued by Crown Holdings, Inc.</w:t>
        </w:r>
      </w:hyperlink>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CROWN HOLDINGS, INC.</w:t>
            </w:r>
          </w:p>
        </w:tc>
      </w:tr>
    </w:tbl>
    <w:tbl>
      <w:tblPr>
        <w:tblW w:w="4750"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156"/>
        <w:gridCol w:w="1156"/>
        <w:gridCol w:w="1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Dated: April 28, 2025</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CROWN HOLDINGS, INC. REPORTS FIRST QUARTER 2025 RESULTS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Tampa, FL - April 28, 2025.</w:t>
      </w:r>
      <w:r>
        <w:rPr>
          <w:color w:val="000000"/>
        </w:rPr>
        <w:t xml:space="preserve"> </w:t>
      </w:r>
      <w:r>
        <w:rPr>
          <w:rFonts w:ascii="Times New Roman;sans-serif" w:hAnsi="Times New Roman;sans-serif"/>
          <w:b w:val="false"/>
          <w:color w:val="000000"/>
          <w:sz w:val="20"/>
        </w:rPr>
        <w:t>Crown Holdings, Inc. (NYSE: CCK) today announced its financial results for the first quarter ended March 31, 2025.</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before="0" w:after="0"/>
        <w:jc w:val="left"/>
        <w:rPr/>
      </w:pPr>
      <w:r>
        <w:rPr/>
      </w:r>
    </w:p>
    <w:p>
      <w:pPr>
        <w:pStyle w:val="TextBody"/>
        <w:bidi w:val="0"/>
        <w:spacing w:lineRule="auto" w:line="268" w:before="0" w:after="0"/>
        <w:ind w:left="0" w:right="0" w:firstLine="288"/>
        <w:jc w:val="left"/>
        <w:rPr>
          <w:rFonts w:ascii="Times New Roman;sans-serif" w:hAnsi="Times New Roman;sans-serif"/>
          <w:b/>
          <w:color w:val="000000"/>
          <w:sz w:val="20"/>
        </w:rPr>
      </w:pPr>
      <w:r>
        <w:rPr>
          <w:rFonts w:ascii="Times New Roman;sans-serif" w:hAnsi="Times New Roman;sans-serif"/>
          <w:b/>
          <w:color w:val="000000"/>
          <w:sz w:val="20"/>
        </w:rPr>
        <w:t xml:space="preserve">First Quarter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Diluted earnings per share of $1.65 versus $0.56 in 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Adjusted diluted earnings per share increased 64% to $1.67</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Segment income improved $90 million, or 29% to $398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Returned $233 million to shareholders including $203 million of share repurchases</w:t>
      </w:r>
    </w:p>
    <w:p>
      <w:pPr>
        <w:pStyle w:val="TextBody"/>
        <w:bidi w:val="0"/>
        <w:spacing w:before="0" w:after="0"/>
        <w:jc w:val="left"/>
        <w:rPr/>
      </w:pPr>
      <w:r>
        <w:rPr/>
      </w:r>
    </w:p>
    <w:p>
      <w:pPr>
        <w:pStyle w:val="TextBody"/>
        <w:bidi w:val="0"/>
        <w:spacing w:lineRule="auto" w:line="268" w:before="0" w:after="0"/>
        <w:ind w:left="0" w:right="0" w:firstLine="288"/>
        <w:jc w:val="left"/>
        <w:rPr>
          <w:rFonts w:ascii="Times New Roman;sans-serif" w:hAnsi="Times New Roman;sans-serif"/>
          <w:b/>
          <w:color w:val="000000"/>
          <w:sz w:val="20"/>
        </w:rPr>
      </w:pPr>
      <w:r>
        <w:rPr>
          <w:rFonts w:ascii="Times New Roman;sans-serif" w:hAnsi="Times New Roman;sans-serif"/>
          <w:b/>
          <w:color w:val="000000"/>
          <w:sz w:val="20"/>
        </w:rPr>
        <w:t>2025 Outlook</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Expect second quarter adjusted diluted earnings per share of $1.80 to $1.90</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Increasing full-year guidance range for adjusted diluted earnings per share of $6.70 to $7.10 with adjusted free cash flow of approximately $800 million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Reaffirming long-term net leverage ratio target of 2.5x</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Crown got off to an excellent start for the year, driven by strong performances in each of our global beverage can businesses,” said Timothy J. Donahue, Chairman, President and Chief Executive Officer. “Combined first quarter beverage can segment income climbed 24% over the prior year, attributable to robust volumes in Brazil and Europe and outstanding operational performance throughout the manufacturing network. Beverage can volume growth in North America, in the low-single digit range, was also better than expected. Increased volumes and improved manufacturing efficiencies propelled a significant advance in income in our North American food can and closures businesses, while Transit Packaging performed in line with expectations.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With respect to global trade tensions, the Company believes it is well-positioned, as essentially all products sold domestically are produced domestically. Moreover, for those select raw materials or components that may need to be imported, our contracts contain tariff pass-through provisions. The Crown team is working diligently in this dynamic environment to optimize supply chains and minimize the potential impact of tariffs.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We continue to be optimistic about the full-year 2025, as trailing twelve month adjusted EBITDA at the end of the first quarter exceeded $2 billion for the first time and is already $90 million higher than in 2024. Additionally, we remain optimistic about the future for beverage cans, supported by continued growth in global demand. As the most sustainable beverage packaging option, beverage cans continue to gain share against other formats, benefiting from both substitution and being the package of choice for approximately 80% of new beverage product introductions," concluded Donahue.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in the first quarter were $2,887 million compared to $2,784 million in the first quarter of 2024 reflecting higher beverage can shipments in Americas and European Beverage and the pass-through of $94 million in higher material costs, partially offset by unfavorable foreign currency of $31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was $365 million in the first quarter compared to $245 million in the first quarter of 2024. Segment income in the first quarter of 2025 was $398 million compared to $308 million in the prior year first quarter driven by higher beverage can shipments in Americas and European Beverage and improved manufacturing performance, including savings realized as part of prior year restructuring 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Crown Holdings in the first quarter was $193 million compared to $67 million in the first quarter of 2024. Reported diluted earnings per share were $1.65 in the first quarter of 2025 compared to $0.56 in 2024. Adjusted diluted earnings per share were $1.67 compared to $1.02 in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68"/>
        <w:jc w:val="both"/>
        <w:rPr>
          <w:color w:val="000000"/>
        </w:rPr>
      </w:pPr>
      <w:r>
        <w:rPr>
          <w:color w:val="000000"/>
        </w:rPr>
        <w:t>“</w:t>
      </w:r>
      <w:r>
        <w:rPr>
          <w:rFonts w:ascii="Times New Roman;sans-serif" w:hAnsi="Times New Roman;sans-serif"/>
          <w:b w:val="false"/>
          <w:color w:val="000000"/>
          <w:sz w:val="20"/>
        </w:rPr>
        <w:t xml:space="preserve">We are mindful of the wide range of possible outcomes related to tariff increases, including potential impacts on consumers and industrial activity. However, with performance in the first quarter significantly ahead of earlier expectations and demand remaining </w:t>
      </w:r>
    </w:p>
    <w:p>
      <w:pPr>
        <w:pStyle w:val="TextBody"/>
        <w:bidi w:val="0"/>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firm, the Company increases its full-year 2025 guidance range to $6.70 to $7.10 of adjusted diluted earnings per share, with second quarter adjusted diluted earnings per share expected to be in the range of $1.80 to $1.90,” commented Kevin C. Clothier, Senior Vice President and Chief Financial Officer.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generate approximately $800 million in adjusted free cash flow in 2025 after capital spending of approximately $450 million, and it expects the adjusted effective tax rate to be approximately 25%.</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rates and adjusted net leverage ratio for the second quarter and full year of 2025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w:t>
      </w:r>
    </w:p>
    <w:p>
      <w:pPr>
        <w:pStyle w:val="TextBody"/>
        <w:bidi w:val="0"/>
        <w:spacing w:lineRule="auto" w:line="268" w:before="0" w:after="0"/>
        <w:jc w:val="both"/>
        <w:rPr/>
      </w:pPr>
      <w:r>
        <w:rPr>
          <w:rFonts w:ascii="Times New Roman;sans-serif" w:hAnsi="Times New Roman;sans-serif"/>
          <w:b w:val="false"/>
          <w:color w:val="000000"/>
          <w:sz w:val="20"/>
        </w:rPr>
        <w:t xml:space="preserve">The Company will hold a conference call tomorrow, April 29, 2025,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sans-serif" w:hAnsi="Times New Roman;sans-serif"/>
          <w:b w:val="false"/>
          <w:color w:val="0000FF"/>
          <w:sz w:val="20"/>
          <w:u w:val="single"/>
        </w:rPr>
        <w:t>www.crowncork.com</w:t>
      </w:r>
      <w:r>
        <w:rPr>
          <w:rFonts w:ascii="Times New Roman;sans-serif" w:hAnsi="Times New Roman;sans-serif"/>
          <w:b w:val="false"/>
          <w:color w:val="000000"/>
          <w:sz w:val="20"/>
        </w:rPr>
        <w:t>. A replay of the conference call will be available for a one-week period ending at midnight on May 6, 2025. The telephone numbers for the replay are 203-369-3270 or toll free 800-395-6236.</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2025, including consumer preference for beverage cans and global beverage can demand; the future impact of inflation, including the potential for higher interest rates and energy prices and the Company’s ability to recover raw material and other inflationary costs, including tariffs and retaliatory trade measures; future demand for food cans; the Company’s ability to deliver continuous operational improvement; future demand in the Transit Packaging segment; and the Company’s ability to increase cash flow and to further reduce net leverage,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w:t>
      </w: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Form 10-K Annual Report for the year ended December 31, 2024 and in subsequent filings made prior to or after the date hereof. The Company does not intend to review or revise any particular forward-looking statement in light of future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Crown Holdings, Inc., through its subsidiaries, is a worldwide leader in the design, manufacture and sale of packaging products for consumer goods and industrial products. World headquarters are located in Tampa, Florida.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contact: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C. Clothier, Senior Vice President and Chief Financial Officer, (215) 698-5281</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Thomas T. Fischer, Vice President, Investor Relations and Corporate Affairs, (215) 552-3720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Consolidated Statements of Operations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w:t>
      </w:r>
    </w:p>
    <w:p>
      <w:pPr>
        <w:pStyle w:val="TextBody"/>
        <w:bidi w:val="0"/>
        <w:spacing w:before="0" w:after="0"/>
        <w:jc w:val="center"/>
        <w:rPr/>
      </w:pPr>
      <w:r>
        <w:rPr/>
      </w:r>
    </w:p>
    <w:tbl>
      <w:tblPr>
        <w:tblW w:w="9803" w:type="dxa"/>
        <w:jc w:val="center"/>
        <w:tblInd w:w="0" w:type="dxa"/>
        <w:tblLayout w:type="fixed"/>
        <w:tblCellMar>
          <w:top w:w="28" w:type="dxa"/>
          <w:left w:w="28" w:type="dxa"/>
          <w:bottom w:w="28" w:type="dxa"/>
          <w:right w:w="28" w:type="dxa"/>
        </w:tblCellMar>
      </w:tblPr>
      <w:tblGrid>
        <w:gridCol w:w="2315"/>
        <w:gridCol w:w="2033"/>
        <w:gridCol w:w="2057"/>
        <w:gridCol w:w="346"/>
        <w:gridCol w:w="840"/>
        <w:gridCol w:w="109"/>
        <w:gridCol w:w="109"/>
        <w:gridCol w:w="109"/>
        <w:gridCol w:w="109"/>
        <w:gridCol w:w="346"/>
        <w:gridCol w:w="840"/>
        <w:gridCol w:w="109"/>
        <w:gridCol w:w="109"/>
        <w:gridCol w:w="109"/>
        <w:gridCol w:w="109"/>
        <w:gridCol w:w="154"/>
      </w:tblGrid>
      <w:tr>
        <w:trPr/>
        <w:tc>
          <w:tcPr>
            <w:tcW w:w="231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Income from operations</w:t>
            </w:r>
            <w:r>
              <w:rPr>
                <w:color w:val="000000"/>
              </w:rPr>
              <w:t xml:space="preserve"> </w:t>
            </w:r>
            <w:r>
              <w:rPr>
                <w:rFonts w:ascii="Times New Roman;sans-serif" w:hAnsi="Times New Roman;sans-serif"/>
                <w:b/>
                <w:color w:val="000000"/>
                <w:sz w:val="13"/>
              </w:rPr>
              <w:t>(1)</w:t>
            </w:r>
            <w:r>
              <w:rPr>
                <w:color w:val="000000"/>
              </w:rPr>
              <w:t xml:space="preserve">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postretirement</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interest and taxes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before income taxes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earnings </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Crown Holdings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116,672,836 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119,574,366 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117,039,580 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119,815,849 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common shares outstanding at quarter end</w:t>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116,393,894 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120,780,403 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6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Financial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from Income from Operations to Segment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pStyle w:val="TextBody"/>
        <w:bidi w:val="0"/>
        <w:spacing w:before="0" w:after="0"/>
        <w:jc w:val="both"/>
        <w:rPr/>
      </w:pPr>
      <w:r>
        <w:rPr/>
      </w:r>
    </w:p>
    <w:tbl>
      <w:tblPr>
        <w:tblW w:w="452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Segment Information</w:t>
      </w:r>
    </w:p>
    <w:tbl>
      <w:tblPr>
        <w:tblW w:w="4419"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5679" w:type="dxa"/>
        <w:jc w:val="center"/>
        <w:tblInd w:w="0" w:type="dxa"/>
        <w:tblLayout w:type="fixed"/>
        <w:tblCellMar>
          <w:top w:w="28" w:type="dxa"/>
          <w:left w:w="28" w:type="dxa"/>
          <w:bottom w:w="28" w:type="dxa"/>
          <w:right w:w="28" w:type="dxa"/>
        </w:tblCellMar>
      </w:tblPr>
      <w:tblGrid>
        <w:gridCol w:w="1181"/>
        <w:gridCol w:w="1043"/>
        <w:gridCol w:w="1045"/>
        <w:gridCol w:w="211"/>
        <w:gridCol w:w="481"/>
        <w:gridCol w:w="109"/>
        <w:gridCol w:w="109"/>
        <w:gridCol w:w="109"/>
        <w:gridCol w:w="109"/>
        <w:gridCol w:w="211"/>
        <w:gridCol w:w="481"/>
        <w:gridCol w:w="109"/>
        <w:gridCol w:w="109"/>
        <w:gridCol w:w="109"/>
        <w:gridCol w:w="109"/>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Beverage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unallocated items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Company’s food can, aerosol can and closures businesses in North America,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203"/>
        <w:gridCol w:w="1857"/>
        <w:gridCol w:w="1868"/>
        <w:gridCol w:w="201"/>
        <w:gridCol w:w="201"/>
        <w:gridCol w:w="203"/>
        <w:gridCol w:w="109"/>
        <w:gridCol w:w="109"/>
        <w:gridCol w:w="109"/>
        <w:gridCol w:w="193"/>
        <w:gridCol w:w="193"/>
        <w:gridCol w:w="194"/>
        <w:gridCol w:w="109"/>
        <w:gridCol w:w="109"/>
        <w:gridCol w:w="109"/>
        <w:gridCol w:w="200"/>
        <w:gridCol w:w="200"/>
        <w:gridCol w:w="205"/>
        <w:gridCol w:w="109"/>
        <w:gridCol w:w="109"/>
        <w:gridCol w:w="109"/>
        <w:gridCol w:w="193"/>
        <w:gridCol w:w="193"/>
        <w:gridCol w:w="194"/>
        <w:gridCol w:w="109"/>
        <w:gridCol w:w="109"/>
        <w:gridCol w:w="109"/>
        <w:gridCol w:w="109"/>
        <w:gridCol w:w="109"/>
        <w:gridCol w:w="109"/>
        <w:gridCol w:w="109"/>
        <w:gridCol w:w="163"/>
      </w:tblGrid>
      <w:tr>
        <w:trPr/>
        <w:tc>
          <w:tcPr>
            <w:tcW w:w="220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2765" w:type="dxa"/>
            <w:gridSpan w:val="20"/>
            <w:tcBorders/>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income/diluted earnings per share attributable to Crown Holdings, as reported </w:t>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Intangibles amortization </w:t>
            </w:r>
            <w:r>
              <w:rPr>
                <w:rFonts w:ascii="Times New Roman;sans-serif" w:hAnsi="Times New Roman;sans-serif"/>
                <w:b w:val="false"/>
                <w:color w:val="000000"/>
                <w:sz w:val="13"/>
              </w:rPr>
              <w:t>(1)</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Restructuring and other </w:t>
            </w:r>
            <w:r>
              <w:rPr>
                <w:rFonts w:ascii="Times New Roman;sans-serif" w:hAnsi="Times New Roman;sans-serif"/>
                <w:b w:val="false"/>
                <w:color w:val="000000"/>
                <w:sz w:val="13"/>
              </w:rPr>
              <w:t>(2)</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Income taxes </w:t>
            </w:r>
            <w:r>
              <w:rPr>
                <w:rFonts w:ascii="Times New Roman;sans-serif" w:hAnsi="Times New Roman;sans-serif"/>
                <w:b w:val="false"/>
                <w:color w:val="000000"/>
                <w:sz w:val="13"/>
              </w:rPr>
              <w:t>(3)</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Equity earnings </w:t>
            </w:r>
            <w:r>
              <w:rPr>
                <w:rFonts w:ascii="Times New Roman;sans-serif" w:hAnsi="Times New Roman;sans-serif"/>
                <w:b w:val="false"/>
                <w:color w:val="000000"/>
                <w:sz w:val="13"/>
              </w:rPr>
              <w:t>(4)</w:t>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income/diluted earnings per share</w:t>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Effective tax rate as reported</w:t>
            </w:r>
            <w:r>
              <w:rPr>
                <w:color w:val="000000"/>
              </w:rPr>
              <w:t xml:space="preserve">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effective tax rate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 the first quarters of 2025 and 2024, the Company recorded charges of $35 million ($27 million net of tax) and $40 million ($31 million net of tax) for intangibles amortization arising from prior acquisitions.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 the first quarter of 2025, the Company recorded net restructuring and other gains of $2 million ($2 million net of tax). In the first quarter of 2024, the Company recorded net restructuring and other charges of $23 million ($22 million net of tax) for business reorganization activities.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The Company recorded income tax benefits of $31 million and $11 million in the first quarters of 2025 and 2024, primarily related to an income tax benefit of $22 million from an internal reorganization in the first quarter of 2025 and the items described above.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 the first quarter of 2024, the Company recorded its proportional share of intangible amortization and restructuring charges, net of tax, recorded by its European tinplate equity method investment, in the line Equity earnings.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tbl>
      <w:tblPr>
        <w:tblW w:w="7966" w:type="dxa"/>
        <w:jc w:val="center"/>
        <w:tblInd w:w="0" w:type="dxa"/>
        <w:tblLayout w:type="fixed"/>
        <w:tblCellMar>
          <w:top w:w="28" w:type="dxa"/>
          <w:left w:w="28" w:type="dxa"/>
          <w:bottom w:w="28" w:type="dxa"/>
          <w:right w:w="28" w:type="dxa"/>
        </w:tblCellMar>
      </w:tblPr>
      <w:tblGrid>
        <w:gridCol w:w="1363"/>
        <w:gridCol w:w="1198"/>
        <w:gridCol w:w="1203"/>
        <w:gridCol w:w="357"/>
        <w:gridCol w:w="1246"/>
        <w:gridCol w:w="184"/>
        <w:gridCol w:w="184"/>
        <w:gridCol w:w="184"/>
        <w:gridCol w:w="184"/>
        <w:gridCol w:w="357"/>
        <w:gridCol w:w="1246"/>
        <w:gridCol w:w="260"/>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 (Condensed &amp; Unaudited)</w:t>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4,220</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13,841</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14,691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4,838</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3,864</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13,841</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14,691</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(Condensed &amp;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7208" w:type="dxa"/>
        <w:jc w:val="center"/>
        <w:tblInd w:w="0" w:type="dxa"/>
        <w:tblLayout w:type="fixed"/>
        <w:tblCellMar>
          <w:top w:w="28" w:type="dxa"/>
          <w:left w:w="28" w:type="dxa"/>
          <w:bottom w:w="28" w:type="dxa"/>
          <w:right w:w="28" w:type="dxa"/>
        </w:tblCellMar>
      </w:tblPr>
      <w:tblGrid>
        <w:gridCol w:w="1838"/>
        <w:gridCol w:w="1616"/>
        <w:gridCol w:w="1630"/>
        <w:gridCol w:w="211"/>
        <w:gridCol w:w="481"/>
        <w:gridCol w:w="109"/>
        <w:gridCol w:w="109"/>
        <w:gridCol w:w="109"/>
        <w:gridCol w:w="109"/>
        <w:gridCol w:w="211"/>
        <w:gridCol w:w="63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and postretirement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Working capital changes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 xml:space="preserve">Net cash provided by/used for operating activities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provided by/used for investing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change in debt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shareholders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stock repurchased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noncontrolling interests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net</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used for/provided by financing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January 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Cash, cash equivalents and restricted cash at March 31 </w:t>
            </w:r>
            <w:r>
              <w:rPr>
                <w:rFonts w:ascii="Times New Roman;sans-serif" w:hAnsi="Times New Roman;sans-serif"/>
                <w:b/>
                <w:color w:val="000000"/>
                <w:sz w:val="13"/>
              </w:rPr>
              <w:t>(1)</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879</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1,218</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and cash equivalents include $100 million and $95 million of restricted cash at March 31, 2025 and 2024.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is defined by the Company as net cash from operating activities less capital expenditures and certain other items. A reconciliation of net cash from operating activities to adjusted free cash flow for the three months ended March 31, 2025 and 2024 follows. </w:t>
      </w:r>
    </w:p>
    <w:tbl>
      <w:tblPr>
        <w:tblW w:w="7573" w:type="dxa"/>
        <w:jc w:val="left"/>
        <w:tblInd w:w="0" w:type="dxa"/>
        <w:tblLayout w:type="fixed"/>
        <w:tblCellMar>
          <w:top w:w="28" w:type="dxa"/>
          <w:left w:w="28" w:type="dxa"/>
          <w:bottom w:w="28" w:type="dxa"/>
          <w:right w:w="28" w:type="dxa"/>
        </w:tblCellMar>
      </w:tblPr>
      <w:tblGrid>
        <w:gridCol w:w="1556"/>
        <w:gridCol w:w="1370"/>
        <w:gridCol w:w="1379"/>
        <w:gridCol w:w="312"/>
        <w:gridCol w:w="557"/>
        <w:gridCol w:w="161"/>
        <w:gridCol w:w="161"/>
        <w:gridCol w:w="161"/>
        <w:gridCol w:w="161"/>
        <w:gridCol w:w="312"/>
        <w:gridCol w:w="801"/>
        <w:gridCol w:w="161"/>
        <w:gridCol w:w="109"/>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by/used for operating activities</w:t>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included in investing activities </w:t>
            </w:r>
            <w:r>
              <w:rPr>
                <w:rFonts w:ascii="Times New Roman;sans-serif" w:hAnsi="Times New Roman;sans-serif"/>
                <w:b w:val="false"/>
                <w:color w:val="000000"/>
                <w:sz w:val="13"/>
              </w:rPr>
              <w:t>(2)</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Interest benefit of cross currency swaps included in investing activities.</w:t>
      </w:r>
    </w:p>
    <w:p>
      <w:pPr>
        <w:pStyle w:val="TextBody"/>
        <w:bidi w:val="0"/>
        <w:spacing w:before="0" w:after="283"/>
        <w:jc w:val="left"/>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u w:val="single"/>
        </w:rPr>
        <w:t>Impact of Foreign Currency Translation – Favorable/(Unfavorable)</w:t>
      </w:r>
      <w:r>
        <w:rPr>
          <w:color w:val="000000"/>
        </w:rPr>
        <w:t xml:space="preserve"> </w:t>
      </w:r>
      <w:r>
        <w:rPr>
          <w:rFonts w:ascii="Times New Roman;sans-serif" w:hAnsi="Times New Roman;sans-serif"/>
          <w:b/>
          <w:color w:val="000000"/>
          <w:sz w:val="13"/>
        </w:rPr>
        <w:t>(1)</w:t>
      </w:r>
    </w:p>
    <w:p>
      <w:pPr>
        <w:pStyle w:val="TextBody"/>
        <w:bidi w:val="0"/>
        <w:spacing w:before="0" w:after="0"/>
        <w:jc w:val="left"/>
        <w:rPr/>
      </w:pPr>
      <w:r>
        <w:rPr/>
      </w:r>
    </w:p>
    <w:tbl>
      <w:tblPr>
        <w:tblW w:w="5859" w:type="dxa"/>
        <w:jc w:val="left"/>
        <w:tblInd w:w="0" w:type="dxa"/>
        <w:tblLayout w:type="fixed"/>
        <w:tblCellMar>
          <w:top w:w="28" w:type="dxa"/>
          <w:left w:w="28" w:type="dxa"/>
          <w:bottom w:w="28" w:type="dxa"/>
          <w:right w:w="28" w:type="dxa"/>
        </w:tblCellMar>
      </w:tblPr>
      <w:tblGrid>
        <w:gridCol w:w="631"/>
        <w:gridCol w:w="554"/>
        <w:gridCol w:w="555"/>
        <w:gridCol w:w="396"/>
        <w:gridCol w:w="818"/>
        <w:gridCol w:w="204"/>
        <w:gridCol w:w="204"/>
        <w:gridCol w:w="204"/>
        <w:gridCol w:w="204"/>
        <w:gridCol w:w="486"/>
        <w:gridCol w:w="763"/>
        <w:gridCol w:w="250"/>
        <w:gridCol w:w="109"/>
        <w:gridCol w:w="109"/>
        <w:gridCol w:w="109"/>
        <w:gridCol w:w="109"/>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121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21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121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(31)</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Adjusted EBITDA and Adjusted Net Leverage Ratio</w:t>
      </w:r>
    </w:p>
    <w:tbl>
      <w:tblPr>
        <w:tblW w:w="8436" w:type="dxa"/>
        <w:jc w:val="left"/>
        <w:tblInd w:w="0" w:type="dxa"/>
        <w:tblLayout w:type="fixed"/>
        <w:tblCellMar>
          <w:top w:w="28" w:type="dxa"/>
          <w:left w:w="28" w:type="dxa"/>
          <w:bottom w:w="28" w:type="dxa"/>
          <w:right w:w="28" w:type="dxa"/>
        </w:tblCellMar>
      </w:tblPr>
      <w:tblGrid>
        <w:gridCol w:w="870"/>
        <w:gridCol w:w="764"/>
        <w:gridCol w:w="766"/>
        <w:gridCol w:w="217"/>
        <w:gridCol w:w="496"/>
        <w:gridCol w:w="112"/>
        <w:gridCol w:w="109"/>
        <w:gridCol w:w="109"/>
        <w:gridCol w:w="109"/>
        <w:gridCol w:w="217"/>
        <w:gridCol w:w="496"/>
        <w:gridCol w:w="112"/>
        <w:gridCol w:w="109"/>
        <w:gridCol w:w="109"/>
        <w:gridCol w:w="109"/>
        <w:gridCol w:w="306"/>
        <w:gridCol w:w="916"/>
        <w:gridCol w:w="158"/>
        <w:gridCol w:w="109"/>
        <w:gridCol w:w="109"/>
        <w:gridCol w:w="109"/>
        <w:gridCol w:w="429"/>
        <w:gridCol w:w="1283"/>
        <w:gridCol w:w="313"/>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March 31,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1,419</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1,539</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2,032</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debt </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5,286</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5,657</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leverage ratio</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3687</Words>
  <Characters>20278</Characters>
  <CharactersWithSpaces>23742</CharactersWithSpaces>
  <Paragraphs>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