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20, 2025</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CROWN HOLDINGS,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1020" w:type="dxa"/>
        <w:tblCellMar>
          <w:top w:w="0" w:type="dxa"/>
          <w:left w:w="0" w:type="dxa"/>
          <w:bottom w:w="0" w:type="dxa"/>
          <w:right w:w="0" w:type="dxa"/>
        </w:tblCellMar>
      </w:tblPr>
      <w:tr>
        <w:trPr>
          <w:trHeight w:val="233"/>
        </w:trPr>
        <w:tc>
          <w:tcPr>
            <w:tcW w:w="31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001-41550</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89"/>
        </w:trPr>
        <w:tc>
          <w:tcPr>
            <w:tcW w:w="3160" w:type="dxa"/>
            <w:vAlign w:val="bottom"/>
          </w:tcPr>
          <w:p>
            <w:pPr>
              <w:jc w:val="center"/>
              <w:ind w:right="87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10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rPr>
              <w:t>(Commission</w:t>
            </w:r>
          </w:p>
        </w:tc>
        <w:tc>
          <w:tcPr>
            <w:tcW w:w="2500" w:type="dxa"/>
            <w:vAlign w:val="bottom"/>
          </w:tcPr>
          <w:p>
            <w:pPr>
              <w:jc w:val="center"/>
              <w:ind w:left="1070"/>
              <w:spacing w:after="0" w:line="189"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File Number)</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14025 Riveredge Drive,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Trading Symbols</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2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7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CCK</w:t>
            </w:r>
          </w:p>
        </w:tc>
        <w:tc>
          <w:tcPr>
            <w:tcW w:w="54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400" w:type="dxa"/>
            <w:vAlign w:val="bottom"/>
          </w:tcPr>
          <w:p>
            <w:pPr>
              <w:spacing w:after="0"/>
              <w:rPr>
                <w:sz w:val="17"/>
                <w:szCs w:val="17"/>
                <w:color w:val="auto"/>
              </w:rPr>
            </w:pP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CCK26</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CCK96</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2"/>
        </w:trPr>
        <w:tc>
          <w:tcPr>
            <w:tcW w:w="25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54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979"/>
        </w:trPr>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798" w:gutter="0" w:footer="0" w:header="0"/>
        </w:sectPr>
      </w:pPr>
    </w:p>
    <w:bookmarkStart w:id="1" w:name="page2"/>
    <w:bookmarkEnd w:id="1"/>
    <w:p>
      <w:pPr>
        <w:spacing w:after="0" w:line="36"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2.02. RESULTS OF OPERATIONS AND FINANCIAL CONDITION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9.01. FINANCIAL STATEMENTS AND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INDEX TO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EX-99 PRESS RELEASE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1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On October 20, 2025 Crown Holdings, Inc. issued a press release announcing its earnings for the third quarter ended September 30, 2025. A copy of the press release is attached hereto as Exhibit 99 and incorporated herein by reference.</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furnished as an exhibit to this report.</w:t>
      </w:r>
    </w:p>
    <w:p>
      <w:pPr>
        <w:spacing w:after="0" w:line="85"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Press release, dated October 20, 2025, issued by Crown Holdings, Inc.</w:t>
      </w:r>
    </w:p>
    <w:p>
      <w:pPr>
        <w:spacing w:after="0" w:line="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17"/>
          <w:szCs w:val="17"/>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19685</wp:posOffset>
            </wp:positionV>
            <wp:extent cx="3257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Kevin C. Clothier</w:t>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 and Interim Chief</w:t>
      </w:r>
    </w:p>
    <w:p>
      <w:pPr>
        <w:ind w:left="564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October 20,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14" w:right="339" w:bottom="1440" w:gutter="0" w:footer="0" w:header="0"/>
        </w:sectPr>
      </w:pPr>
    </w:p>
    <w:bookmarkStart w:id="4" w:name="page5"/>
    <w:bookmarkEnd w:id="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-166370</wp:posOffset>
            </wp:positionV>
            <wp:extent cx="155130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314960</wp:posOffset>
            </wp:positionV>
            <wp:extent cx="685800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CROWN HOLDINGS, INC. REPORTS THIRD QUARTER 2025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90805</wp:posOffset>
            </wp:positionV>
            <wp:extent cx="685800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Tampa, FL - October 20, 2025. </w:t>
      </w:r>
      <w:r>
        <w:rPr>
          <w:rFonts w:ascii="Times New Roman" w:cs="Times New Roman" w:eastAsia="Times New Roman" w:hAnsi="Times New Roman"/>
          <w:sz w:val="18"/>
          <w:szCs w:val="18"/>
          <w:color w:val="auto"/>
        </w:rPr>
        <w:t>Crown Holdings, Inc. (NYSE: CCK) today announced its financial results for the third quarter ended September 30,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Third Quarter</w:t>
      </w:r>
    </w:p>
    <w:p>
      <w:pPr>
        <w:spacing w:after="0" w:line="2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Diluted earnings per share of $1.85 versus diluted loss per share of $1.47 in 2024</w:t>
      </w:r>
    </w:p>
    <w:p>
      <w:pPr>
        <w:spacing w:after="0" w:line="11"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Adjusted diluted earnings per share increased 13% to $2.24 compared to $1.99 in 2024</w:t>
      </w:r>
    </w:p>
    <w:p>
      <w:pPr>
        <w:spacing w:after="0" w:line="12"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Returned in excess of $400 million to shareholders during the first nine months</w:t>
      </w:r>
    </w:p>
    <w:p>
      <w:pPr>
        <w:spacing w:after="0" w:line="12" w:lineRule="exact"/>
        <w:rPr>
          <w:rFonts w:ascii="Times New Roman" w:cs="Times New Roman" w:eastAsia="Times New Roman" w:hAnsi="Times New Roman"/>
          <w:sz w:val="22"/>
          <w:szCs w:val="22"/>
          <w:color w:val="auto"/>
        </w:rPr>
      </w:pPr>
    </w:p>
    <w:p>
      <w:pPr>
        <w:ind w:left="660" w:hanging="328"/>
        <w:spacing w:after="0" w:line="219" w:lineRule="auto"/>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Long-term adjusted net leverage target of 2.5x achieved</w:t>
      </w:r>
    </w:p>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2025 Outlook</w:t>
      </w:r>
    </w:p>
    <w:p>
      <w:pPr>
        <w:spacing w:after="0" w:line="40" w:lineRule="exact"/>
        <w:rPr>
          <w:sz w:val="20"/>
          <w:szCs w:val="20"/>
          <w:color w:val="auto"/>
        </w:rPr>
      </w:pPr>
    </w:p>
    <w:p>
      <w:pPr>
        <w:ind w:left="660" w:right="300" w:hanging="328"/>
        <w:spacing w:after="0" w:line="227"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Full year guidance range for adjusted diluted earnings per share increased to $7.70 to $7.80 with adjusted free cash flow of approximately $1.0 billion</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Commenting on the quarter, Timothy J. Donahue, Chairman, President and Chief Executive Officer, stated, “The Company continued its robust 2025 performance during the third quarter, with adjusted diluted earnings per share increasing 13% and segment income 4% above a very strong prior year quarter. Driving the results was 12% volume growth in European Beverage, leading to a gain of 27% in European segment income. Global beverage can volumes were mixed during the quarter with softness in Asia and Latin America offsetting double-digit advances in Europe and the Middle East.</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light of the Company’s performance through nine months, projections for both diluted earnings per share and free cash flow have been increased. Additionally, the Company achieved its long-term adjusted net leverage target of 2.5x at September 30, while returning more than $400 million to shareholders in the form of share repurchases and dividends. As we look to the future, we remain committed to a strong balance sheet and returning excess cash to shareholders.”</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sales in the third quarter were $3,202 million compared to $3,074 million in the third quarter of 2024 reflecting increased shipments in European Beverage, the pass through of $104 million in higher material costs and favorable foreign currency translation of $34 million, partially offset by lower beverage can shipments in Latin America and Asia Pacific.</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Income from operations was $423 million in the third quarter compared to $444 million in the third quarter of 2024. Segment income in the third quarter of 2025 was $490 million compared to $472 million in the prior year third quarter driven by stronger results in European Beverage and the North American tinplate businesses.</w:t>
      </w:r>
    </w:p>
    <w:p>
      <w:pPr>
        <w:spacing w:after="0" w:line="21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Net income attributable to Crown Holdings in the third quarter was $214 million compared to a loss of $175 million in the third quarter of 2024. Reported diluted earnings per share were $1.85 in the third quarter of 2025 compared to a diluted loss of $1.47 in 2024 and adjusted diluted earnings per share were $2.24 compared to $1.99 in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 Results</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Net sales for the first nine months of 2025 were $9,238 million compared to $8,898 million in the first nine months of 2024, reflecting the pass through of $318 million in higher material costs and higher shipments in European Beverage and North American food can, partially offset by lower shipments in Asia Pacific and Transit Packaging.</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Income from operations was $1,179 million in the first nine months of 2025 compared to $1,068 million in the first nine months of 2024. Segment income in the first nine months of 2025 was $1,364 million compared to $1,217 million in the prior year period and includes the benefits from improved global manufacturing performance.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Crown Holdings in the first nine months of 2025 was $588 million compared to $66 million in the first nine months of 2024.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diluted earnings per share were $5.06 compared to $0.55 in 2024. Adjusted diluted earnings per share were $6.05 compared to $4.82 in 2024.</w:t>
      </w:r>
    </w:p>
    <w:p>
      <w:pPr>
        <w:sectPr>
          <w:pgSz w:w="11900" w:h="16838" w:orient="portrait"/>
          <w:cols w:equalWidth="0" w:num="1">
            <w:col w:w="11240"/>
          </w:cols>
          <w:pgMar w:left="320" w:top="4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1 of 10</w:t>
      </w:r>
    </w:p>
    <w:p>
      <w:pPr>
        <w:sectPr>
          <w:pgSz w:w="11900" w:h="16838" w:orient="portrait"/>
          <w:cols w:equalWidth="0" w:num="1">
            <w:col w:w="11240"/>
          </w:cols>
          <w:pgMar w:left="320" w:top="493" w:right="339" w:bottom="1440" w:gutter="0" w:footer="0" w:header="0"/>
          <w:type w:val="continuous"/>
        </w:sectPr>
      </w:pPr>
    </w:p>
    <w:bookmarkStart w:id="5" w:name="page6"/>
    <w:bookmarkEnd w:id="5"/>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-166370</wp:posOffset>
            </wp:positionV>
            <wp:extent cx="15513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a result of continued strong operating results, the Company is increasing its full year 2025 guidance range to $7.70 to $7.80 of adjusted diluted earnings per share,” commented Kevin C. Clothier, Senior Vice President and Chief Financial Officer. The Company expects fourth quarter adjusted diluted earnings per share to be in the range of $1.65 to $1.75.</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to generate approximately $1.0 billion in adjusted free cash flow in 2025, after capital spending of approximately $400 million, with the adjusted effective tax rate expected to be approximately 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Segment income, adjusted free cash flow, net debt, adjusted net leverage ratio, adjusted net income, the adjusted effective tax rate, adjusted diluted earnings per share, net interest expense, EBITDA and adjusted EBITDA are not defined terms under U.S. generally accepted accounting principles (non-GAAP measures). Non-GAAP measures should not be considered in isolation or as a substitute for income from operations, cash flow, leverage ratio, net income, effective tax rates, diluted earnings per share or interest expense and interest income prepared in accordance with U.S. GAAP and may not be comparable to calculations of similarly titled measures by other companies.</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Company views segment income as the principal measure of the performance of its operations and adjusted free cash flow and adjusted net leverage ratio as the principal measures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The Company believes that adjusted free cash flow and adjusted net leverage ratio provide meaningful measures of liquidity and a useful basis for assessing the Company’s ability to fund its activities, including the financing of acquisitions, debt repayments, share repurchases or dividends. The Company believes that adjusted net income, segment income, the adjusted effective tax rate and adjusted diluted earnings per share are useful in evaluating the Company’s operations as these measures are adjusted for items that affect comparability between periods. Segment income, adjusted free cash flow, net debt, adjusted net leverage ratio, adjusted net income, the adjusted effective tax rate, adjusted diluted earnings per share, net interest expense, EBITDA and adjusted EBITDA are derived from the Company’s Consolidated Statements of Operations, Cash Flows and Consolidated Balance Sheets, as applicable, and reconciliations to segment income, adjusted free cash flow, net debt, adjusted net leverage ratio, adjusted net income, the adjusted effective tax rate, adjusted diluted earnings per share and adjusted EBITDA can be found within this release. Reconciliations of estimated adjusted diluted earnings per share, adjusted free cash flow, the adjusted effective tax rates and adjusted net leverage ratio for the full year of 2025 to estimated diluted earnings per share, operating cash flow, the effective tax rate and income from operations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the adjusted effective tax rates and adjusted net leverage ratio, and could have a significant impact on earnings per share, the effective tax rate and income from operations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The Company will hold a conference call tomorrow, October 21, 2025, at 9:00 a.m. (EDT)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t>
      </w:r>
      <w:r>
        <w:rPr>
          <w:rFonts w:ascii="Times New Roman" w:cs="Times New Roman" w:eastAsia="Times New Roman" w:hAnsi="Times New Roman"/>
          <w:sz w:val="18"/>
          <w:szCs w:val="18"/>
          <w:u w:val="single" w:color="auto"/>
          <w:color w:val="0000FF"/>
        </w:rPr>
        <w:t>www.crowncork.com</w:t>
      </w:r>
      <w:r>
        <w:rPr>
          <w:rFonts w:ascii="Times New Roman" w:cs="Times New Roman" w:eastAsia="Times New Roman" w:hAnsi="Times New Roman"/>
          <w:sz w:val="18"/>
          <w:szCs w:val="18"/>
          <w:color w:val="000000"/>
        </w:rPr>
        <w:t>. A replay of the conference call will be available for a one-week period ending at midnight on October 28, 2025. The telephone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numbers for the replay are 203-369-3268 or toll free 800-391-9851.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Except for historical information, all other information in this press release consists of forward-looking statements. These forward-looking statements involve a number of risks, uncertainties and other factors, including the Company’s ability to continue to operate its plants, distribute its products and maintain its supply chain; the future impact of currency translation; the continuation of performance and market trends in 2025, including consumer preference for beverage cans and global beverage can demand; the future impact of inflation, including the potential for higher interest rates and energy prices and the Company’s ability to recover raw material and other inflationary costs, including tariffs and retaliatory trade measures; future demand for food cans; the Company’s ability to deliver continuous operational improvement; future demand in the Transit Packaging segment; and the Company’s ability to increase cash flow and to further reduce net leverage, that may cause actual results to be materially different from those expressed or implied in the forward-looking statements. Important factors that could cause the statements made in this press release or the actual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10</w:t>
      </w:r>
    </w:p>
    <w:p>
      <w:pPr>
        <w:sectPr>
          <w:pgSz w:w="11900" w:h="16838" w:orient="portrait"/>
          <w:cols w:equalWidth="0" w:num="1">
            <w:col w:w="11240"/>
          </w:cols>
          <w:pgMar w:left="320" w:top="601" w:right="339" w:bottom="1440" w:gutter="0" w:footer="0" w:header="0"/>
        </w:sectPr>
      </w:pPr>
    </w:p>
    <w:bookmarkStart w:id="6" w:name="page7"/>
    <w:bookmarkEnd w:id="6"/>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-166370</wp:posOffset>
            </wp:positionV>
            <wp:extent cx="155130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results of operations or financial condition of the Company to differ are discussed under the caption "Forward Looking Statements" in the Company's Form 10-K Annual Report for the year ended December 31, 2024 and in subsequent filings made prior to or after the date hereof. The Company does not intend to review or revise any particular forward-looking statement in light of future events.</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Tampa, Florida.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contact:</w:t>
      </w:r>
    </w:p>
    <w:p>
      <w:pPr>
        <w:spacing w:after="0" w:line="16" w:lineRule="exact"/>
        <w:rPr>
          <w:sz w:val="20"/>
          <w:szCs w:val="20"/>
          <w:color w:val="auto"/>
        </w:rPr>
      </w:pPr>
    </w:p>
    <w:p>
      <w:pPr>
        <w:ind w:right="4520"/>
        <w:spacing w:after="0" w:line="255" w:lineRule="auto"/>
        <w:rPr>
          <w:sz w:val="20"/>
          <w:szCs w:val="20"/>
          <w:color w:val="auto"/>
        </w:rPr>
      </w:pPr>
      <w:r>
        <w:rPr>
          <w:rFonts w:ascii="Times New Roman" w:cs="Times New Roman" w:eastAsia="Times New Roman" w:hAnsi="Times New Roman"/>
          <w:sz w:val="17"/>
          <w:szCs w:val="17"/>
          <w:color w:val="auto"/>
        </w:rPr>
        <w:t>Kevin C. Clothier, Senior Vice President and Chief Financial Officer, (215) 698-5281 Thomas T. Fischer, Vice President, Investor Relations and Corporate Affairs, (215) 552-3720</w:t>
      </w:r>
    </w:p>
    <w:p>
      <w:pPr>
        <w:spacing w:after="0" w:line="195"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10</w:t>
      </w:r>
    </w:p>
    <w:p>
      <w:pPr>
        <w:sectPr>
          <w:pgSz w:w="11900" w:h="16838" w:orient="portrait"/>
          <w:cols w:equalWidth="0" w:num="1">
            <w:col w:w="11240"/>
          </w:cols>
          <w:pgMar w:left="320" w:top="601"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-166370</wp:posOffset>
            </wp:positionV>
            <wp:extent cx="155130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21" w:lineRule="auto"/>
        <w:rPr>
          <w:sz w:val="20"/>
          <w:szCs w:val="20"/>
          <w:color w:val="auto"/>
        </w:rPr>
      </w:pPr>
      <w:r>
        <w:rPr>
          <w:rFonts w:ascii="Arial" w:cs="Arial" w:eastAsia="Arial" w:hAnsi="Arial"/>
          <w:sz w:val="14"/>
          <w:szCs w:val="14"/>
          <w:color w:val="auto"/>
        </w:rPr>
        <w:t>14025 Riveredge Drive, Suite 300</w:t>
      </w:r>
    </w:p>
    <w:p>
      <w:pPr>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Statements of Operations (Unaudited)</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share and per share data)</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600" w:type="dxa"/>
            <w:vAlign w:val="bottom"/>
            <w:gridSpan w:val="4"/>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8"/>
                <w:szCs w:val="18"/>
                <w:color w:val="auto"/>
              </w:rPr>
            </w:pPr>
          </w:p>
        </w:tc>
        <w:tc>
          <w:tcPr>
            <w:tcW w:w="1680" w:type="dxa"/>
            <w:vAlign w:val="bottom"/>
            <w:gridSpan w:val="3"/>
          </w:tcPr>
          <w:p>
            <w:pPr>
              <w:jc w:val="center"/>
              <w:ind w:left="57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640" w:type="dxa"/>
            <w:vAlign w:val="bottom"/>
            <w:tcBorders>
              <w:top w:val="single" w:sz="8" w:color="auto"/>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600" w:type="dxa"/>
            <w:vAlign w:val="bottom"/>
            <w:tcBorders>
              <w:top w:val="single" w:sz="8" w:color="auto"/>
              <w:bottom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63"/>
        </w:trPr>
        <w:tc>
          <w:tcPr>
            <w:tcW w:w="50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3,202</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3,074</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9,238</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8,898</w:t>
            </w:r>
          </w:p>
        </w:tc>
        <w:tc>
          <w:tcPr>
            <w:tcW w:w="0" w:type="dxa"/>
            <w:vAlign w:val="bottom"/>
          </w:tcPr>
          <w:p>
            <w:pPr>
              <w:spacing w:after="0"/>
              <w:rPr>
                <w:sz w:val="1"/>
                <w:szCs w:val="1"/>
                <w:color w:val="auto"/>
              </w:rPr>
            </w:pPr>
          </w:p>
        </w:tc>
      </w:tr>
      <w:tr>
        <w:trPr>
          <w:trHeight w:val="29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products sold</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8"/>
        </w:trPr>
        <w:tc>
          <w:tcPr>
            <w:tcW w:w="506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23"/>
                <w:szCs w:val="23"/>
                <w:b w:val="1"/>
                <w:bCs w:val="1"/>
                <w:color w:val="auto"/>
                <w:vertAlign w:val="superscript"/>
              </w:rPr>
              <w:t>(1)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1,068</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before interest and taxes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 before income taxes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earnings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682</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0" w:type="dxa"/>
            <w:vAlign w:val="bottom"/>
          </w:tcPr>
          <w:p>
            <w:pPr>
              <w:spacing w:after="0"/>
              <w:rPr>
                <w:sz w:val="1"/>
                <w:szCs w:val="1"/>
                <w:color w:val="auto"/>
              </w:rPr>
            </w:pPr>
          </w:p>
        </w:tc>
      </w:tr>
      <w:tr>
        <w:trPr>
          <w:trHeight w:val="22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Crown Holdings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588</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attributable to Crown Holdings</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shareholders: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115,243,289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119,267,481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115,743,257</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119,497,199</w:t>
            </w:r>
          </w:p>
        </w:tc>
        <w:tc>
          <w:tcPr>
            <w:tcW w:w="0" w:type="dxa"/>
            <w:vAlign w:val="bottom"/>
          </w:tcPr>
          <w:p>
            <w:pPr>
              <w:spacing w:after="0"/>
              <w:rPr>
                <w:sz w:val="1"/>
                <w:szCs w:val="1"/>
                <w:color w:val="auto"/>
              </w:rPr>
            </w:pPr>
          </w:p>
        </w:tc>
      </w:tr>
      <w:tr>
        <w:trPr>
          <w:trHeight w:val="229"/>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115,701,558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119,267,481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116,220,619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119,725,711</w:t>
            </w:r>
          </w:p>
        </w:tc>
        <w:tc>
          <w:tcPr>
            <w:tcW w:w="0" w:type="dxa"/>
            <w:vAlign w:val="bottom"/>
          </w:tcPr>
          <w:p>
            <w:pPr>
              <w:spacing w:after="0"/>
              <w:rPr>
                <w:sz w:val="1"/>
                <w:szCs w:val="1"/>
                <w:color w:val="auto"/>
              </w:rPr>
            </w:pPr>
          </w:p>
        </w:tc>
      </w:tr>
      <w:tr>
        <w:trPr>
          <w:trHeight w:val="234"/>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Actual common shares outstanding at quarter end</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115,347,894</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119,637,068</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115,347,894</w:t>
            </w: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119,637,068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5100" w:right="5060" w:hanging="4929"/>
        <w:spacing w:after="0" w:line="971" w:lineRule="auto"/>
        <w:tabs>
          <w:tab w:leader="none" w:pos="36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Reconciliation from income from operations to segment income follows. Page 4 of 10</w:t>
      </w:r>
    </w:p>
    <w:p>
      <w:pPr>
        <w:sectPr>
          <w:pgSz w:w="11900" w:h="16838" w:orient="portrait"/>
          <w:cols w:equalWidth="0" w:num="1">
            <w:col w:w="11060"/>
          </w:cols>
          <w:pgMar w:left="400" w:top="601" w:right="439" w:bottom="1440" w:gutter="0" w:footer="0" w:header="0"/>
        </w:sectPr>
      </w:pPr>
    </w:p>
    <w:bookmarkStart w:id="8" w:name="page9"/>
    <w:bookmarkEnd w:id="8"/>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-166370</wp:posOffset>
            </wp:positionV>
            <wp:extent cx="15513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3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Financial Data (Unaudited)</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Income from Operations to Segment Income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p>
      <w:pPr>
        <w:spacing w:after="0" w:line="302"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760" w:type="dxa"/>
            <w:vAlign w:val="bottom"/>
          </w:tcPr>
          <w:p>
            <w:pPr>
              <w:spacing w:after="0"/>
              <w:rPr>
                <w:sz w:val="20"/>
                <w:szCs w:val="20"/>
                <w:color w:val="auto"/>
              </w:rPr>
            </w:pPr>
          </w:p>
        </w:tc>
        <w:tc>
          <w:tcPr>
            <w:tcW w:w="214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27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7"/>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423</w:t>
            </w:r>
          </w:p>
        </w:tc>
        <w:tc>
          <w:tcPr>
            <w:tcW w:w="220" w:type="dxa"/>
            <w:vAlign w:val="bottom"/>
          </w:tcPr>
          <w:p>
            <w:pPr>
              <w:spacing w:after="0"/>
              <w:rPr>
                <w:sz w:val="20"/>
                <w:szCs w:val="20"/>
                <w:color w:val="auto"/>
              </w:rPr>
            </w:pP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c>
          <w:tcPr>
            <w:tcW w:w="5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1,179</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w:t>
            </w:r>
          </w:p>
        </w:tc>
      </w:tr>
      <w:tr>
        <w:trPr>
          <w:trHeight w:val="257"/>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amortization</w:t>
            </w:r>
          </w:p>
        </w:tc>
        <w:tc>
          <w:tcPr>
            <w:tcW w:w="760" w:type="dxa"/>
            <w:vAlign w:val="bottom"/>
          </w:tcPr>
          <w:p>
            <w:pPr>
              <w:spacing w:after="0"/>
              <w:rPr>
                <w:sz w:val="22"/>
                <w:szCs w:val="22"/>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25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w:t>
            </w:r>
          </w:p>
        </w:tc>
        <w:tc>
          <w:tcPr>
            <w:tcW w:w="7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490</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472</w:t>
            </w:r>
          </w:p>
        </w:tc>
        <w:tc>
          <w:tcPr>
            <w:tcW w:w="5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1,364</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1,217</w:t>
            </w:r>
          </w:p>
        </w:tc>
      </w:tr>
      <w:tr>
        <w:trPr>
          <w:trHeight w:val="21"/>
        </w:trPr>
        <w:tc>
          <w:tcPr>
            <w:tcW w:w="2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Segment Information</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36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8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4"/>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4"/>
          </w:tcPr>
          <w:p>
            <w:pPr>
              <w:ind w:left="500"/>
              <w:spacing w:after="0" w:line="19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8"/>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Americas Beverage</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1,417</w:t>
            </w:r>
          </w:p>
        </w:tc>
        <w:tc>
          <w:tcPr>
            <w:tcW w:w="220" w:type="dxa"/>
            <w:vAlign w:val="bottom"/>
          </w:tcPr>
          <w:p>
            <w:pPr>
              <w:spacing w:after="0"/>
              <w:rPr>
                <w:sz w:val="18"/>
                <w:szCs w:val="18"/>
                <w:color w:val="auto"/>
              </w:rPr>
            </w:pP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58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4,142</w:t>
            </w:r>
          </w:p>
        </w:tc>
        <w:tc>
          <w:tcPr>
            <w:tcW w:w="22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3,915</w:t>
            </w:r>
          </w:p>
        </w:tc>
        <w:tc>
          <w:tcPr>
            <w:tcW w:w="0" w:type="dxa"/>
            <w:vAlign w:val="bottom"/>
          </w:tcPr>
          <w:p>
            <w:pPr>
              <w:spacing w:after="0"/>
              <w:rPr>
                <w:sz w:val="1"/>
                <w:szCs w:val="1"/>
                <w:color w:val="auto"/>
              </w:rPr>
            </w:pPr>
          </w:p>
        </w:tc>
      </w:tr>
      <w:tr>
        <w:trPr>
          <w:trHeight w:val="229"/>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European Beverage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Transit Packaging</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34"/>
        </w:trPr>
        <w:tc>
          <w:tcPr>
            <w:tcW w:w="2860" w:type="dxa"/>
            <w:vAlign w:val="bottom"/>
            <w:gridSpan w:val="3"/>
          </w:tcPr>
          <w:p>
            <w:pPr>
              <w:spacing w:after="0" w:line="234"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3"/>
        </w:trPr>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3,202</w:t>
            </w:r>
          </w:p>
        </w:tc>
        <w:tc>
          <w:tcPr>
            <w:tcW w:w="22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3,074</w:t>
            </w:r>
          </w:p>
        </w:tc>
        <w:tc>
          <w:tcPr>
            <w:tcW w:w="5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9,238</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8,898</w:t>
            </w:r>
          </w:p>
        </w:tc>
        <w:tc>
          <w:tcPr>
            <w:tcW w:w="0" w:type="dxa"/>
            <w:vAlign w:val="bottom"/>
          </w:tcPr>
          <w:p>
            <w:pPr>
              <w:spacing w:after="0"/>
              <w:rPr>
                <w:sz w:val="1"/>
                <w:szCs w:val="1"/>
                <w:color w:val="auto"/>
              </w:rPr>
            </w:pPr>
          </w:p>
        </w:tc>
      </w:tr>
      <w:tr>
        <w:trPr>
          <w:trHeight w:val="20"/>
        </w:trPr>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28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Americas Beverage</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24"/>
                <w:szCs w:val="24"/>
                <w:color w:val="auto"/>
              </w:rPr>
            </w:pP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58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759</w:t>
            </w:r>
          </w:p>
        </w:tc>
        <w:tc>
          <w:tcPr>
            <w:tcW w:w="2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European Beverage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6"/>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Transit Packaging</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3"/>
        </w:trPr>
        <w:tc>
          <w:tcPr>
            <w:tcW w:w="2860" w:type="dxa"/>
            <w:vAlign w:val="bottom"/>
            <w:gridSpan w:val="3"/>
          </w:tcPr>
          <w:p>
            <w:pPr>
              <w:spacing w:after="0" w:line="23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4"/>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and other unallocated items</w:t>
            </w: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3"/>
        </w:trPr>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w:t>
            </w:r>
          </w:p>
        </w:tc>
        <w:tc>
          <w:tcPr>
            <w:tcW w:w="5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1,364</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1,217</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00" w:right="20" w:hanging="249"/>
        <w:spacing w:after="0" w:line="222" w:lineRule="auto"/>
        <w:tabs>
          <w:tab w:leader="none" w:pos="443"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Company’s food can, aerosol can and closures businesses in North America, and beverage tooling and equipment operations in the U.S. and United Kingdom.</w:t>
      </w:r>
    </w:p>
    <w:p>
      <w:pPr>
        <w:sectPr>
          <w:pgSz w:w="11900" w:h="16838" w:orient="portrait"/>
          <w:cols w:equalWidth="0" w:num="1">
            <w:col w:w="11240"/>
          </w:cols>
          <w:pgMar w:left="320" w:top="601" w:right="339" w:bottom="10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5 of 10</w:t>
      </w:r>
    </w:p>
    <w:p>
      <w:pPr>
        <w:sectPr>
          <w:pgSz w:w="11900" w:h="16838" w:orient="portrait"/>
          <w:cols w:equalWidth="0" w:num="1">
            <w:col w:w="11240"/>
          </w:cols>
          <w:pgMar w:left="320" w:top="601" w:right="339" w:bottom="1026" w:gutter="0" w:footer="0" w:header="0"/>
          <w:type w:val="continuous"/>
        </w:sectPr>
      </w:pPr>
    </w:p>
    <w:bookmarkStart w:id="9" w:name="page10"/>
    <w:bookmarkEnd w:id="9"/>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-166370</wp:posOffset>
            </wp:positionV>
            <wp:extent cx="1551305"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Data (Unaudited)</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Net Income and Diluted Earnings Per Share to Adjusted Net Income and Adjusted Diluted Earnings Per Share</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reconciles reported net income and diluted earnings per share attributable to the Company to adjusted net income and adjusted diluted earnings per share, as used elsewhere in this release.</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40" w:type="dxa"/>
            <w:vAlign w:val="bottom"/>
            <w:gridSpan w:val="7"/>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(loss)/diluted earnings (loss)</w:t>
            </w:r>
          </w:p>
        </w:tc>
        <w:tc>
          <w:tcPr>
            <w:tcW w:w="138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15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2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per share attributable to Crown Holdings,</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$214</w:t>
            </w:r>
          </w:p>
        </w:tc>
        <w:tc>
          <w:tcPr>
            <w:tcW w:w="76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$1.85</w:t>
            </w:r>
          </w:p>
        </w:tc>
        <w:tc>
          <w:tcPr>
            <w:tcW w:w="14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$(175)</w:t>
            </w:r>
          </w:p>
        </w:tc>
        <w:tc>
          <w:tcPr>
            <w:tcW w:w="16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$(1.47)</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620" w:type="dxa"/>
            <w:vAlign w:val="bottom"/>
            <w:vMerge w:val="continue"/>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$588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9"/>
              </w:rPr>
              <w:t>$5.06</w:t>
            </w:r>
          </w:p>
        </w:tc>
        <w:tc>
          <w:tcPr>
            <w:tcW w:w="16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$66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9"/>
              </w:rPr>
              <w:t>$0.55</w:t>
            </w:r>
          </w:p>
        </w:tc>
        <w:tc>
          <w:tcPr>
            <w:tcW w:w="0" w:type="dxa"/>
            <w:vAlign w:val="bottom"/>
          </w:tcPr>
          <w:p>
            <w:pPr>
              <w:spacing w:after="0"/>
              <w:rPr>
                <w:sz w:val="1"/>
                <w:szCs w:val="1"/>
                <w:color w:val="auto"/>
              </w:rPr>
            </w:pPr>
          </w:p>
        </w:tc>
      </w:tr>
      <w:tr>
        <w:trPr>
          <w:trHeight w:val="302"/>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Intangibles amortization </w:t>
            </w:r>
            <w:r>
              <w:rPr>
                <w:rFonts w:ascii="Times New Roman" w:cs="Times New Roman" w:eastAsia="Times New Roman" w:hAnsi="Times New Roman"/>
                <w:sz w:val="23"/>
                <w:szCs w:val="23"/>
                <w:color w:val="auto"/>
                <w:vertAlign w:val="superscript"/>
              </w:rPr>
              <w:t>(1)</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0.34</w:t>
            </w: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0.95</w:t>
            </w: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7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Restructuring and other </w:t>
            </w:r>
            <w:r>
              <w:rPr>
                <w:rFonts w:ascii="Times New Roman" w:cs="Times New Roman" w:eastAsia="Times New Roman" w:hAnsi="Times New Roman"/>
                <w:sz w:val="23"/>
                <w:szCs w:val="23"/>
                <w:color w:val="auto"/>
                <w:vertAlign w:val="superscript"/>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(0.11)</w:t>
            </w:r>
          </w:p>
        </w:tc>
        <w:tc>
          <w:tcPr>
            <w:tcW w:w="1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75</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0.64</w:t>
            </w:r>
          </w:p>
        </w:tc>
        <w:tc>
          <w:tcPr>
            <w:tcW w:w="160" w:type="dxa"/>
            <w:vAlign w:val="bottom"/>
          </w:tcPr>
          <w:p>
            <w:pPr>
              <w:spacing w:after="0"/>
              <w:rPr>
                <w:sz w:val="23"/>
                <w:szCs w:val="2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27</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0.22</w:t>
            </w:r>
          </w:p>
        </w:tc>
        <w:tc>
          <w:tcPr>
            <w:tcW w:w="0" w:type="dxa"/>
            <w:vAlign w:val="bottom"/>
          </w:tcPr>
          <w:p>
            <w:pPr>
              <w:spacing w:after="0"/>
              <w:rPr>
                <w:sz w:val="1"/>
                <w:szCs w:val="1"/>
                <w:color w:val="auto"/>
              </w:rPr>
            </w:pPr>
          </w:p>
        </w:tc>
      </w:tr>
      <w:tr>
        <w:trPr>
          <w:trHeight w:val="238"/>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0.01</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Other pension and postretirement </w:t>
            </w:r>
            <w:r>
              <w:rPr>
                <w:rFonts w:ascii="Times New Roman" w:cs="Times New Roman" w:eastAsia="Times New Roman" w:hAnsi="Times New Roman"/>
                <w:sz w:val="23"/>
                <w:szCs w:val="23"/>
                <w:color w:val="auto"/>
                <w:vertAlign w:val="superscript"/>
              </w:rPr>
              <w:t>(3)</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517</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(0.04)</w:t>
            </w: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4.34</w:t>
            </w:r>
          </w:p>
        </w:tc>
        <w:tc>
          <w:tcPr>
            <w:tcW w:w="0" w:type="dxa"/>
            <w:vAlign w:val="bottom"/>
          </w:tcPr>
          <w:p>
            <w:pPr>
              <w:spacing w:after="0"/>
              <w:rPr>
                <w:sz w:val="1"/>
                <w:szCs w:val="1"/>
                <w:color w:val="auto"/>
              </w:rPr>
            </w:pPr>
          </w:p>
        </w:tc>
      </w:tr>
      <w:tr>
        <w:trPr>
          <w:trHeight w:val="257"/>
        </w:trPr>
        <w:tc>
          <w:tcPr>
            <w:tcW w:w="326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 xml:space="preserve">Income taxes </w:t>
            </w:r>
            <w:r>
              <w:rPr>
                <w:rFonts w:ascii="Times New Roman" w:cs="Times New Roman" w:eastAsia="Times New Roman" w:hAnsi="Times New Roman"/>
                <w:sz w:val="23"/>
                <w:szCs w:val="23"/>
                <w:color w:val="auto"/>
                <w:vertAlign w:val="superscript"/>
              </w:rPr>
              <w:t>(4)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(0.50)</w:t>
            </w:r>
          </w:p>
        </w:tc>
        <w:tc>
          <w:tcPr>
            <w:tcW w:w="16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(171)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57"/>
        </w:trPr>
        <w:tc>
          <w:tcPr>
            <w:tcW w:w="326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 xml:space="preserve">Equity earnings </w:t>
            </w:r>
            <w:r>
              <w:rPr>
                <w:rFonts w:ascii="Times New Roman" w:cs="Times New Roman" w:eastAsia="Times New Roman" w:hAnsi="Times New Roman"/>
                <w:sz w:val="23"/>
                <w:szCs w:val="23"/>
                <w:color w:val="auto"/>
                <w:vertAlign w:val="superscript"/>
              </w:rPr>
              <w:t>(5)</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0.12</w:t>
            </w:r>
          </w:p>
        </w:tc>
        <w:tc>
          <w:tcPr>
            <w:tcW w:w="0" w:type="dxa"/>
            <w:vAlign w:val="bottom"/>
          </w:tcPr>
          <w:p>
            <w:pPr>
              <w:spacing w:after="0"/>
              <w:rPr>
                <w:sz w:val="1"/>
                <w:szCs w:val="1"/>
                <w:color w:val="auto"/>
              </w:rPr>
            </w:pPr>
          </w:p>
        </w:tc>
      </w:tr>
      <w:tr>
        <w:trPr>
          <w:trHeight w:val="238"/>
        </w:trPr>
        <w:tc>
          <w:tcPr>
            <w:tcW w:w="3260" w:type="dxa"/>
            <w:vAlign w:val="bottom"/>
          </w:tcPr>
          <w:p>
            <w:pPr>
              <w:ind w:left="220"/>
              <w:spacing w:after="0" w:line="237" w:lineRule="exact"/>
              <w:rPr>
                <w:sz w:val="20"/>
                <w:szCs w:val="20"/>
                <w:color w:val="auto"/>
              </w:rPr>
            </w:pPr>
            <w:r>
              <w:rPr>
                <w:rFonts w:ascii="Times New Roman" w:cs="Times New Roman" w:eastAsia="Times New Roman" w:hAnsi="Times New Roman"/>
                <w:sz w:val="18"/>
                <w:szCs w:val="18"/>
                <w:color w:val="auto"/>
              </w:rPr>
              <w:t xml:space="preserve">Noncontrolling interests </w:t>
            </w:r>
            <w:r>
              <w:rPr>
                <w:rFonts w:ascii="Times New Roman" w:cs="Times New Roman" w:eastAsia="Times New Roman" w:hAnsi="Times New Roman"/>
                <w:sz w:val="23"/>
                <w:szCs w:val="23"/>
                <w:color w:val="auto"/>
                <w:vertAlign w:val="superscript"/>
              </w:rPr>
              <w:t>(6)</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color w:val="auto"/>
              </w:rPr>
              <w:t>(0.07)</w:t>
            </w:r>
          </w:p>
        </w:tc>
        <w:tc>
          <w:tcPr>
            <w:tcW w:w="1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26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Adjusted net income/diluted earnings per</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$259</w:t>
            </w:r>
          </w:p>
        </w:tc>
        <w:tc>
          <w:tcPr>
            <w:tcW w:w="76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$2.24</w:t>
            </w:r>
          </w:p>
        </w:tc>
        <w:tc>
          <w:tcPr>
            <w:tcW w:w="14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$238</w:t>
            </w:r>
          </w:p>
        </w:tc>
        <w:tc>
          <w:tcPr>
            <w:tcW w:w="160" w:type="dxa"/>
            <w:vAlign w:val="bottom"/>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$1.99</w:t>
            </w:r>
          </w:p>
        </w:tc>
        <w:tc>
          <w:tcPr>
            <w:tcW w:w="14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$703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restart"/>
          </w:tcPr>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$6.05</w:t>
            </w:r>
          </w:p>
        </w:tc>
        <w:tc>
          <w:tcPr>
            <w:tcW w:w="16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$577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restart"/>
          </w:tcPr>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$4.82</w:t>
            </w: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share</w:t>
            </w:r>
          </w:p>
        </w:tc>
        <w:tc>
          <w:tcPr>
            <w:tcW w:w="62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 as reported</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26.1%</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Adjusted effective tax rate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25.2%</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25.8%</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208" w:lineRule="exact"/>
        <w:rPr>
          <w:sz w:val="20"/>
          <w:szCs w:val="20"/>
          <w:color w:val="auto"/>
        </w:rPr>
      </w:pPr>
    </w:p>
    <w:p>
      <w:pPr>
        <w:jc w:val="both"/>
        <w:ind w:left="420" w:hanging="331"/>
        <w:spacing w:after="0" w:line="228" w:lineRule="auto"/>
        <w:tabs>
          <w:tab w:leader="none" w:pos="4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third quarter and first nine months of 2025, the Company recorded charges of $37 million ($28 million net of tax) and $110 million ($84 million net of tax) for intangibles amortization arising from prior acquisitions. In the third quarter and first nine months of 2024, the Company recorded charges of $41 million ($33 million net of tax) and $122 million ($94 million net of tax) for intangibles amortization arising from prior acquisitions.</w:t>
      </w:r>
    </w:p>
    <w:p>
      <w:pPr>
        <w:spacing w:after="0" w:line="211" w:lineRule="exact"/>
        <w:rPr>
          <w:rFonts w:ascii="Times New Roman" w:cs="Times New Roman" w:eastAsia="Times New Roman" w:hAnsi="Times New Roman"/>
          <w:sz w:val="23"/>
          <w:szCs w:val="23"/>
          <w:color w:val="auto"/>
          <w:vertAlign w:val="superscript"/>
        </w:rPr>
      </w:pPr>
    </w:p>
    <w:p>
      <w:pPr>
        <w:jc w:val="both"/>
        <w:ind w:left="420" w:hanging="331"/>
        <w:spacing w:after="0" w:line="224" w:lineRule="auto"/>
        <w:tabs>
          <w:tab w:leader="none" w:pos="4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third quarter and first nine months of 2025, the Company recorded net restructuring and other charges of $30 million ($30 million net of tax) and $75 million ($70 million net of tax) primarily related to asset impairment charges in Asia Pacific, severance costs in the Transit Packaging segment and a reserve for a legal dispute. In the third quarter and first nine months of 2024, the Company recorded net restructuring and other gains of $13 million ($12 million net of tax) and net restructuring and other charges of $27 million ($24 million net of tax).</w:t>
      </w:r>
    </w:p>
    <w:p>
      <w:pPr>
        <w:spacing w:after="0" w:line="213" w:lineRule="exact"/>
        <w:rPr>
          <w:rFonts w:ascii="Times New Roman" w:cs="Times New Roman" w:eastAsia="Times New Roman" w:hAnsi="Times New Roman"/>
          <w:sz w:val="23"/>
          <w:szCs w:val="23"/>
          <w:color w:val="auto"/>
          <w:vertAlign w:val="superscript"/>
        </w:rPr>
      </w:pPr>
    </w:p>
    <w:p>
      <w:pPr>
        <w:jc w:val="both"/>
        <w:ind w:left="420" w:hanging="331"/>
        <w:spacing w:after="0" w:line="228" w:lineRule="auto"/>
        <w:tabs>
          <w:tab w:leader="none" w:pos="4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first nine months of 2025, the Company recorded a pension settlement gain of $5 million ($4 million net of tax), related to repayment of the contribution the Company made in 2021 to settle the U.K. defined pension plan. In the first nine months of 2024, the Company recorded charges of $519 million ($391 million net of tax) related to the partial settlements of the Company's defined benefit pension plan obligations in the U.S. and Canada.</w:t>
      </w:r>
    </w:p>
    <w:p>
      <w:pPr>
        <w:spacing w:after="0" w:line="211" w:lineRule="exact"/>
        <w:rPr>
          <w:rFonts w:ascii="Times New Roman" w:cs="Times New Roman" w:eastAsia="Times New Roman" w:hAnsi="Times New Roman"/>
          <w:sz w:val="23"/>
          <w:szCs w:val="23"/>
          <w:color w:val="auto"/>
          <w:vertAlign w:val="superscript"/>
        </w:rPr>
      </w:pPr>
    </w:p>
    <w:p>
      <w:pPr>
        <w:jc w:val="both"/>
        <w:ind w:left="420" w:hanging="331"/>
        <w:spacing w:after="0" w:line="226" w:lineRule="auto"/>
        <w:tabs>
          <w:tab w:leader="none" w:pos="4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recorded income tax benefits of $14 million and $58 million in the third quarter and first nine months of 2025, primarily related to an income tax benefit of $22 million from an internal reorganization in the first quarter of 2025, tax settlements and audits and the items described above. The Company recorded income tax benefits of $134 million and $171 million in the third quarter and first nine months of 2024.</w:t>
      </w:r>
    </w:p>
    <w:p>
      <w:pPr>
        <w:sectPr>
          <w:pgSz w:w="11900" w:h="16838" w:orient="portrait"/>
          <w:cols w:equalWidth="0" w:num="1">
            <w:col w:w="11240"/>
          </w:cols>
          <w:pgMar w:left="320" w:top="6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6 of 10</w:t>
      </w:r>
    </w:p>
    <w:p>
      <w:pPr>
        <w:sectPr>
          <w:pgSz w:w="11900" w:h="16838" w:orient="portrait"/>
          <w:cols w:equalWidth="0" w:num="1">
            <w:col w:w="11240"/>
          </w:cols>
          <w:pgMar w:left="320" w:top="60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-166370</wp:posOffset>
            </wp:positionV>
            <wp:extent cx="1551305" cy="497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21" w:lineRule="auto"/>
        <w:rPr>
          <w:sz w:val="20"/>
          <w:szCs w:val="20"/>
          <w:color w:val="auto"/>
        </w:rPr>
      </w:pPr>
      <w:r>
        <w:rPr>
          <w:rFonts w:ascii="Arial" w:cs="Arial" w:eastAsia="Arial" w:hAnsi="Arial"/>
          <w:sz w:val="14"/>
          <w:szCs w:val="14"/>
          <w:color w:val="auto"/>
        </w:rPr>
        <w:t>14025 Riveredge Drive, Suite 300</w:t>
      </w:r>
    </w:p>
    <w:p>
      <w:pPr>
        <w:spacing w:after="0"/>
        <w:rPr>
          <w:sz w:val="20"/>
          <w:szCs w:val="20"/>
          <w:color w:val="auto"/>
        </w:rPr>
      </w:pPr>
      <w:r>
        <w:rPr>
          <w:rFonts w:ascii="Arial" w:cs="Arial" w:eastAsia="Arial" w:hAnsi="Arial"/>
          <w:sz w:val="14"/>
          <w:szCs w:val="14"/>
          <w:color w:val="auto"/>
        </w:rPr>
        <w:t>Tampa, FL 33637</w:t>
      </w:r>
    </w:p>
    <w:p>
      <w:pPr>
        <w:spacing w:after="0" w:line="275" w:lineRule="exact"/>
        <w:rPr>
          <w:sz w:val="20"/>
          <w:szCs w:val="20"/>
          <w:color w:val="auto"/>
        </w:rPr>
      </w:pPr>
    </w:p>
    <w:p>
      <w:pPr>
        <w:ind w:left="340" w:hanging="331"/>
        <w:spacing w:after="0" w:line="222" w:lineRule="auto"/>
        <w:tabs>
          <w:tab w:leader="none" w:pos="3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third quarter and first nine months of 2024, the Company recorded its proportional share of intangible amortization and restructuring charges, net of tax, recorded by its European tinplate equity method investment, in the line Equity earnings.</w:t>
      </w:r>
    </w:p>
    <w:p>
      <w:pPr>
        <w:spacing w:after="0" w:line="181" w:lineRule="exact"/>
        <w:rPr>
          <w:rFonts w:ascii="Times New Roman" w:cs="Times New Roman" w:eastAsia="Times New Roman" w:hAnsi="Times New Roman"/>
          <w:sz w:val="23"/>
          <w:szCs w:val="23"/>
          <w:color w:val="auto"/>
          <w:vertAlign w:val="superscript"/>
        </w:rPr>
      </w:pPr>
    </w:p>
    <w:p>
      <w:pPr>
        <w:ind w:left="320" w:hanging="311"/>
        <w:spacing w:after="0"/>
        <w:tabs>
          <w:tab w:leader="none" w:pos="3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third quarter of 2025, the Company recorded noncontrolling interest related to the items described above.</w:t>
      </w:r>
    </w:p>
    <w:p>
      <w:pPr>
        <w:spacing w:after="0" w:line="200" w:lineRule="exact"/>
        <w:rPr>
          <w:sz w:val="20"/>
          <w:szCs w:val="20"/>
          <w:color w:val="auto"/>
        </w:rPr>
      </w:pPr>
    </w:p>
    <w:p>
      <w:pPr>
        <w:spacing w:after="0" w:line="3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Page 7 of 10</w:t>
      </w:r>
    </w:p>
    <w:p>
      <w:pPr>
        <w:sectPr>
          <w:pgSz w:w="11900" w:h="16838" w:orient="portrait"/>
          <w:cols w:equalWidth="0" w:num="1">
            <w:col w:w="11160"/>
          </w:cols>
          <w:pgMar w:left="400" w:top="601" w:right="339" w:bottom="1440" w:gutter="0" w:footer="0" w:header="0"/>
        </w:sectPr>
      </w:pPr>
    </w:p>
    <w:bookmarkStart w:id="11" w:name="page12"/>
    <w:bookmarkEnd w:id="11"/>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-166370</wp:posOffset>
            </wp:positionV>
            <wp:extent cx="1551305"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6900" w:type="dxa"/>
            <w:vAlign w:val="bottom"/>
            <w:gridSpan w:val="7"/>
          </w:tcPr>
          <w:p>
            <w:pPr>
              <w:ind w:left="2000"/>
              <w:spacing w:after="0"/>
              <w:rPr>
                <w:sz w:val="20"/>
                <w:szCs w:val="20"/>
                <w:color w:val="auto"/>
              </w:rPr>
            </w:pPr>
            <w:r>
              <w:rPr>
                <w:rFonts w:ascii="Times New Roman" w:cs="Times New Roman" w:eastAsia="Times New Roman" w:hAnsi="Times New Roman"/>
                <w:sz w:val="18"/>
                <w:szCs w:val="18"/>
                <w:b w:val="1"/>
                <w:bCs w:val="1"/>
                <w:color w:val="auto"/>
              </w:rPr>
              <w:t>Consolidated Balance Sheets (Condensed &amp; Unaudited)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(in millions)</w:t>
            </w: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1,738</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1,577</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1,565</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5,110</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50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4,169</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5,021</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795</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14,553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15,095</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500" w:type="dxa"/>
            <w:vAlign w:val="bottom"/>
          </w:tcPr>
          <w:p>
            <w:pPr>
              <w:spacing w:after="0"/>
              <w:rPr>
                <w:sz w:val="24"/>
                <w:szCs w:val="24"/>
                <w:color w:val="auto"/>
              </w:rPr>
            </w:pPr>
          </w:p>
        </w:tc>
        <w:tc>
          <w:tcPr>
            <w:tcW w:w="34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1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749</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3,398</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4,236</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50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1,142</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150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2,532</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3,045</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4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3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14,553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15,095</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15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 of 10</w:t>
      </w:r>
    </w:p>
    <w:p>
      <w:pPr>
        <w:sectPr>
          <w:pgSz w:w="11900" w:h="16838" w:orient="portrait"/>
          <w:cols w:equalWidth="0" w:num="1">
            <w:col w:w="11240"/>
          </w:cols>
          <w:pgMar w:left="320" w:top="601"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-166370</wp:posOffset>
            </wp:positionV>
            <wp:extent cx="1551305"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21" w:lineRule="auto"/>
        <w:rPr>
          <w:sz w:val="20"/>
          <w:szCs w:val="20"/>
          <w:color w:val="auto"/>
        </w:rPr>
      </w:pPr>
      <w:r>
        <w:rPr>
          <w:rFonts w:ascii="Arial" w:cs="Arial" w:eastAsia="Arial" w:hAnsi="Arial"/>
          <w:sz w:val="14"/>
          <w:szCs w:val="14"/>
          <w:color w:val="auto"/>
        </w:rPr>
        <w:t>14025 Riveredge Drive, Suite 300</w:t>
      </w:r>
    </w:p>
    <w:p>
      <w:pPr>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3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 (Condensed &amp; Unaudited)</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(in millions)</w:t>
      </w:r>
    </w:p>
    <w:p>
      <w:pPr>
        <w:spacing w:after="0" w:line="149" w:lineRule="exact"/>
        <w:rPr>
          <w:sz w:val="20"/>
          <w:szCs w:val="20"/>
          <w:color w:val="auto"/>
        </w:rPr>
      </w:pPr>
    </w:p>
    <w:tbl>
      <w:tblPr>
        <w:tblLayout w:type="fixed"/>
        <w:tblInd w:w="186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31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4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postretirement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contributions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Working capital changes and other</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bl>
    <w:p>
      <w:pPr>
        <w:spacing w:after="0" w:line="113" w:lineRule="exact"/>
        <w:rPr>
          <w:sz w:val="20"/>
          <w:szCs w:val="20"/>
          <w:color w:val="auto"/>
        </w:rPr>
      </w:pPr>
    </w:p>
    <w:tbl>
      <w:tblPr>
        <w:tblLayout w:type="fixed"/>
        <w:tblInd w:w="1860" w:type="dxa"/>
        <w:tblCellMar>
          <w:top w:w="0" w:type="dxa"/>
          <w:left w:w="0" w:type="dxa"/>
          <w:bottom w:w="0" w:type="dxa"/>
          <w:right w:w="0" w:type="dxa"/>
        </w:tblCellMar>
      </w:tblPr>
      <w:tr>
        <w:trPr>
          <w:trHeight w:val="238"/>
        </w:trPr>
        <w:tc>
          <w:tcPr>
            <w:tcW w:w="46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1,043</w:t>
            </w:r>
          </w:p>
        </w:tc>
        <w:tc>
          <w:tcPr>
            <w:tcW w:w="42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897</w:t>
            </w:r>
          </w:p>
        </w:tc>
      </w:tr>
      <w:tr>
        <w:trPr>
          <w:trHeight w:val="31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45"/>
        </w:trPr>
        <w:tc>
          <w:tcPr>
            <w:tcW w:w="46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Net cash used for investing activities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42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r>
      <w:tr>
        <w:trPr>
          <w:trHeight w:val="34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change in debt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45"/>
        </w:trPr>
        <w:tc>
          <w:tcPr>
            <w:tcW w:w="46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Net cash used for financing activities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c>
          <w:tcPr>
            <w:tcW w:w="42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r>
    </w:tbl>
    <w:p>
      <w:pPr>
        <w:spacing w:after="0" w:line="117" w:lineRule="exact"/>
        <w:rPr>
          <w:sz w:val="20"/>
          <w:szCs w:val="20"/>
          <w:color w:val="auto"/>
        </w:rPr>
      </w:pPr>
    </w:p>
    <w:p>
      <w:pPr>
        <w:sectPr>
          <w:pgSz w:w="11900" w:h="16838" w:orient="portrait"/>
          <w:cols w:equalWidth="0" w:num="1">
            <w:col w:w="11160"/>
          </w:cols>
          <w:pgMar w:left="400" w:top="601" w:right="339" w:bottom="1440" w:gutter="0" w:footer="0" w:header="0"/>
        </w:sectPr>
      </w:pPr>
    </w:p>
    <w:p>
      <w:pPr>
        <w:ind w:left="18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p>
      <w:pPr>
        <w:spacing w:after="0" w:line="15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Net change in cash and cash equivalents</w:t>
      </w:r>
    </w:p>
    <w:p>
      <w:pPr>
        <w:spacing w:after="0" w:line="5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Cash and cash equivalents at January 1</w:t>
      </w:r>
    </w:p>
    <w:p>
      <w:pPr>
        <w:spacing w:after="0" w:line="5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September 30 $</w:t>
      </w:r>
    </w:p>
    <w:p>
      <w:pPr>
        <w:ind w:left="1860"/>
        <w:spacing w:after="0"/>
        <w:rPr>
          <w:sz w:val="20"/>
          <w:szCs w:val="20"/>
          <w:color w:val="auto"/>
        </w:rPr>
      </w:pPr>
      <w:r>
        <w:rPr>
          <w:rFonts w:ascii="Times New Roman" w:cs="Times New Roman" w:eastAsia="Times New Roman" w:hAnsi="Times New Roman"/>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193040</wp:posOffset>
            </wp:positionV>
            <wp:extent cx="6643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4337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220"/>
        <w:spacing w:after="0"/>
        <w:tabs>
          <w:tab w:leader="none" w:pos="188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17145</wp:posOffset>
            </wp:positionV>
            <wp:extent cx="17570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138" w:lineRule="exact"/>
        <w:rPr>
          <w:sz w:val="20"/>
          <w:szCs w:val="20"/>
          <w:color w:val="auto"/>
        </w:rPr>
      </w:pPr>
    </w:p>
    <w:p>
      <w:pPr>
        <w:ind w:left="120"/>
        <w:spacing w:after="0"/>
        <w:tabs>
          <w:tab w:leader="none" w:pos="1700" w:val="left"/>
        </w:tabs>
        <w:rPr>
          <w:sz w:val="20"/>
          <w:szCs w:val="20"/>
          <w:color w:val="auto"/>
        </w:rPr>
      </w:pPr>
      <w:r>
        <w:rPr>
          <w:rFonts w:ascii="Times New Roman" w:cs="Times New Roman" w:eastAsia="Times New Roman" w:hAnsi="Times New Roman"/>
          <w:sz w:val="18"/>
          <w:szCs w:val="18"/>
          <w:color w:val="auto"/>
        </w:rPr>
        <w:t>262</w:t>
      </w:r>
      <w:r>
        <w:rPr>
          <w:sz w:val="20"/>
          <w:szCs w:val="20"/>
          <w:color w:val="auto"/>
        </w:rPr>
        <w:tab/>
      </w:r>
      <w:r>
        <w:rPr>
          <w:rFonts w:ascii="Times New Roman" w:cs="Times New Roman" w:eastAsia="Times New Roman" w:hAnsi="Times New Roman"/>
          <w:sz w:val="18"/>
          <w:szCs w:val="18"/>
          <w:color w:val="auto"/>
        </w:rPr>
        <w:t>433</w:t>
      </w:r>
    </w:p>
    <w:p>
      <w:pPr>
        <w:spacing w:after="0" w:line="50"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8"/>
          <w:szCs w:val="18"/>
          <w:color w:val="auto"/>
        </w:rPr>
        <w:t>1,400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17145</wp:posOffset>
            </wp:positionV>
            <wp:extent cx="17570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1" w:lineRule="exact"/>
        <w:rPr>
          <w:sz w:val="20"/>
          <w:szCs w:val="20"/>
          <w:color w:val="auto"/>
        </w:rPr>
      </w:pPr>
    </w:p>
    <w:p>
      <w:pPr>
        <w:spacing w:after="0"/>
        <w:tabs>
          <w:tab w:leader="none" w:pos="900" w:val="left"/>
          <w:tab w:leader="none" w:pos="1560" w:val="left"/>
        </w:tabs>
        <w:rPr>
          <w:sz w:val="20"/>
          <w:szCs w:val="20"/>
          <w:color w:val="auto"/>
        </w:rPr>
      </w:pPr>
      <w:r>
        <w:rPr>
          <w:rFonts w:ascii="Times New Roman" w:cs="Times New Roman" w:eastAsia="Times New Roman" w:hAnsi="Times New Roman"/>
          <w:sz w:val="18"/>
          <w:szCs w:val="18"/>
          <w:b w:val="1"/>
          <w:bCs w:val="1"/>
          <w:color w:val="auto"/>
        </w:rPr>
        <w:t>1,278</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1,833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19685</wp:posOffset>
            </wp:positionV>
            <wp:extent cx="1757045"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57045"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80" w:space="580"/>
            <w:col w:w="4000"/>
          </w:cols>
          <w:pgMar w:left="400" w:top="601" w:right="339" w:bottom="1440" w:gutter="0" w:footer="0" w:header="0"/>
          <w:type w:val="continuous"/>
        </w:sectPr>
      </w:pPr>
    </w:p>
    <w:p>
      <w:pPr>
        <w:spacing w:after="0" w:line="377" w:lineRule="exact"/>
        <w:rPr>
          <w:sz w:val="20"/>
          <w:szCs w:val="20"/>
          <w:color w:val="auto"/>
        </w:rPr>
      </w:pPr>
    </w:p>
    <w:p>
      <w:pPr>
        <w:ind w:left="320" w:hanging="311"/>
        <w:spacing w:after="0"/>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and cash equivalents include $106 million and $95 million of restricted cash at September 30, 2025 and 2024.</w:t>
      </w:r>
    </w:p>
    <w:p>
      <w:pPr>
        <w:spacing w:after="0" w:line="211" w:lineRule="exact"/>
        <w:rPr>
          <w:sz w:val="20"/>
          <w:szCs w:val="20"/>
          <w:color w:val="auto"/>
        </w:rPr>
      </w:pPr>
    </w:p>
    <w:p>
      <w:pPr>
        <w:jc w:val="both"/>
        <w:ind w:left="340"/>
        <w:spacing w:after="0" w:line="250" w:lineRule="auto"/>
        <w:rPr>
          <w:sz w:val="20"/>
          <w:szCs w:val="20"/>
          <w:color w:val="auto"/>
        </w:rPr>
      </w:pPr>
      <w:r>
        <w:rPr>
          <w:rFonts w:ascii="Times New Roman" w:cs="Times New Roman" w:eastAsia="Times New Roman" w:hAnsi="Times New Roman"/>
          <w:sz w:val="18"/>
          <w:szCs w:val="18"/>
          <w:color w:val="auto"/>
        </w:rPr>
        <w:t>Adjusted free cash flow is defined by the Company as net cash from operating activities less capital expenditures and certain other items. A reconciliation of net cash from operating activities to adjusted free cash flow for the three and nine months ended September 30, 2025 and 2024 follows.</w:t>
      </w:r>
    </w:p>
    <w:tbl>
      <w:tblPr>
        <w:tblLayout w:type="fixed"/>
        <w:tblInd w:w="600" w:type="dxa"/>
        <w:tblCellMar>
          <w:top w:w="0" w:type="dxa"/>
          <w:left w:w="0" w:type="dxa"/>
          <w:bottom w:w="0" w:type="dxa"/>
          <w:right w:w="0" w:type="dxa"/>
        </w:tblCellMar>
      </w:tblPr>
      <w:tr>
        <w:trPr>
          <w:trHeight w:val="195"/>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jc w:val="center"/>
              <w:ind w:right="520"/>
              <w:spacing w:after="0" w:line="195"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16"/>
                <w:szCs w:val="16"/>
                <w:color w:val="auto"/>
              </w:rPr>
            </w:pPr>
          </w:p>
        </w:tc>
        <w:tc>
          <w:tcPr>
            <w:tcW w:w="1860" w:type="dxa"/>
            <w:vAlign w:val="bottom"/>
            <w:gridSpan w:val="4"/>
          </w:tcPr>
          <w:p>
            <w:pPr>
              <w:jc w:val="right"/>
              <w:ind w:right="170"/>
              <w:spacing w:after="0" w:line="195"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3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18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52"/>
        </w:trPr>
        <w:tc>
          <w:tcPr>
            <w:tcW w:w="37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580</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554</w:t>
            </w:r>
          </w:p>
        </w:tc>
        <w:tc>
          <w:tcPr>
            <w:tcW w:w="3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1,043</w:t>
            </w:r>
          </w:p>
        </w:tc>
        <w:tc>
          <w:tcPr>
            <w:tcW w:w="3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897</w:t>
            </w:r>
          </w:p>
        </w:tc>
      </w:tr>
      <w:tr>
        <w:trPr>
          <w:trHeight w:val="30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included in investing activities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887</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w:t>
            </w:r>
          </w:p>
        </w:tc>
      </w:tr>
      <w:tr>
        <w:trPr>
          <w:trHeight w:val="21"/>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320" w:hanging="311"/>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benefit of cross currency swaps included in investing activities.</w:t>
      </w:r>
    </w:p>
    <w:p>
      <w:pPr>
        <w:sectPr>
          <w:pgSz w:w="11900" w:h="16838" w:orient="portrait"/>
          <w:cols w:equalWidth="0" w:num="1">
            <w:col w:w="11160"/>
          </w:cols>
          <w:pgMar w:left="400" w:top="60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Page 9 of 10</w:t>
      </w:r>
    </w:p>
    <w:p>
      <w:pPr>
        <w:sectPr>
          <w:pgSz w:w="11900" w:h="16838" w:orient="portrait"/>
          <w:cols w:equalWidth="0" w:num="1">
            <w:col w:w="11160"/>
          </w:cols>
          <w:pgMar w:left="400" w:top="601" w:right="339" w:bottom="1440" w:gutter="0" w:footer="0" w:header="0"/>
          <w:type w:val="continuous"/>
        </w:sectPr>
      </w:pPr>
    </w:p>
    <w:bookmarkStart w:id="13" w:name="page14"/>
    <w:bookmarkEnd w:id="13"/>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-166370</wp:posOffset>
            </wp:positionV>
            <wp:extent cx="1551305" cy="4972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5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Consolidated Supplemental Data (Unaudited)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(in millions)</w:t>
            </w:r>
          </w:p>
        </w:tc>
        <w:tc>
          <w:tcPr>
            <w:tcW w:w="9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60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 xml:space="preserve">Impact of Foreign Currency Translation – Favorable/(Unfavorable) </w:t>
            </w:r>
            <w:r>
              <w:rPr>
                <w:rFonts w:ascii="Times New Roman" w:cs="Times New Roman" w:eastAsia="Times New Roman" w:hAnsi="Times New Roman"/>
                <w:sz w:val="23"/>
                <w:szCs w:val="23"/>
                <w:b w:val="1"/>
                <w:bCs w:val="1"/>
                <w:color w:val="auto"/>
                <w:vertAlign w:val="superscript"/>
              </w:rPr>
              <w:t>(1)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60" w:type="dxa"/>
            <w:vAlign w:val="bottom"/>
          </w:tcPr>
          <w:p>
            <w:pPr>
              <w:spacing w:after="0"/>
              <w:rPr>
                <w:sz w:val="24"/>
                <w:szCs w:val="24"/>
                <w:color w:val="auto"/>
              </w:rPr>
            </w:pPr>
          </w:p>
        </w:tc>
        <w:tc>
          <w:tcPr>
            <w:tcW w:w="238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60" w:type="dxa"/>
            <w:vAlign w:val="bottom"/>
          </w:tcPr>
          <w:p>
            <w:pPr>
              <w:spacing w:after="0"/>
              <w:rPr>
                <w:sz w:val="20"/>
                <w:szCs w:val="20"/>
                <w:color w:val="auto"/>
              </w:rPr>
            </w:pPr>
          </w:p>
        </w:tc>
        <w:tc>
          <w:tcPr>
            <w:tcW w:w="238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Segment</w:t>
            </w:r>
          </w:p>
        </w:tc>
        <w:tc>
          <w:tcPr>
            <w:tcW w:w="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Segment</w:t>
            </w: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Pr>
          <w:p>
            <w:pPr>
              <w:spacing w:after="0"/>
              <w:rPr>
                <w:sz w:val="20"/>
                <w:szCs w:val="20"/>
                <w:color w:val="auto"/>
              </w:rPr>
            </w:pPr>
          </w:p>
        </w:tc>
        <w:tc>
          <w:tcPr>
            <w:tcW w:w="12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60" w:type="dxa"/>
            <w:vAlign w:val="bottom"/>
          </w:tcPr>
          <w:p>
            <w:pPr>
              <w:spacing w:after="0"/>
              <w:rPr>
                <w:sz w:val="20"/>
                <w:szCs w:val="20"/>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0" w:type="dxa"/>
            <w:vAlign w:val="bottom"/>
          </w:tcPr>
          <w:p>
            <w:pPr>
              <w:spacing w:after="0"/>
              <w:rPr>
                <w:sz w:val="1"/>
                <w:szCs w:val="1"/>
                <w:color w:val="auto"/>
              </w:rPr>
            </w:pPr>
          </w:p>
        </w:tc>
      </w:tr>
      <w:tr>
        <w:trPr>
          <w:trHeight w:val="27"/>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2"/>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1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1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3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w:t>
            </w:r>
          </w:p>
        </w:tc>
        <w:tc>
          <w:tcPr>
            <w:tcW w:w="3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660" w:hanging="328"/>
        <w:spacing w:after="0" w:line="228" w:lineRule="auto"/>
        <w:tabs>
          <w:tab w:leader="none" w:pos="64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dividing the current U.S. dollar results by current year average foreign exchange rates and then multiplying those amounts by the applicable prior year average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w w:val="99"/>
              </w:rPr>
              <w:t>Reconciliation of Adjusted EBITDA and Adjusted Net Leverage Ratio</w:t>
            </w:r>
          </w:p>
        </w:tc>
        <w:tc>
          <w:tcPr>
            <w:tcW w:w="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533"/>
        </w:trPr>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6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Full Year</w:t>
            </w:r>
          </w:p>
        </w:tc>
        <w:tc>
          <w:tcPr>
            <w:tcW w:w="21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1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38"/>
        </w:trPr>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YTD 2025</w:t>
            </w:r>
          </w:p>
        </w:tc>
        <w:tc>
          <w:tcPr>
            <w:tcW w:w="120" w:type="dxa"/>
            <w:vAlign w:val="bottom"/>
          </w:tcPr>
          <w:p>
            <w:pPr>
              <w:spacing w:after="0"/>
              <w:rPr>
                <w:sz w:val="20"/>
                <w:szCs w:val="20"/>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YTD 2024</w:t>
            </w: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160" w:type="dxa"/>
            <w:vAlign w:val="bottom"/>
          </w:tcPr>
          <w:p>
            <w:pPr>
              <w:spacing w:after="0"/>
              <w:rPr>
                <w:sz w:val="20"/>
                <w:szCs w:val="20"/>
                <w:color w:val="auto"/>
              </w:rPr>
            </w:pP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1,179</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1,068</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1,419</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1,530</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1,327</w:t>
            </w:r>
          </w:p>
        </w:tc>
      </w:tr>
      <w:tr>
        <w:trPr>
          <w:trHeight w:val="229"/>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 amortization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4"/>
        </w:trPr>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1,594</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1,439</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1,942</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2,097</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1,907</w:t>
            </w: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407"/>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w:t>
            </w: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2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5,286</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5,217</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5,772</w:t>
            </w:r>
          </w:p>
        </w:tc>
      </w:tr>
      <w:tr>
        <w:trPr>
          <w:trHeight w:val="20"/>
        </w:trPr>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412"/>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leverage ratio</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2.7x</w:t>
            </w:r>
          </w:p>
        </w:tc>
        <w:tc>
          <w:tcPr>
            <w:tcW w:w="160" w:type="dxa"/>
            <w:vAlign w:val="bottom"/>
          </w:tcPr>
          <w:p>
            <w:pPr>
              <w:spacing w:after="0"/>
              <w:rPr>
                <w:sz w:val="24"/>
                <w:szCs w:val="24"/>
                <w:color w:val="auto"/>
              </w:rPr>
            </w:pPr>
          </w:p>
        </w:tc>
        <w:tc>
          <w:tcPr>
            <w:tcW w:w="194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2.5x</w:t>
            </w:r>
          </w:p>
        </w:tc>
        <w:tc>
          <w:tcPr>
            <w:tcW w:w="1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3.0x</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10 of 10</w:t>
      </w:r>
    </w:p>
    <w:sectPr>
      <w:pgSz w:w="11900" w:h="16838" w:orient="portrait"/>
      <w:cols w:equalWidth="0" w:num="1">
        <w:col w:w="11240"/>
      </w:cols>
      <w:pgMar w:left="320" w:top="6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99"/>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2"/>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2025-10-20T16:57:57Z</dcterms:created>
  <dcterms:modified xsi:type="dcterms:W3CDTF">2025-10-20T16:57:57Z</dcterms:modified>
</cp:coreProperties>
</file>