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001-41550</w:t>
        </w:r>
      </w:hyperlink>
    </w:p>
    <w:p>
      <w:pPr>
        <w:spacing w:after="0" w:line="136" w:lineRule="exact"/>
        <w:rPr>
          <w:sz w:val="24"/>
          <w:szCs w:val="24"/>
          <w:color w:val="auto"/>
        </w:rPr>
      </w:pPr>
    </w:p>
    <w:p>
      <w:pPr>
        <w:ind w:left="3100"/>
        <w:spacing w:after="0"/>
        <w:tabs>
          <w:tab w:leader="none" w:pos="396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CROWN HOLDINGS, INC.</w:t>
        </w:r>
      </w:hyperlink>
    </w:p>
    <w:p>
      <w:pPr>
        <w:spacing w:after="0" w:line="57"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500"/>
        <w:spacing w:after="0"/>
        <w:tabs>
          <w:tab w:leader="none" w:pos="40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14025 Riveredge Drive, Suite 300</w:t>
      </w:r>
    </w:p>
    <w:p>
      <w:pPr>
        <w:spacing w:after="0" w:line="62" w:lineRule="exact"/>
        <w:rPr>
          <w:sz w:val="24"/>
          <w:szCs w:val="24"/>
          <w:color w:val="auto"/>
        </w:rPr>
      </w:pPr>
    </w:p>
    <w:tbl>
      <w:tblPr>
        <w:tblLayout w:type="fixed"/>
        <w:tblInd w:w="2500" w:type="dxa"/>
        <w:tblCellMar>
          <w:top w:w="0" w:type="dxa"/>
          <w:left w:w="0" w:type="dxa"/>
          <w:bottom w:w="0" w:type="dxa"/>
          <w:right w:w="0" w:type="dxa"/>
        </w:tblCellMar>
      </w:tblPr>
      <w:tr>
        <w:trPr>
          <w:trHeight w:val="228"/>
        </w:trPr>
        <w:tc>
          <w:tcPr>
            <w:tcW w:w="3180" w:type="dxa"/>
            <w:vAlign w:val="bottom"/>
          </w:tcPr>
          <w:p>
            <w:pPr>
              <w:ind w:left="1560"/>
              <w:spacing w:after="0"/>
              <w:rPr>
                <w:sz w:val="20"/>
                <w:szCs w:val="20"/>
                <w:color w:val="auto"/>
              </w:rPr>
            </w:pPr>
            <w:r>
              <w:rPr>
                <w:rFonts w:ascii="Times New Roman" w:cs="Times New Roman" w:eastAsia="Times New Roman" w:hAnsi="Times New Roman"/>
                <w:sz w:val="18"/>
                <w:szCs w:val="18"/>
                <w:color w:val="0000FF"/>
              </w:rPr>
              <w:t>Tampa   FLORIDA</w:t>
            </w:r>
          </w:p>
        </w:tc>
        <w:tc>
          <w:tcPr>
            <w:tcW w:w="18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0000FF"/>
              </w:rPr>
              <w:t>33637</w:t>
            </w:r>
          </w:p>
        </w:tc>
      </w:tr>
      <w:tr>
        <w:trPr>
          <w:trHeight w:val="274"/>
        </w:trPr>
        <w:tc>
          <w:tcPr>
            <w:tcW w:w="3180" w:type="dxa"/>
            <w:vAlign w:val="bottom"/>
          </w:tcPr>
          <w:p>
            <w:pPr>
              <w:spacing w:after="0"/>
              <w:rPr>
                <w:sz w:val="20"/>
                <w:szCs w:val="20"/>
                <w:color w:val="auto"/>
              </w:rPr>
            </w:pPr>
            <w:r>
              <w:rPr>
                <w:rFonts w:ascii="Arial" w:cs="Arial" w:eastAsia="Arial" w:hAnsi="Arial"/>
                <w:sz w:val="18"/>
                <w:szCs w:val="18"/>
                <w:color w:val="auto"/>
              </w:rPr>
              <w:t>Telephone number:</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215-698-5100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7.375% Debentures due December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8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NEW YORK STOCK EXCHANGE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0000FF"/>
              </w:rPr>
              <w:t>2025-12-22</w:t>
            </w:r>
          </w:p>
        </w:tc>
        <w:tc>
          <w:tcPr>
            <w:tcW w:w="176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258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Anthony Sozzi</w:t>
            </w:r>
          </w:p>
        </w:tc>
        <w:tc>
          <w:tcPr>
            <w:tcW w:w="260" w:type="dxa"/>
            <w:vAlign w:val="bottom"/>
          </w:tcPr>
          <w:p>
            <w:pPr>
              <w:spacing w:after="0"/>
              <w:rPr>
                <w:sz w:val="21"/>
                <w:szCs w:val="21"/>
                <w:color w:val="auto"/>
              </w:rPr>
            </w:pP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Analyst, Market Watch</w:t>
            </w:r>
          </w:p>
        </w:tc>
      </w:tr>
      <w:tr>
        <w:trPr>
          <w:trHeight w:val="252"/>
        </w:trPr>
        <w:tc>
          <w:tcPr>
            <w:tcW w:w="2060" w:type="dxa"/>
            <w:vAlign w:val="bottom"/>
            <w:tcBorders>
              <w:top w:val="single" w:sz="8" w:color="auto"/>
            </w:tcBorders>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5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line="235" w:lineRule="auto"/>
        <w:rPr>
          <w:sz w:val="20"/>
          <w:szCs w:val="20"/>
          <w:color w:val="auto"/>
        </w:rPr>
      </w:pPr>
      <w:r>
        <w:rPr>
          <w:rFonts w:ascii="Times New Roman" w:cs="Times New Roman" w:eastAsia="Times New Roman" w:hAnsi="Times New Roman"/>
          <w:sz w:val="22"/>
          <w:szCs w:val="22"/>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January 02, 2026, pursuant to the provisions of Rule 12d2-2 (a). [ X ] 17 CFR 240.12d2-2(a)(1) That the entire class of this security was called for redemption, maturity or retirement on December 21, 2025; appropriate notice thereof was given; funds sufficient for the payment of all such securities were deposited with an agency authorized to make such payment; and such funds were made available to security holders on December 22, 2025. The Exchange also notifies the Securities and Exchange Commission that as a result of the above indicated conditions this security was suspended from trading on December 22, 2025.</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41550" TargetMode="External"/><Relationship Id="rId11"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2025-12-22T09:39:27Z</dcterms:created>
  <dcterms:modified xsi:type="dcterms:W3CDTF">2025-12-22T09:39:27Z</dcterms:modified>
</cp:coreProperties>
</file>