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7346d8k.htm"/>
      <w:bookmarkStart w:id="1" w:name="ksd573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22,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CROWN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REGISTRANT’S BUSINESS AND OPERATIONS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2.03 below is hereby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FINANCIAL OPERATION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2.03.</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On September 22, 2025, Crown Holdings, Inc.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pursuant to which Crown European Holdings S.A. (the “</w:t>
      </w:r>
      <w:r>
        <w:rPr>
          <w:rFonts w:ascii="Times New Roman" w:hAnsi="Times New Roman"/>
          <w:sz w:val="20"/>
          <w:u w:val="single"/>
        </w:rPr>
        <w:t>Issuer</w:t>
      </w:r>
      <w:r>
        <w:rPr>
          <w:rFonts w:ascii="Times New Roman" w:hAnsi="Times New Roman"/>
          <w:sz w:val="20"/>
        </w:rPr>
        <w:t>”), a subsidiary of the Company, agreed to issue and sell to several initial purchasers, for whom BNP PARIBAS is acting as representative, €500,000,000 in aggregate principal amount of senior unsecured notes due 2031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September 30, 2031 and will accrue interest at a rate of 3.750% per year. Interest on the Notes will be payable semi-annually on March 30 and September 30 of each year, beginning on March 30, 2026. The Issuer may redeem some or all of the Notes, at its option, at any time prior to June 30, 2031 by paying 100% of the principal amount, plus accrued and unpaid interest, if any, to, but excluding, the redemption date, and a make-whole premium.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redeem some or all of the Notes, at its option, at any time on or after June 30, 2031 by paying 100% of the principal amount,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the Company experiences a change of control repurchase event, the Issuer may be required to offer to purchase the Notes at a purchase price equal to 101% of their principal amount,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obligations of the Issuer. The Notes will be unconditionally guaranteed on a senior basis by the Company and, subject to applicable law and exceptions, certain of the Company’s current and future subsidiaries organized under the laws of the United States, Canada, England and Wales, France, Germany, Luxembourg, Mexico, the Netherlands and Switzerland. </w:t>
      </w:r>
    </w:p>
    <w:p>
      <w:pPr>
        <w:pStyle w:val="TextBody"/>
        <w:bidi w:val="0"/>
        <w:spacing w:before="240" w:after="0"/>
        <w:jc w:val="left"/>
        <w:rPr>
          <w:rFonts w:ascii="Times New Roman" w:hAnsi="Times New Roman"/>
          <w:sz w:val="20"/>
        </w:rPr>
      </w:pPr>
      <w:r>
        <w:rPr>
          <w:rFonts w:ascii="Times New Roman" w:hAnsi="Times New Roman"/>
          <w:sz w:val="20"/>
        </w:rPr>
        <w:t>The Notes will be sold in a private placement and resold by the initial purchasers to persons reasonably believed to be qualified institutional buyers pursuant to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the full text of the Purchase Agreement attached hereto as Exhibit 10.1, which is hereby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 OTHER EVENTS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The Issuer has issued a conditional notice of redemption to redeem all of the Issuer’s outstanding 2.875% Senior Notes due 2026 (the “</w:t>
      </w:r>
      <w:r>
        <w:rPr>
          <w:rFonts w:ascii="Times New Roman" w:hAnsi="Times New Roman"/>
          <w:sz w:val="20"/>
          <w:u w:val="single"/>
        </w:rPr>
        <w:t>2026 Notes</w:t>
      </w:r>
      <w:r>
        <w:rPr>
          <w:rFonts w:ascii="Times New Roman" w:hAnsi="Times New Roman"/>
          <w:sz w:val="20"/>
        </w:rPr>
        <w:t>”) with an aggregate principal amount outstanding of €500 million. The 2026 Notes will be redeemed on October 22, 2025 (the “</w:t>
      </w:r>
      <w:r>
        <w:rPr>
          <w:rFonts w:ascii="Times New Roman" w:hAnsi="Times New Roman"/>
          <w:sz w:val="20"/>
          <w:u w:val="single"/>
        </w:rPr>
        <w:t>Redemption Date</w:t>
      </w:r>
      <w:r>
        <w:rPr>
          <w:rFonts w:ascii="Times New Roman" w:hAnsi="Times New Roman"/>
          <w:sz w:val="20"/>
        </w:rPr>
        <w:t xml:space="preserve">”) at the redemption price equal to 100% of the principal amount thereof, plus accrued and unpaid interest, if any, from and including the most recent Interest Payment Date, August 1, 2025, to, but not including, the Redemption Date. The redemption of the 2026 Notes is conditioned upon the issuance of the Notes pursuant to the Purchase Agreement, prior to the Redemption Date.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7346dex101.htm">
              <w:r>
                <w:rPr>
                  <w:rStyle w:val="InternetLink"/>
                </w:rPr>
                <w:t xml:space="preserve">Purchase Agreement, dated as of September 22, 2025, by and among the Company, the Issuer, BNP PARIBAS, as representative of the Initial Purchasers named in Schedule I thereto, and the Guarantors (as defined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23, 2025 </w:t>
      </w:r>
    </w:p>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665"/>
        <w:gridCol w:w="60"/>
        <w:gridCol w:w="261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David A. Beaver</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Vice President &amp; Treasurer</w:t>
            </w:r>
          </w:p>
        </w:tc>
      </w:tr>
    </w:tbl>
    <w:p>
      <w:pPr>
        <w:pStyle w:val="TextBody"/>
        <w:bidi w:val="0"/>
        <w:spacing w:before="0" w:after="0"/>
        <w:jc w:val="right"/>
        <w:rPr>
          <w:rFonts w:ascii="Times New Roman" w:hAnsi="Times New Roman"/>
          <w:b/>
          <w:sz w:val="20"/>
        </w:rPr>
      </w:pPr>
      <w:bookmarkStart w:id="2" w:name="d57346dex101.htm"/>
      <w:bookmarkStart w:id="3" w:name="ksd57346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CROWN HOLDINGS, INC.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BY </w:t>
      </w:r>
    </w:p>
    <w:p>
      <w:pPr>
        <w:pStyle w:val="TextBody"/>
        <w:bidi w:val="0"/>
        <w:spacing w:before="12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sz w:val="20"/>
        </w:rPr>
      </w:pPr>
      <w:r>
        <w:rPr>
          <w:rFonts w:ascii="Times New Roman" w:hAnsi="Times New Roman"/>
          <w:sz w:val="20"/>
        </w:rPr>
        <w:t xml:space="preserve">500,000,000 3.750% Senior Notes due 2031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22,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6"/>
        <w:gridCol w:w="121"/>
        <w:gridCol w:w="3249"/>
        <w:gridCol w:w="121"/>
        <w:gridCol w:w="3228"/>
      </w:tblGrid>
      <w:tr>
        <w:trPr/>
        <w:tc>
          <w:tcPr>
            <w:tcW w:w="34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BNP PARIBAS</w:t>
            </w:r>
          </w:p>
          <w:p>
            <w:pPr>
              <w:pStyle w:val="TableContents"/>
              <w:bidi w:val="0"/>
              <w:spacing w:before="0" w:after="0"/>
              <w:jc w:val="center"/>
              <w:rPr>
                <w:rFonts w:ascii="Times New Roman" w:hAnsi="Times New Roman"/>
                <w:sz w:val="20"/>
              </w:rPr>
            </w:pPr>
            <w:r>
              <w:rPr>
                <w:rFonts w:ascii="Times New Roman" w:hAnsi="Times New Roman"/>
                <w:sz w:val="20"/>
              </w:rPr>
              <w:t>16, boulevard des Italiens</w:t>
            </w:r>
          </w:p>
          <w:p>
            <w:pPr>
              <w:pStyle w:val="TableContents"/>
              <w:bidi w:val="0"/>
              <w:spacing w:before="0" w:after="20"/>
              <w:jc w:val="center"/>
              <w:rPr>
                <w:rFonts w:ascii="Times New Roman" w:hAnsi="Times New Roman"/>
                <w:sz w:val="20"/>
              </w:rPr>
            </w:pPr>
            <w:r>
              <w:rPr>
                <w:rFonts w:ascii="Times New Roman" w:hAnsi="Times New Roman"/>
                <w:sz w:val="20"/>
              </w:rPr>
              <w:t>75009 Paris</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0"/>
              <w:jc w:val="center"/>
              <w:rPr>
                <w:rFonts w:ascii="Times New Roman" w:hAnsi="Times New Roman"/>
                <w:sz w:val="20"/>
              </w:rPr>
            </w:pPr>
            <w:r>
              <w:rPr>
                <w:rFonts w:ascii="Times New Roman" w:hAnsi="Times New Roman"/>
                <w:sz w:val="20"/>
              </w:rPr>
              <w:t>Citigroup Global Markets Europe AG</w:t>
            </w:r>
          </w:p>
          <w:p>
            <w:pPr>
              <w:pStyle w:val="TableContents"/>
              <w:bidi w:val="0"/>
              <w:spacing w:before="0" w:after="0"/>
              <w:jc w:val="center"/>
              <w:rPr>
                <w:rFonts w:ascii="Times New Roman" w:hAnsi="Times New Roman"/>
                <w:sz w:val="20"/>
              </w:rPr>
            </w:pPr>
            <w:r>
              <w:rPr>
                <w:rFonts w:ascii="Times New Roman" w:hAnsi="Times New Roman"/>
                <w:sz w:val="20"/>
              </w:rPr>
              <w:t>Börsenplatz 9</w:t>
            </w:r>
          </w:p>
          <w:p>
            <w:pPr>
              <w:pStyle w:val="TableContents"/>
              <w:bidi w:val="0"/>
              <w:spacing w:before="0" w:after="0"/>
              <w:jc w:val="center"/>
              <w:rPr>
                <w:rFonts w:ascii="Times New Roman" w:hAnsi="Times New Roman"/>
                <w:sz w:val="20"/>
              </w:rPr>
            </w:pPr>
            <w:r>
              <w:rPr>
                <w:rFonts w:ascii="Times New Roman" w:hAnsi="Times New Roman"/>
                <w:sz w:val="20"/>
              </w:rPr>
              <w:t>60313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Deutsche Bank Aktiengesellschaft</w:t>
            </w:r>
          </w:p>
          <w:p>
            <w:pPr>
              <w:pStyle w:val="TableContents"/>
              <w:bidi w:val="0"/>
              <w:spacing w:before="0" w:after="0"/>
              <w:jc w:val="center"/>
              <w:rPr>
                <w:rFonts w:ascii="Times New Roman" w:hAnsi="Times New Roman"/>
                <w:sz w:val="20"/>
              </w:rPr>
            </w:pPr>
            <w:r>
              <w:rPr>
                <w:rFonts w:ascii="Times New Roman" w:hAnsi="Times New Roman"/>
                <w:sz w:val="20"/>
              </w:rPr>
              <w:t>Taunusanlage 12</w:t>
            </w:r>
          </w:p>
          <w:p>
            <w:pPr>
              <w:pStyle w:val="TableContents"/>
              <w:bidi w:val="0"/>
              <w:spacing w:before="0" w:after="0"/>
              <w:jc w:val="center"/>
              <w:rPr>
                <w:rFonts w:ascii="Times New Roman" w:hAnsi="Times New Roman"/>
                <w:sz w:val="20"/>
              </w:rPr>
            </w:pPr>
            <w:r>
              <w:rPr>
                <w:rFonts w:ascii="Times New Roman" w:hAnsi="Times New Roman"/>
                <w:sz w:val="20"/>
              </w:rPr>
              <w:t>60325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r>
      <w:tr>
        <w:trPr>
          <w:trHeight w:val="120" w:hRule="atLeast"/>
        </w:trPr>
        <w:tc>
          <w:tcPr>
            <w:tcW w:w="3486"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BofA Securities Europe SA</w:t>
            </w:r>
          </w:p>
          <w:p>
            <w:pPr>
              <w:pStyle w:val="TableContents"/>
              <w:bidi w:val="0"/>
              <w:spacing w:before="0" w:after="0"/>
              <w:jc w:val="center"/>
              <w:rPr>
                <w:rFonts w:ascii="Times New Roman" w:hAnsi="Times New Roman"/>
                <w:sz w:val="20"/>
              </w:rPr>
            </w:pPr>
            <w:r>
              <w:rPr>
                <w:rFonts w:ascii="Times New Roman" w:hAnsi="Times New Roman"/>
                <w:sz w:val="20"/>
              </w:rPr>
              <w:t>51 rue La Boétie</w:t>
            </w:r>
          </w:p>
          <w:p>
            <w:pPr>
              <w:pStyle w:val="TableContents"/>
              <w:bidi w:val="0"/>
              <w:spacing w:before="0" w:after="20"/>
              <w:jc w:val="center"/>
              <w:rPr>
                <w:rFonts w:ascii="Times New Roman" w:hAnsi="Times New Roman"/>
                <w:sz w:val="20"/>
              </w:rPr>
            </w:pPr>
            <w:r>
              <w:rPr>
                <w:rFonts w:ascii="Times New Roman" w:hAnsi="Times New Roman"/>
                <w:sz w:val="20"/>
              </w:rPr>
              <w:t>75008 Paris</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0"/>
              <w:jc w:val="center"/>
              <w:rPr>
                <w:rFonts w:ascii="Times New Roman" w:hAnsi="Times New Roman"/>
                <w:sz w:val="20"/>
              </w:rPr>
            </w:pPr>
            <w:r>
              <w:rPr>
                <w:rFonts w:ascii="Times New Roman" w:hAnsi="Times New Roman"/>
                <w:sz w:val="20"/>
              </w:rPr>
              <w:t>Mizuho Bank Europe N.V.</w:t>
            </w:r>
          </w:p>
          <w:p>
            <w:pPr>
              <w:pStyle w:val="TableContents"/>
              <w:bidi w:val="0"/>
              <w:spacing w:before="0" w:after="0"/>
              <w:jc w:val="center"/>
              <w:rPr>
                <w:rFonts w:ascii="Times New Roman" w:hAnsi="Times New Roman"/>
                <w:sz w:val="20"/>
              </w:rPr>
            </w:pPr>
            <w:r>
              <w:rPr>
                <w:rFonts w:ascii="Times New Roman" w:hAnsi="Times New Roman"/>
                <w:sz w:val="20"/>
              </w:rPr>
              <w:t>Atrium Amsterdam</w:t>
            </w:r>
          </w:p>
          <w:p>
            <w:pPr>
              <w:pStyle w:val="TableContents"/>
              <w:bidi w:val="0"/>
              <w:spacing w:before="0" w:after="0"/>
              <w:jc w:val="center"/>
              <w:rPr>
                <w:rFonts w:ascii="Times New Roman" w:hAnsi="Times New Roman"/>
                <w:sz w:val="20"/>
              </w:rPr>
            </w:pPr>
            <w:r>
              <w:rPr>
                <w:rFonts w:ascii="Times New Roman" w:hAnsi="Times New Roman"/>
                <w:sz w:val="20"/>
              </w:rPr>
              <w:t>3rd Floor</w:t>
            </w:r>
          </w:p>
          <w:p>
            <w:pPr>
              <w:pStyle w:val="TableContents"/>
              <w:bidi w:val="0"/>
              <w:spacing w:before="0" w:after="0"/>
              <w:jc w:val="center"/>
              <w:rPr>
                <w:rFonts w:ascii="Times New Roman" w:hAnsi="Times New Roman"/>
                <w:sz w:val="20"/>
              </w:rPr>
            </w:pPr>
            <w:r>
              <w:rPr>
                <w:rFonts w:ascii="Times New Roman" w:hAnsi="Times New Roman"/>
                <w:sz w:val="20"/>
              </w:rPr>
              <w:t>Strawinskylaan 3053</w:t>
            </w:r>
          </w:p>
          <w:p>
            <w:pPr>
              <w:pStyle w:val="TableContents"/>
              <w:bidi w:val="0"/>
              <w:spacing w:before="0" w:after="0"/>
              <w:jc w:val="center"/>
              <w:rPr>
                <w:rFonts w:ascii="Times New Roman" w:hAnsi="Times New Roman"/>
                <w:sz w:val="20"/>
              </w:rPr>
            </w:pPr>
            <w:r>
              <w:rPr>
                <w:rFonts w:ascii="Times New Roman" w:hAnsi="Times New Roman"/>
                <w:sz w:val="20"/>
              </w:rPr>
              <w:t>1077 ZX Amsterdam</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MUFG Securities (Europe) N.V.</w:t>
            </w:r>
          </w:p>
          <w:p>
            <w:pPr>
              <w:pStyle w:val="TableContents"/>
              <w:bidi w:val="0"/>
              <w:spacing w:before="0" w:after="0"/>
              <w:jc w:val="center"/>
              <w:rPr>
                <w:rFonts w:ascii="Times New Roman" w:hAnsi="Times New Roman"/>
                <w:sz w:val="20"/>
              </w:rPr>
            </w:pPr>
            <w:r>
              <w:rPr>
                <w:rFonts w:ascii="Times New Roman" w:hAnsi="Times New Roman"/>
                <w:sz w:val="20"/>
              </w:rPr>
              <w:t>World Trade Center,</w:t>
            </w:r>
          </w:p>
          <w:p>
            <w:pPr>
              <w:pStyle w:val="TableContents"/>
              <w:bidi w:val="0"/>
              <w:spacing w:before="0" w:after="0"/>
              <w:jc w:val="center"/>
              <w:rPr>
                <w:rFonts w:ascii="Times New Roman" w:hAnsi="Times New Roman"/>
                <w:sz w:val="20"/>
              </w:rPr>
            </w:pPr>
            <w:r>
              <w:rPr>
                <w:rFonts w:ascii="Times New Roman" w:hAnsi="Times New Roman"/>
                <w:sz w:val="20"/>
              </w:rPr>
              <w:t>Tower Two, 5th Floor</w:t>
            </w:r>
          </w:p>
          <w:p>
            <w:pPr>
              <w:pStyle w:val="TableContents"/>
              <w:bidi w:val="0"/>
              <w:spacing w:before="0" w:after="0"/>
              <w:jc w:val="center"/>
              <w:rPr>
                <w:rFonts w:ascii="Times New Roman" w:hAnsi="Times New Roman"/>
                <w:sz w:val="20"/>
              </w:rPr>
            </w:pPr>
            <w:r>
              <w:rPr>
                <w:rFonts w:ascii="Times New Roman" w:hAnsi="Times New Roman"/>
                <w:sz w:val="20"/>
              </w:rPr>
              <w:t>Strawinskylaan 1887</w:t>
            </w:r>
          </w:p>
          <w:p>
            <w:pPr>
              <w:pStyle w:val="TableContents"/>
              <w:bidi w:val="0"/>
              <w:spacing w:before="0" w:after="0"/>
              <w:jc w:val="center"/>
              <w:rPr>
                <w:rFonts w:ascii="Times New Roman" w:hAnsi="Times New Roman"/>
                <w:sz w:val="20"/>
              </w:rPr>
            </w:pPr>
            <w:r>
              <w:rPr>
                <w:rFonts w:ascii="Times New Roman" w:hAnsi="Times New Roman"/>
                <w:sz w:val="20"/>
              </w:rPr>
              <w:t>1077 XX Amsterdam</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r>
      <w:tr>
        <w:trPr>
          <w:trHeight w:val="120" w:hRule="atLeast"/>
        </w:trPr>
        <w:tc>
          <w:tcPr>
            <w:tcW w:w="3486"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Coöperatieve Rabobank U.A.</w:t>
            </w:r>
          </w:p>
          <w:p>
            <w:pPr>
              <w:pStyle w:val="TableContents"/>
              <w:bidi w:val="0"/>
              <w:spacing w:before="0" w:after="0"/>
              <w:jc w:val="center"/>
              <w:rPr>
                <w:rFonts w:ascii="Times New Roman" w:hAnsi="Times New Roman"/>
                <w:sz w:val="20"/>
              </w:rPr>
            </w:pPr>
            <w:r>
              <w:rPr>
                <w:rFonts w:ascii="Times New Roman" w:hAnsi="Times New Roman"/>
                <w:sz w:val="20"/>
              </w:rPr>
              <w:t>Croeselaan 18</w:t>
            </w:r>
          </w:p>
          <w:p>
            <w:pPr>
              <w:pStyle w:val="TableContents"/>
              <w:bidi w:val="0"/>
              <w:spacing w:before="0" w:after="0"/>
              <w:jc w:val="center"/>
              <w:rPr>
                <w:rFonts w:ascii="Times New Roman" w:hAnsi="Times New Roman"/>
                <w:sz w:val="20"/>
              </w:rPr>
            </w:pPr>
            <w:r>
              <w:rPr>
                <w:rFonts w:ascii="Times New Roman" w:hAnsi="Times New Roman"/>
                <w:sz w:val="20"/>
              </w:rPr>
              <w:t>3521CB Utrecht</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0"/>
              <w:jc w:val="center"/>
              <w:rPr>
                <w:rFonts w:ascii="Times New Roman" w:hAnsi="Times New Roman"/>
                <w:sz w:val="20"/>
              </w:rPr>
            </w:pPr>
            <w:r>
              <w:rPr>
                <w:rFonts w:ascii="Times New Roman" w:hAnsi="Times New Roman"/>
                <w:sz w:val="20"/>
              </w:rPr>
              <w:t>Banco Santander, S.A.</w:t>
            </w:r>
          </w:p>
          <w:p>
            <w:pPr>
              <w:pStyle w:val="TableContents"/>
              <w:bidi w:val="0"/>
              <w:spacing w:before="0" w:after="0"/>
              <w:jc w:val="center"/>
              <w:rPr>
                <w:rFonts w:ascii="Times New Roman" w:hAnsi="Times New Roman"/>
                <w:sz w:val="20"/>
              </w:rPr>
            </w:pPr>
            <w:r>
              <w:rPr>
                <w:rFonts w:ascii="Times New Roman" w:hAnsi="Times New Roman"/>
                <w:sz w:val="20"/>
              </w:rPr>
              <w:t>Grupo Santander</w:t>
            </w:r>
          </w:p>
          <w:p>
            <w:pPr>
              <w:pStyle w:val="TableContents"/>
              <w:bidi w:val="0"/>
              <w:spacing w:before="0" w:after="0"/>
              <w:jc w:val="center"/>
              <w:rPr>
                <w:rFonts w:ascii="Times New Roman" w:hAnsi="Times New Roman"/>
                <w:sz w:val="20"/>
              </w:rPr>
            </w:pPr>
            <w:r>
              <w:rPr>
                <w:rFonts w:ascii="Times New Roman" w:hAnsi="Times New Roman"/>
                <w:sz w:val="20"/>
              </w:rPr>
              <w:t>Avenida de Cantabria s/n</w:t>
            </w:r>
          </w:p>
          <w:p>
            <w:pPr>
              <w:pStyle w:val="TableContents"/>
              <w:bidi w:val="0"/>
              <w:spacing w:before="0" w:after="0"/>
              <w:jc w:val="center"/>
              <w:rPr>
                <w:rFonts w:ascii="Times New Roman" w:hAnsi="Times New Roman"/>
                <w:sz w:val="20"/>
              </w:rPr>
            </w:pPr>
            <w:r>
              <w:rPr>
                <w:rFonts w:ascii="Times New Roman" w:hAnsi="Times New Roman"/>
                <w:sz w:val="20"/>
              </w:rPr>
              <w:t>Edificio Encinar</w:t>
            </w:r>
          </w:p>
          <w:p>
            <w:pPr>
              <w:pStyle w:val="TableContents"/>
              <w:bidi w:val="0"/>
              <w:spacing w:before="0" w:after="0"/>
              <w:jc w:val="center"/>
              <w:rPr>
                <w:rFonts w:ascii="Times New Roman" w:hAnsi="Times New Roman"/>
                <w:sz w:val="20"/>
              </w:rPr>
            </w:pPr>
            <w:r>
              <w:rPr>
                <w:rFonts w:ascii="Times New Roman" w:hAnsi="Times New Roman"/>
                <w:sz w:val="20"/>
              </w:rPr>
              <w:t>28660, Boadilla del Monte</w:t>
            </w:r>
          </w:p>
          <w:p>
            <w:pPr>
              <w:pStyle w:val="TableContents"/>
              <w:bidi w:val="0"/>
              <w:spacing w:before="0" w:after="20"/>
              <w:jc w:val="center"/>
              <w:rPr>
                <w:rFonts w:ascii="Times New Roman" w:hAnsi="Times New Roman"/>
                <w:sz w:val="20"/>
              </w:rPr>
            </w:pPr>
            <w:r>
              <w:rPr>
                <w:rFonts w:ascii="Times New Roman" w:hAnsi="Times New Roman"/>
                <w:sz w:val="20"/>
              </w:rPr>
              <w:t>Madrid, Spain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Scotiabank (Ireland)</w:t>
            </w:r>
          </w:p>
          <w:p>
            <w:pPr>
              <w:pStyle w:val="TableContents"/>
              <w:bidi w:val="0"/>
              <w:spacing w:before="0" w:after="0"/>
              <w:jc w:val="center"/>
              <w:rPr>
                <w:rFonts w:ascii="Times New Roman" w:hAnsi="Times New Roman"/>
                <w:sz w:val="20"/>
              </w:rPr>
            </w:pPr>
            <w:r>
              <w:rPr>
                <w:rFonts w:ascii="Times New Roman" w:hAnsi="Times New Roman"/>
                <w:sz w:val="20"/>
              </w:rPr>
              <w:t>Designated Activity Company</w:t>
            </w:r>
          </w:p>
          <w:p>
            <w:pPr>
              <w:pStyle w:val="TableContents"/>
              <w:bidi w:val="0"/>
              <w:spacing w:before="0" w:after="0"/>
              <w:jc w:val="center"/>
              <w:rPr>
                <w:rFonts w:ascii="Times New Roman" w:hAnsi="Times New Roman"/>
                <w:sz w:val="20"/>
              </w:rPr>
            </w:pPr>
            <w:r>
              <w:rPr>
                <w:rFonts w:ascii="Times New Roman" w:hAnsi="Times New Roman"/>
                <w:sz w:val="20"/>
              </w:rPr>
              <w:t>Three Park Place</w:t>
            </w:r>
          </w:p>
          <w:p>
            <w:pPr>
              <w:pStyle w:val="TableContents"/>
              <w:bidi w:val="0"/>
              <w:spacing w:before="0" w:after="0"/>
              <w:jc w:val="center"/>
              <w:rPr>
                <w:rFonts w:ascii="Times New Roman" w:hAnsi="Times New Roman"/>
                <w:sz w:val="20"/>
              </w:rPr>
            </w:pPr>
            <w:r>
              <w:rPr>
                <w:rFonts w:ascii="Times New Roman" w:hAnsi="Times New Roman"/>
                <w:sz w:val="20"/>
              </w:rPr>
              <w:t>Hatch Street Upper,</w:t>
            </w:r>
          </w:p>
          <w:p>
            <w:pPr>
              <w:pStyle w:val="TableContents"/>
              <w:bidi w:val="0"/>
              <w:spacing w:before="0" w:after="20"/>
              <w:jc w:val="center"/>
              <w:rPr>
                <w:rFonts w:ascii="Times New Roman" w:hAnsi="Times New Roman"/>
                <w:sz w:val="20"/>
              </w:rPr>
            </w:pPr>
            <w:r>
              <w:rPr>
                <w:rFonts w:ascii="Times New Roman" w:hAnsi="Times New Roman"/>
                <w:sz w:val="20"/>
              </w:rPr>
              <w:t>Dublin, Ireland</w:t>
            </w:r>
          </w:p>
        </w:tc>
      </w:tr>
      <w:tr>
        <w:trPr>
          <w:trHeight w:val="120" w:hRule="atLeast"/>
        </w:trPr>
        <w:tc>
          <w:tcPr>
            <w:tcW w:w="3486"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SMBC Bank EU AG</w:t>
            </w:r>
          </w:p>
          <w:p>
            <w:pPr>
              <w:pStyle w:val="TableContents"/>
              <w:bidi w:val="0"/>
              <w:spacing w:before="0" w:after="0"/>
              <w:jc w:val="center"/>
              <w:rPr>
                <w:rFonts w:ascii="Times New Roman" w:hAnsi="Times New Roman"/>
                <w:sz w:val="20"/>
              </w:rPr>
            </w:pPr>
            <w:r>
              <w:rPr>
                <w:rFonts w:ascii="Times New Roman" w:hAnsi="Times New Roman"/>
                <w:sz w:val="20"/>
              </w:rPr>
              <w:t>Neue Mainzer Straße 52-58,</w:t>
            </w:r>
          </w:p>
          <w:p>
            <w:pPr>
              <w:pStyle w:val="TableContents"/>
              <w:bidi w:val="0"/>
              <w:spacing w:before="0" w:after="20"/>
              <w:jc w:val="center"/>
              <w:rPr>
                <w:rFonts w:ascii="Times New Roman" w:hAnsi="Times New Roman"/>
                <w:sz w:val="20"/>
              </w:rPr>
            </w:pPr>
            <w:r>
              <w:rPr>
                <w:rFonts w:ascii="Times New Roman" w:hAnsi="Times New Roman"/>
                <w:sz w:val="20"/>
              </w:rPr>
              <w:t>60311 Frankfurt, Germany</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0"/>
              <w:jc w:val="center"/>
              <w:rPr>
                <w:rFonts w:ascii="Times New Roman" w:hAnsi="Times New Roman"/>
                <w:sz w:val="20"/>
              </w:rPr>
            </w:pPr>
            <w:r>
              <w:rPr>
                <w:rFonts w:ascii="Times New Roman" w:hAnsi="Times New Roman"/>
                <w:sz w:val="20"/>
              </w:rPr>
              <w:t>TD Securities (USA) LLC</w:t>
            </w:r>
          </w:p>
          <w:p>
            <w:pPr>
              <w:pStyle w:val="TableContents"/>
              <w:bidi w:val="0"/>
              <w:spacing w:before="0" w:after="0"/>
              <w:jc w:val="center"/>
              <w:rPr>
                <w:rFonts w:ascii="Times New Roman" w:hAnsi="Times New Roman"/>
                <w:sz w:val="20"/>
              </w:rPr>
            </w:pPr>
            <w:r>
              <w:rPr>
                <w:rFonts w:ascii="Times New Roman" w:hAnsi="Times New Roman"/>
                <w:sz w:val="20"/>
              </w:rPr>
              <w:t>1 Vanderbilt Avenue, New York, NY</w:t>
            </w:r>
          </w:p>
          <w:p>
            <w:pPr>
              <w:pStyle w:val="TableContents"/>
              <w:bidi w:val="0"/>
              <w:spacing w:before="0" w:after="20"/>
              <w:jc w:val="center"/>
              <w:rPr>
                <w:rFonts w:ascii="Times New Roman" w:hAnsi="Times New Roman"/>
                <w:sz w:val="20"/>
              </w:rPr>
            </w:pPr>
            <w:r>
              <w:rPr>
                <w:rFonts w:ascii="Times New Roman" w:hAnsi="Times New Roman"/>
                <w:sz w:val="20"/>
              </w:rPr>
              <w:t>10017</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UniCredit Bank GmbH</w:t>
            </w:r>
          </w:p>
          <w:p>
            <w:pPr>
              <w:pStyle w:val="TableContents"/>
              <w:bidi w:val="0"/>
              <w:spacing w:before="0" w:after="0"/>
              <w:jc w:val="center"/>
              <w:rPr>
                <w:rFonts w:ascii="Times New Roman" w:hAnsi="Times New Roman"/>
                <w:sz w:val="20"/>
              </w:rPr>
            </w:pPr>
            <w:r>
              <w:rPr>
                <w:rFonts w:ascii="Times New Roman" w:hAnsi="Times New Roman"/>
                <w:sz w:val="20"/>
              </w:rPr>
              <w:t>Arabellastrasse 12</w:t>
            </w:r>
          </w:p>
          <w:p>
            <w:pPr>
              <w:pStyle w:val="TableContents"/>
              <w:bidi w:val="0"/>
              <w:spacing w:before="0" w:after="20"/>
              <w:jc w:val="center"/>
              <w:rPr>
                <w:rFonts w:ascii="Times New Roman" w:hAnsi="Times New Roman"/>
                <w:sz w:val="20"/>
              </w:rPr>
            </w:pPr>
            <w:r>
              <w:rPr>
                <w:rFonts w:ascii="Times New Roman" w:hAnsi="Times New Roman"/>
                <w:sz w:val="20"/>
              </w:rPr>
              <w:t>81925 Munich, Germany</w:t>
            </w:r>
          </w:p>
        </w:tc>
      </w:tr>
      <w:tr>
        <w:trPr>
          <w:trHeight w:val="120" w:hRule="atLeast"/>
        </w:trPr>
        <w:tc>
          <w:tcPr>
            <w:tcW w:w="3486"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Wells Fargo Securities Europe</w:t>
            </w:r>
          </w:p>
          <w:p>
            <w:pPr>
              <w:pStyle w:val="TableContents"/>
              <w:bidi w:val="0"/>
              <w:spacing w:before="0" w:after="0"/>
              <w:jc w:val="center"/>
              <w:rPr>
                <w:rFonts w:ascii="Times New Roman" w:hAnsi="Times New Roman"/>
                <w:sz w:val="20"/>
              </w:rPr>
            </w:pPr>
            <w:r>
              <w:rPr>
                <w:rFonts w:ascii="Times New Roman" w:hAnsi="Times New Roman"/>
                <w:sz w:val="20"/>
              </w:rPr>
              <w:t>S.A.</w:t>
            </w:r>
          </w:p>
          <w:p>
            <w:pPr>
              <w:pStyle w:val="TableContents"/>
              <w:bidi w:val="0"/>
              <w:spacing w:before="0" w:after="0"/>
              <w:jc w:val="center"/>
              <w:rPr>
                <w:rFonts w:ascii="Times New Roman" w:hAnsi="Times New Roman"/>
                <w:sz w:val="20"/>
              </w:rPr>
            </w:pPr>
            <w:r>
              <w:rPr>
                <w:rFonts w:ascii="Times New Roman" w:hAnsi="Times New Roman"/>
                <w:sz w:val="20"/>
              </w:rPr>
              <w:t>1-5 Rue Paul Cézanne, 75008</w:t>
            </w:r>
          </w:p>
          <w:p>
            <w:pPr>
              <w:pStyle w:val="TableContents"/>
              <w:bidi w:val="0"/>
              <w:spacing w:before="0" w:after="20"/>
              <w:jc w:val="center"/>
              <w:rPr>
                <w:rFonts w:ascii="Times New Roman" w:hAnsi="Times New Roman"/>
                <w:sz w:val="20"/>
              </w:rPr>
            </w:pPr>
            <w:r>
              <w:rPr>
                <w:rFonts w:ascii="Times New Roman" w:hAnsi="Times New Roman"/>
                <w:sz w:val="20"/>
              </w:rPr>
              <w:t>Paris, France</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0"/>
              <w:jc w:val="center"/>
              <w:rPr>
                <w:rFonts w:ascii="Times New Roman" w:hAnsi="Times New Roman"/>
                <w:sz w:val="20"/>
              </w:rPr>
            </w:pPr>
            <w:r>
              <w:rPr>
                <w:rFonts w:ascii="Times New Roman" w:hAnsi="Times New Roman"/>
                <w:sz w:val="20"/>
              </w:rPr>
              <w:t>Crédit Agricole Corporate and</w:t>
            </w:r>
          </w:p>
          <w:p>
            <w:pPr>
              <w:pStyle w:val="TableContents"/>
              <w:bidi w:val="0"/>
              <w:spacing w:before="0" w:after="0"/>
              <w:jc w:val="center"/>
              <w:rPr>
                <w:rFonts w:ascii="Times New Roman" w:hAnsi="Times New Roman"/>
                <w:sz w:val="20"/>
              </w:rPr>
            </w:pPr>
            <w:r>
              <w:rPr>
                <w:rFonts w:ascii="Times New Roman" w:hAnsi="Times New Roman"/>
                <w:sz w:val="20"/>
              </w:rPr>
              <w:t>Investment Bank</w:t>
            </w:r>
          </w:p>
          <w:p>
            <w:pPr>
              <w:pStyle w:val="TableContents"/>
              <w:bidi w:val="0"/>
              <w:spacing w:before="0" w:after="0"/>
              <w:jc w:val="center"/>
              <w:rPr>
                <w:rFonts w:ascii="Times New Roman" w:hAnsi="Times New Roman"/>
                <w:sz w:val="20"/>
              </w:rPr>
            </w:pPr>
            <w:r>
              <w:rPr>
                <w:rFonts w:ascii="Times New Roman" w:hAnsi="Times New Roman"/>
                <w:sz w:val="20"/>
              </w:rPr>
              <w:t>12, Place des Etats-Unis</w:t>
            </w:r>
          </w:p>
          <w:p>
            <w:pPr>
              <w:pStyle w:val="TableContents"/>
              <w:bidi w:val="0"/>
              <w:spacing w:before="0" w:after="0"/>
              <w:jc w:val="center"/>
              <w:rPr>
                <w:rFonts w:ascii="Times New Roman" w:hAnsi="Times New Roman"/>
                <w:sz w:val="20"/>
              </w:rPr>
            </w:pPr>
            <w:r>
              <w:rPr>
                <w:rFonts w:ascii="Times New Roman" w:hAnsi="Times New Roman"/>
                <w:sz w:val="20"/>
              </w:rPr>
              <w:t>CS 70052</w:t>
            </w:r>
          </w:p>
          <w:p>
            <w:pPr>
              <w:pStyle w:val="TableContents"/>
              <w:bidi w:val="0"/>
              <w:spacing w:before="0" w:after="0"/>
              <w:jc w:val="center"/>
              <w:rPr>
                <w:rFonts w:ascii="Times New Roman" w:hAnsi="Times New Roman"/>
                <w:sz w:val="20"/>
              </w:rPr>
            </w:pPr>
            <w:r>
              <w:rPr>
                <w:rFonts w:ascii="Times New Roman" w:hAnsi="Times New Roman"/>
                <w:sz w:val="20"/>
              </w:rPr>
              <w:t>92547 MONTROUGE CEDEX</w:t>
            </w:r>
          </w:p>
          <w:p>
            <w:pPr>
              <w:pStyle w:val="TableContents"/>
              <w:bidi w:val="0"/>
              <w:spacing w:before="0" w:after="20"/>
              <w:jc w:val="center"/>
              <w:rPr>
                <w:rFonts w:ascii="Times New Roman" w:hAnsi="Times New Roman"/>
                <w:sz w:val="20"/>
              </w:rPr>
            </w:pPr>
            <w:r>
              <w:rPr>
                <w:rFonts w:ascii="Times New Roman" w:hAnsi="Times New Roman"/>
                <w:sz w:val="20"/>
              </w:rPr>
              <w:t>France</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Huntington Securities, Inc.</w:t>
            </w:r>
          </w:p>
          <w:p>
            <w:pPr>
              <w:pStyle w:val="TableContents"/>
              <w:bidi w:val="0"/>
              <w:spacing w:before="0" w:after="0"/>
              <w:jc w:val="center"/>
              <w:rPr>
                <w:rFonts w:ascii="Times New Roman" w:hAnsi="Times New Roman"/>
                <w:sz w:val="20"/>
              </w:rPr>
            </w:pPr>
            <w:r>
              <w:rPr>
                <w:rFonts w:ascii="Times New Roman" w:hAnsi="Times New Roman"/>
                <w:sz w:val="20"/>
              </w:rPr>
              <w:t>41 S. High St.</w:t>
            </w:r>
          </w:p>
          <w:p>
            <w:pPr>
              <w:pStyle w:val="TableContents"/>
              <w:bidi w:val="0"/>
              <w:spacing w:before="0" w:after="0"/>
              <w:jc w:val="center"/>
              <w:rPr>
                <w:rFonts w:ascii="Times New Roman" w:hAnsi="Times New Roman"/>
                <w:sz w:val="20"/>
              </w:rPr>
            </w:pPr>
            <w:r>
              <w:rPr>
                <w:rFonts w:ascii="Times New Roman" w:hAnsi="Times New Roman"/>
                <w:sz w:val="20"/>
              </w:rPr>
              <w:t>5th Floor</w:t>
            </w:r>
          </w:p>
          <w:p>
            <w:pPr>
              <w:pStyle w:val="TableContents"/>
              <w:bidi w:val="0"/>
              <w:spacing w:before="0" w:after="20"/>
              <w:jc w:val="center"/>
              <w:rPr>
                <w:rFonts w:ascii="Times New Roman" w:hAnsi="Times New Roman"/>
                <w:sz w:val="20"/>
              </w:rPr>
            </w:pPr>
            <w:r>
              <w:rPr>
                <w:rFonts w:ascii="Times New Roman" w:hAnsi="Times New Roman"/>
                <w:sz w:val="20"/>
              </w:rPr>
              <w:t>Columbus, OH 43287</w:t>
            </w:r>
          </w:p>
        </w:tc>
      </w:tr>
      <w:tr>
        <w:trPr>
          <w:trHeight w:val="120" w:hRule="atLeast"/>
        </w:trPr>
        <w:tc>
          <w:tcPr>
            <w:tcW w:w="3486"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r>
      <w:tr>
        <w:trPr/>
        <w:tc>
          <w:tcPr>
            <w:tcW w:w="3486" w:type="dxa"/>
            <w:tcBorders/>
          </w:tcPr>
          <w:p>
            <w:pPr>
              <w:pStyle w:val="TableContents"/>
              <w:bidi w:val="0"/>
              <w:spacing w:before="0" w:after="0"/>
              <w:jc w:val="center"/>
              <w:rPr>
                <w:rFonts w:ascii="Times New Roman" w:hAnsi="Times New Roman"/>
                <w:sz w:val="20"/>
              </w:rPr>
            </w:pPr>
            <w:r>
              <w:rPr>
                <w:rFonts w:ascii="Times New Roman" w:hAnsi="Times New Roman"/>
                <w:sz w:val="20"/>
              </w:rPr>
              <w:t>ING Financial Markets LLC</w:t>
            </w:r>
          </w:p>
          <w:p>
            <w:pPr>
              <w:pStyle w:val="TableContents"/>
              <w:bidi w:val="0"/>
              <w:spacing w:before="0" w:after="0"/>
              <w:jc w:val="center"/>
              <w:rPr>
                <w:rFonts w:ascii="Times New Roman" w:hAnsi="Times New Roman"/>
                <w:sz w:val="20"/>
              </w:rPr>
            </w:pPr>
            <w:r>
              <w:rPr>
                <w:rFonts w:ascii="Times New Roman" w:hAnsi="Times New Roman"/>
                <w:sz w:val="20"/>
              </w:rPr>
              <w:t>1133 Avenue of the Americas,</w:t>
            </w:r>
          </w:p>
          <w:p>
            <w:pPr>
              <w:pStyle w:val="TableContents"/>
              <w:bidi w:val="0"/>
              <w:spacing w:before="0" w:after="0"/>
              <w:jc w:val="center"/>
              <w:rPr>
                <w:rFonts w:ascii="Times New Roman" w:hAnsi="Times New Roman"/>
                <w:sz w:val="20"/>
              </w:rPr>
            </w:pPr>
            <w:r>
              <w:rPr>
                <w:rFonts w:ascii="Times New Roman" w:hAnsi="Times New Roman"/>
                <w:sz w:val="20"/>
              </w:rPr>
              <w:t>10th Fl</w:t>
            </w:r>
          </w:p>
          <w:p>
            <w:pPr>
              <w:pStyle w:val="TableContents"/>
              <w:bidi w:val="0"/>
              <w:spacing w:before="0" w:after="20"/>
              <w:jc w:val="center"/>
              <w:rPr>
                <w:rFonts w:ascii="Times New Roman" w:hAnsi="Times New Roman"/>
                <w:sz w:val="20"/>
              </w:rPr>
            </w:pPr>
            <w:r>
              <w:rPr>
                <w:rFonts w:ascii="Times New Roman" w:hAnsi="Times New Roman"/>
                <w:sz w:val="20"/>
              </w:rPr>
              <w:t>New York, NY 10036</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0"/>
              <w:jc w:val="center"/>
              <w:rPr>
                <w:rFonts w:ascii="Times New Roman" w:hAnsi="Times New Roman"/>
                <w:sz w:val="20"/>
              </w:rPr>
            </w:pPr>
            <w:r>
              <w:rPr>
                <w:rFonts w:ascii="Times New Roman" w:hAnsi="Times New Roman"/>
                <w:sz w:val="20"/>
              </w:rPr>
              <w:t>PNC Capital Markets LLC 300</w:t>
            </w:r>
          </w:p>
          <w:p>
            <w:pPr>
              <w:pStyle w:val="TableContents"/>
              <w:bidi w:val="0"/>
              <w:spacing w:before="0" w:after="0"/>
              <w:jc w:val="center"/>
              <w:rPr>
                <w:rFonts w:ascii="Times New Roman" w:hAnsi="Times New Roman"/>
                <w:sz w:val="20"/>
              </w:rPr>
            </w:pPr>
            <w:r>
              <w:rPr>
                <w:rFonts w:ascii="Times New Roman" w:hAnsi="Times New Roman"/>
                <w:sz w:val="20"/>
              </w:rPr>
              <w:t>Fifth Avenue., 10th Fl Pittsburgh,</w:t>
            </w:r>
          </w:p>
          <w:p>
            <w:pPr>
              <w:pStyle w:val="TableContents"/>
              <w:bidi w:val="0"/>
              <w:spacing w:before="0" w:after="20"/>
              <w:jc w:val="center"/>
              <w:rPr>
                <w:rFonts w:ascii="Times New Roman" w:hAnsi="Times New Roman"/>
                <w:sz w:val="20"/>
              </w:rPr>
            </w:pPr>
            <w:r>
              <w:rPr>
                <w:rFonts w:ascii="Times New Roman" w:hAnsi="Times New Roman"/>
                <w:sz w:val="20"/>
              </w:rPr>
              <w:t>PA 15222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Crown Holdings, Inc., a Pennsylvania corporation (“</w:t>
      </w:r>
      <w:r>
        <w:rPr>
          <w:rFonts w:ascii="Times New Roman" w:hAnsi="Times New Roman"/>
          <w:sz w:val="20"/>
          <w:u w:val="single"/>
        </w:rPr>
        <w:t>Holdings</w:t>
      </w:r>
      <w:r>
        <w:rPr>
          <w:rFonts w:ascii="Times New Roman" w:hAnsi="Times New Roman"/>
          <w:sz w:val="20"/>
        </w:rPr>
        <w:t xml:space="preserve">”), and the indirect parent company of Crown European Holdings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laws of France (the “</w:t>
      </w:r>
      <w:r>
        <w:rPr>
          <w:rFonts w:ascii="Times New Roman" w:hAnsi="Times New Roman"/>
          <w:sz w:val="20"/>
          <w:u w:val="single"/>
        </w:rPr>
        <w:t>Issuer</w:t>
      </w:r>
      <w:r>
        <w:rPr>
          <w:rFonts w:ascii="Times New Roman" w:hAnsi="Times New Roman"/>
          <w:sz w:val="20"/>
        </w:rPr>
        <w:t xml:space="preserve">”), proposes that the Issuer issue and sell to the several purchasers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Initial Purchasers</w:t>
      </w:r>
      <w:r>
        <w:rPr>
          <w:rFonts w:ascii="Times New Roman" w:hAnsi="Times New Roman"/>
          <w:sz w:val="20"/>
        </w:rPr>
        <w:t>”), for whom BNP PARIBAS (the “</w:t>
      </w:r>
      <w:r>
        <w:rPr>
          <w:rFonts w:ascii="Times New Roman" w:hAnsi="Times New Roman"/>
          <w:sz w:val="20"/>
          <w:u w:val="single"/>
        </w:rPr>
        <w:t>Representative</w:t>
      </w:r>
      <w:r>
        <w:rPr>
          <w:rFonts w:ascii="Times New Roman" w:hAnsi="Times New Roman"/>
          <w:sz w:val="20"/>
        </w:rPr>
        <w:t>”) is acting as representative, 500,000,000 aggregate principal amount of its 3.750% Senior Notes due 2031 (the “</w:t>
      </w:r>
      <w:r>
        <w:rPr>
          <w:rFonts w:ascii="Times New Roman" w:hAnsi="Times New Roman"/>
          <w:sz w:val="20"/>
          <w:u w:val="single"/>
        </w:rPr>
        <w:t>Notes</w:t>
      </w:r>
      <w:r>
        <w:rPr>
          <w:rFonts w:ascii="Times New Roman" w:hAnsi="Times New Roman"/>
          <w:sz w:val="20"/>
        </w:rPr>
        <w:t xml:space="preserve">”). The Notes will be fully and unconditionally guaranteed on a senior basis by Holdings and the other guarantors named in </w:t>
      </w:r>
      <w:r>
        <w:rPr>
          <w:rFonts w:ascii="Times New Roman" w:hAnsi="Times New Roman"/>
          <w:sz w:val="20"/>
          <w:u w:val="single"/>
        </w:rPr>
        <w:t>Schedule II</w:t>
      </w:r>
      <w:r>
        <w:rPr>
          <w:rFonts w:ascii="Times New Roman" w:hAnsi="Times New Roman"/>
          <w:sz w:val="20"/>
        </w:rPr>
        <w:t xml:space="preserve"> hereto (together with Holdings, the “</w:t>
      </w:r>
      <w:r>
        <w:rPr>
          <w:rFonts w:ascii="Times New Roman" w:hAnsi="Times New Roman"/>
          <w:sz w:val="20"/>
          <w:u w:val="single"/>
        </w:rPr>
        <w:t>Guarantors</w:t>
      </w:r>
      <w:r>
        <w:rPr>
          <w:rFonts w:ascii="Times New Roman" w:hAnsi="Times New Roman"/>
          <w:sz w:val="20"/>
        </w:rPr>
        <w:t>”; the Guarantors collectively with the Issuer, the “</w:t>
      </w:r>
      <w:r>
        <w:rPr>
          <w:rFonts w:ascii="Times New Roman" w:hAnsi="Times New Roman"/>
          <w:sz w:val="20"/>
          <w:u w:val="single"/>
        </w:rPr>
        <w:t>Companies</w:t>
      </w:r>
      <w:r>
        <w:rPr>
          <w:rFonts w:ascii="Times New Roman" w:hAnsi="Times New Roman"/>
          <w:sz w:val="20"/>
        </w:rPr>
        <w:t>”). The Notes will be issued pursuant to an indenture to be dated as of October 6, 2025 (the “</w:t>
      </w:r>
      <w:r>
        <w:rPr>
          <w:rFonts w:ascii="Times New Roman" w:hAnsi="Times New Roman"/>
          <w:sz w:val="20"/>
          <w:u w:val="single"/>
        </w:rPr>
        <w:t>Indenture</w:t>
      </w:r>
      <w:r>
        <w:rPr>
          <w:rFonts w:ascii="Times New Roman" w:hAnsi="Times New Roman"/>
          <w:sz w:val="20"/>
        </w:rPr>
        <w:t>”) among the Issuer, the Guarantors, U.S. Bank Trust Company, National Association, as trustee (the “</w:t>
      </w:r>
      <w:r>
        <w:rPr>
          <w:rFonts w:ascii="Times New Roman" w:hAnsi="Times New Roman"/>
          <w:sz w:val="20"/>
          <w:u w:val="single"/>
        </w:rPr>
        <w:t>Trustee</w:t>
      </w:r>
      <w:r>
        <w:rPr>
          <w:rFonts w:ascii="Times New Roman" w:hAnsi="Times New Roman"/>
          <w:sz w:val="20"/>
        </w:rPr>
        <w:t>”), U.S. Bank Europe DAC, as paying agent, and U.S. Bank Europe DAC, as registrar and transfer agent. The Notes will have the benefit of the guarantees (the “</w:t>
      </w:r>
      <w:r>
        <w:rPr>
          <w:rFonts w:ascii="Times New Roman" w:hAnsi="Times New Roman"/>
          <w:sz w:val="20"/>
          <w:u w:val="single"/>
        </w:rPr>
        <w:t>Guarantees</w:t>
      </w:r>
      <w:r>
        <w:rPr>
          <w:rFonts w:ascii="Times New Roman" w:hAnsi="Times New Roman"/>
          <w:sz w:val="20"/>
        </w:rPr>
        <w:t>” and, together with the Notes, the “</w:t>
      </w:r>
      <w:r>
        <w:rPr>
          <w:rFonts w:ascii="Times New Roman" w:hAnsi="Times New Roman"/>
          <w:sz w:val="20"/>
          <w:u w:val="single"/>
        </w:rPr>
        <w:t>Securities</w:t>
      </w:r>
      <w:r>
        <w:rPr>
          <w:rFonts w:ascii="Times New Roman" w:hAnsi="Times New Roman"/>
          <w:sz w:val="20"/>
        </w:rPr>
        <w:t>”) provided for in the Indenture. The use of the neuter in this Purchase Agreement (this “</w:t>
      </w:r>
      <w:r>
        <w:rPr>
          <w:rFonts w:ascii="Times New Roman" w:hAnsi="Times New Roman"/>
          <w:sz w:val="20"/>
          <w:u w:val="single"/>
        </w:rPr>
        <w:t>Agreement</w:t>
      </w:r>
      <w:r>
        <w:rPr>
          <w:rFonts w:ascii="Times New Roman" w:hAnsi="Times New Roman"/>
          <w:sz w:val="20"/>
        </w:rPr>
        <w:t xml:space="preserve">”) shall include the feminine and masculine wherever appropriate. Certain terms used herein are defined in Section 20 hereof.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Pricing Disclosure Package and the Final Memorandum (each as defined below), the Issuer intends to use the net proceeds from this offering, together with cash on hand, to redeem the Issuer’s outstanding 2.875% Senior Notes due 2026 and to pay related fees and expenses. </w:t>
      </w:r>
    </w:p>
    <w:p>
      <w:pPr>
        <w:pStyle w:val="TextBody"/>
        <w:bidi w:val="0"/>
        <w:spacing w:before="240" w:after="0"/>
        <w:jc w:val="left"/>
        <w:rPr>
          <w:rFonts w:ascii="Times New Roman" w:hAnsi="Times New Roman"/>
          <w:sz w:val="20"/>
        </w:rPr>
      </w:pPr>
      <w:r>
        <w:rPr>
          <w:rFonts w:ascii="Times New Roman" w:hAnsi="Times New Roman"/>
          <w:sz w:val="20"/>
        </w:rPr>
        <w:t>This Agreement, the Securities, the Indenture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Times New Roman" w:hAnsi="Times New Roman"/>
          <w:sz w:val="20"/>
          <w:u w:val="single"/>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Securities to the Initial Purchasers will be made without registration of the Securities under the Act in reliance upon exemptions from the registration requirements of the Act. </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the Companies have prepared a preliminary offering memorandum dated September 22, 2025 (including the information incorporated by reference therein, the “</w:t>
      </w:r>
      <w:r>
        <w:rPr>
          <w:rFonts w:ascii="Times New Roman" w:hAnsi="Times New Roman"/>
          <w:sz w:val="20"/>
          <w:u w:val="single"/>
        </w:rPr>
        <w:t>Preliminary Memorandum</w:t>
      </w:r>
      <w:r>
        <w:rPr>
          <w:rFonts w:ascii="Times New Roman" w:hAnsi="Times New Roman"/>
          <w:sz w:val="20"/>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Times New Roman" w:hAnsi="Times New Roman"/>
          <w:sz w:val="20"/>
          <w:u w:val="single"/>
        </w:rPr>
        <w:t>Pricing Disclosure Package</w:t>
      </w:r>
      <w:r>
        <w:rPr>
          <w:rFonts w:ascii="Times New Roman" w:hAnsi="Times New Roman"/>
          <w:sz w:val="20"/>
        </w:rPr>
        <w:t xml:space="preserve">” shall mean the Preliminary Memorandum, as supplemented or amended by the written communications listed on </w:t>
      </w:r>
      <w:r>
        <w:rPr>
          <w:rFonts w:ascii="Times New Roman" w:hAnsi="Times New Roman"/>
          <w:sz w:val="20"/>
          <w:u w:val="single"/>
        </w:rPr>
        <w:t>Annex A</w:t>
      </w:r>
      <w:r>
        <w:rPr>
          <w:rFonts w:ascii="Times New Roman" w:hAnsi="Times New Roman"/>
          <w:sz w:val="20"/>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Times New Roman" w:hAnsi="Times New Roman"/>
          <w:sz w:val="20"/>
          <w:u w:val="single"/>
        </w:rPr>
        <w:t>Time of Execution</w:t>
      </w:r>
      <w:r>
        <w:rPr>
          <w:rFonts w:ascii="Times New Roman" w:hAnsi="Times New Roman"/>
          <w:sz w:val="20"/>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Times New Roman" w:hAnsi="Times New Roman"/>
          <w:sz w:val="20"/>
          <w:u w:val="single"/>
        </w:rPr>
        <w:t>Final Memorandum</w:t>
      </w:r>
      <w:r>
        <w:rPr>
          <w:rFonts w:ascii="Times New Roman" w:hAnsi="Times New Roman"/>
          <w:sz w:val="20"/>
        </w:rPr>
        <w:t xml:space="preserve">”), which will consist of the Preliminary Memorandum with such changes therein as are required to reflect the information contained in the amendments or supplements listed on </w:t>
      </w:r>
      <w:r>
        <w:rPr>
          <w:rFonts w:ascii="Times New Roman" w:hAnsi="Times New Roman"/>
          <w:sz w:val="20"/>
          <w:u w:val="single"/>
        </w:rPr>
        <w:t>Annex A</w:t>
      </w:r>
      <w:r>
        <w:rPr>
          <w:rFonts w:ascii="Times New Roman" w:hAnsi="Times New Roman"/>
          <w:sz w:val="20"/>
        </w:rPr>
        <w:t xml:space="preserve"> hereto. The Companies hereby confirm that they have authorized, when required, the use of the Pricing Disclosure Package, the Final Memorandum and the Recorded Road Show (as defined below) in connection with the offer and sale of the Securities by the Initial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As of the Time of Execution and at the Closing Date (as defined in Section 3 below), the Companies, jointly and severally, represent and warrant to and agree with each of the Initial Purchasers as follows (references in this Section 1 to the “</w:t>
      </w:r>
      <w:r>
        <w:rPr>
          <w:rFonts w:ascii="Times New Roman" w:hAnsi="Times New Roman"/>
          <w:sz w:val="20"/>
          <w:u w:val="single"/>
        </w:rPr>
        <w:t>Offering Memorandum</w:t>
      </w:r>
      <w:r>
        <w:rPr>
          <w:rFonts w:ascii="Times New Roman" w:hAnsi="Times New Roman"/>
          <w:sz w:val="20"/>
        </w:rPr>
        <w:t xml:space="preserve">” are to (i) the Pricing Disclosure Package in the case of representations and warranties made as of the Time of Execution and (ii) both the Pricing Disclosure Package and the Final Memorandum in the case of representations and warranties made at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through the Representative specifically for inclusion therein it being acknowledged and agreed that the only such written information is as set forth in Section 8(b) hereto.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Times New Roman" w:hAnsi="Times New Roman"/>
          <w:sz w:val="20"/>
          <w:u w:val="single"/>
        </w:rPr>
        <w:t>Issuer Written Communication</w:t>
      </w:r>
      <w:r>
        <w:rPr>
          <w:rFonts w:ascii="Times New Roman" w:hAnsi="Times New Roman"/>
          <w:sz w:val="20"/>
        </w:rPr>
        <w:t>”) other than the Pricing Disclosure Package, the Final Memorandum and the recorded electronic road show made available to investors (the “</w:t>
      </w:r>
      <w:r>
        <w:rPr>
          <w:rFonts w:ascii="Times New Roman" w:hAnsi="Times New Roman"/>
          <w:sz w:val="20"/>
          <w:u w:val="single"/>
        </w:rPr>
        <w:t>Recorded Road Show</w:t>
      </w:r>
      <w:r>
        <w:rPr>
          <w:rFonts w:ascii="Times New Roman" w:hAnsi="Times New Roman"/>
          <w:sz w:val="20"/>
        </w:rPr>
        <w:t xml:space="preserve">”).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or in any manner involving a public offering within the meaning of Section 4(a)(2) under the Act)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The Securities satisfy the eligibility requirements of Rule 144A(d)(3) under the Act.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(f) No securities of any of the Companies are of the same class (within the meaning of Rule 144A under the Act) as any of the Securities and listed on a national securities exchange registered under Section 6 of the Exchange Act or quoted in a U.S. automated inter-dealer quotation system. </w:t>
      </w:r>
    </w:p>
    <w:p>
      <w:pPr>
        <w:pStyle w:val="TextBody"/>
        <w:bidi w:val="0"/>
        <w:spacing w:before="120" w:after="0"/>
        <w:jc w:val="left"/>
        <w:rPr>
          <w:rFonts w:ascii="Times New Roman" w:hAnsi="Times New Roman"/>
          <w:sz w:val="20"/>
        </w:rPr>
      </w:pPr>
      <w:r>
        <w:rPr>
          <w:rFonts w:ascii="Times New Roman" w:hAnsi="Times New Roman"/>
          <w:sz w:val="20"/>
        </w:rPr>
        <w:t xml:space="preserve">(g) 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(h) Application will be made by the Companies for the Notes to be listed on the Official List of the Luxembourg Stock Exchange and to be admitted to trading on the Euro MTF Market of the Luxembourg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(j) Holdings is subject to the reporting requirements of, and has timely filed all material required to be filed by it pursuant to, Section 13 or Section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None of the Companies or their respective Affiliates has paid or agreed to pay to any person any compensation for soliciting another to purchase any securities of any of them (except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(n) The statements in the Offering Memorandum set forth or referenced under the headings “Description of Certain Indebtedness”, “Description of the Notes”, “Certain U.S. Federal Income Tax Considerations” and “Material French Tax Considerations” fairly summarize the matters therein described. </w:t>
      </w:r>
    </w:p>
    <w:p>
      <w:pPr>
        <w:pStyle w:val="TextBody"/>
        <w:bidi w:val="0"/>
        <w:spacing w:before="120" w:after="0"/>
        <w:jc w:val="left"/>
        <w:rPr>
          <w:rFonts w:ascii="Times New Roman" w:hAnsi="Times New Roman"/>
          <w:sz w:val="20"/>
        </w:rPr>
      </w:pPr>
      <w:r>
        <w:rPr>
          <w:rFonts w:ascii="Times New Roman" w:hAnsi="Times New Roman"/>
          <w:sz w:val="20"/>
        </w:rPr>
        <w:t xml:space="preserve">(o) The statistical and market-related data included in the Offering Memorandum are based on or derived from sources which the Companies believe to be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(p) 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(s) 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(t) This Agreement has been duly authorized, executed and delivered by each Company and, assuming the due authorization, execution and delivery thereof by the Initial Purchasers, will constitute the legal, valid and binding obligation of each Company, enforceable against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applicable laws and public policy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(w)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(y) The Guarantees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provisions of corporate law regarding the preservation of share capital and statutory reserves as well as bankruptcy, reorganization, insolvency, fraudulent conveyance, moratorium or other laws of general applicability affecting creditors’ rights generally from time to time in effect and to general principles of equity (and corresponding provisions under the laws applicable to the respective Guarantor) and the discretion of the court before which any proceeding therefor may be brought regardless of whether such enforcement is considered in a proceeding at law or in equity or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(z) 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(aa) 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No consent, approval, authorization, filing with or order of any court or governmental agency or body is required in connection with the issue and sale of the Securities or the consummation of the transactions contemplated by any of the Transaction Documents, except such as may be required by the Luxembourg Stock Exchange or under the blue sky laws of any state in connection with the purchase and distribution of the Securities by the Initial Purchasers in the manner contemplated herein and in the Offering Memorandum, and except where the failure to obtain the same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(dd) 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(gg) 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(jj) 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(mm) 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(nn) 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(pp) Holdings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interactive data in eXtensible Business Reporting Language included or incorporated by reference in the Pricing Disclosure Package and the Final Memorandum fairly present the information called for in all material respects and have been prepared in accordance with the Commission’s rules and guidelines applicable thereto.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(qq) (i)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Times New Roman" w:hAnsi="Times New Roman"/>
          <w:sz w:val="20"/>
          <w:u w:val="single"/>
        </w:rPr>
        <w:t>Environmental Laws</w:t>
      </w:r>
      <w:r>
        <w:rPr>
          <w:rFonts w:ascii="Times New Roman" w:hAnsi="Times New Roman"/>
          <w:sz w:val="20"/>
        </w:rPr>
        <w:t xml:space="preserve">”);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any assets, facility or property owned, operated, leased or controlled by Holdings or any of its subsidiaries; (vi) neither Holdings nor any of its subsidiaries is subject to any order, decree, consent, settlement or agreement requiring, or is otherwise obligated or required to perform, any response or corrective action relating to any Hazardous Materials; (vii) neither Holdings nor any of its subsidiaries has received written notice that it has been identified as a potentially responsible party under the Comprehensive Environmental Response, Compensation and Liability Act of 1980, as amended (“</w:t>
      </w:r>
      <w:r>
        <w:rPr>
          <w:rFonts w:ascii="Times New Roman" w:hAnsi="Times New Roman"/>
          <w:sz w:val="20"/>
          <w:u w:val="single"/>
        </w:rPr>
        <w:t>CERCLA</w:t>
      </w:r>
      <w:r>
        <w:rPr>
          <w:rFonts w:ascii="Times New Roman" w:hAnsi="Times New Roman"/>
          <w:sz w:val="20"/>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Times New Roman" w:hAnsi="Times New Roman"/>
          <w:sz w:val="20"/>
          <w:u w:val="single"/>
        </w:rPr>
        <w:t>Hazardous Materials</w:t>
      </w:r>
      <w:r>
        <w:rPr>
          <w:rFonts w:ascii="Times New Roman" w:hAnsi="Times New Roman"/>
          <w:sz w:val="20"/>
        </w:rPr>
        <w:t xml:space="preserve">” means any hazardous or toxic substance, chemical, material, pollutant, waste, contaminant or constituent, which is subject to regulation under or could give rise to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(rr) 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(ss) Holdings and each of its subsidiaries have fulfilled their obligations, if any, under the minimum funding standards of Section 302 of the United States Employee Retirement Income Security Act of 1974, as amended (“</w:t>
      </w:r>
      <w:r>
        <w:rPr>
          <w:rFonts w:ascii="Times New Roman" w:hAnsi="Times New Roman"/>
          <w:sz w:val="20"/>
          <w:u w:val="single"/>
        </w:rPr>
        <w:t>ERISA</w:t>
      </w:r>
      <w:r>
        <w:rPr>
          <w:rFonts w:ascii="Times New Roman" w:hAnsi="Times New Roman"/>
          <w:sz w:val="20"/>
        </w:rPr>
        <w:t xml:space="preserve">”), and the regulations and published interpretations thereunder with respect to each “plan” (as defined in Section 3(3) of ERISA and such regulations and published interpretations) in which 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 </w:t>
      </w:r>
    </w:p>
    <w:p>
      <w:pPr>
        <w:pStyle w:val="TextBody"/>
        <w:bidi w:val="0"/>
        <w:spacing w:before="120" w:after="0"/>
        <w:jc w:val="left"/>
        <w:rPr>
          <w:rFonts w:ascii="Times New Roman" w:hAnsi="Times New Roman"/>
          <w:sz w:val="20"/>
        </w:rPr>
      </w:pPr>
      <w:r>
        <w:rPr>
          <w:rFonts w:ascii="Times New Roman" w:hAnsi="Times New Roman"/>
          <w:sz w:val="20"/>
        </w:rPr>
        <w:t xml:space="preserve">(tt) 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to any foreign or domestic government official or employee from corporate funds; (iii) violated any provision of the Foreign Corrupt Practices Act of 1977; (iv) 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(uu) 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Times New Roman" w:hAnsi="Times New Roman"/>
          <w:sz w:val="20"/>
          <w:u w:val="single"/>
        </w:rPr>
        <w:t>Money Laundering Laws</w:t>
      </w:r>
      <w:r>
        <w:rPr>
          <w:rFonts w:ascii="Times New Roman" w:hAnsi="Times New Roman"/>
          <w:sz w:val="20"/>
        </w:rPr>
        <w:t xml:space="preserve">”), and no material action, suit or proceeding by or before any court or governmental agency, authority or body or any arbitrator involving Holdings or any of its subsidiaries with respect to the Money Laundering Laws is pending or, to the knowledge of Holdings, threatened. </w:t>
      </w:r>
    </w:p>
    <w:p>
      <w:pPr>
        <w:pStyle w:val="TextBody"/>
        <w:bidi w:val="0"/>
        <w:spacing w:before="120" w:after="0"/>
        <w:jc w:val="left"/>
        <w:rPr>
          <w:rFonts w:ascii="Times New Roman" w:hAnsi="Times New Roman"/>
          <w:sz w:val="20"/>
        </w:rPr>
      </w:pPr>
      <w:r>
        <w:rPr>
          <w:rFonts w:ascii="Times New Roman" w:hAnsi="Times New Roman"/>
          <w:sz w:val="20"/>
        </w:rPr>
        <w:t>(vv) 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His Majesty’s Treasury, France (</w:t>
      </w:r>
      <w:r>
        <w:rPr>
          <w:rFonts w:ascii="Times New Roman" w:hAnsi="Times New Roman"/>
          <w:i/>
          <w:sz w:val="20"/>
        </w:rPr>
        <w:t>the Direction Générale du Trésor</w:t>
      </w:r>
      <w:r>
        <w:rPr>
          <w:rFonts w:ascii="Times New Roman" w:hAnsi="Times New Roman"/>
          <w:sz w:val="20"/>
        </w:rPr>
        <w:t>), or other relevant sanctions authority (collectively, “</w:t>
      </w:r>
      <w:r>
        <w:rPr>
          <w:rFonts w:ascii="Times New Roman" w:hAnsi="Times New Roman"/>
          <w:sz w:val="20"/>
          <w:u w:val="single"/>
        </w:rPr>
        <w:t>Sanctions</w:t>
      </w:r>
      <w:r>
        <w:rPr>
          <w:rFonts w:ascii="Times New Roman" w:hAnsi="Times New Roman"/>
          <w:sz w:val="20"/>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North Korea, the Crimea Region of Ukraine, the non-government controlled areas of the Kherson and Zaporizhzhia regions of Ukraine, or any other covered region of Ukraine identified pursuant to Executive Order 14065, the self-proclaimed Donetsk People’s Republic (DNR) and the self-proclaimed Luhansk People’s Republic, each a “</w:t>
      </w:r>
      <w:r>
        <w:rPr>
          <w:rFonts w:ascii="Times New Roman" w:hAnsi="Times New Roman"/>
          <w:sz w:val="20"/>
          <w:u w:val="single"/>
        </w:rPr>
        <w:t>Sanctioned Country</w:t>
      </w:r>
      <w:r>
        <w:rPr>
          <w:rFonts w:ascii="Times New Roman" w:hAnsi="Times New Roman"/>
          <w:sz w:val="20"/>
        </w:rPr>
        <w:t xml:space="preserve">”);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 With regard to Citigroup Global Markets Europe AG, Deutsche Bank Aktiengesellschaft, Banco Santander, S.A., Wells Fargo Securities Europe S.A., Coöperatieve Rabobank U.A., 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Financial Markets LLC, SMBC Bank EU AG, UniCredit Bank GmbH, Scotiabank (Ireland) Designated Activity Company, MUFG Securities (Europe) N.V. and Mizuho Bank Europe N.V., the representations in this paragraph (vv) shall not apply if and to the extent that the expression of, or compliance with, or receipt or acceptance of, such representation would breach any provision of (i) Council Regulation (EC) No. 2271/96, as amended from time to time (the “EU Blocking Regulation”), or any law or regulation implementing the EU Blocking Regulation in any member state of the European Union; or (ii) the EU Blocking Regulation as it forms part of United Kingdom domestic law by virtue of the European Union (Withdrawal) Act 2018 (the “</w:t>
      </w:r>
      <w:r>
        <w:rPr>
          <w:rFonts w:ascii="Times New Roman" w:hAnsi="Times New Roman"/>
          <w:sz w:val="20"/>
          <w:u w:val="single"/>
        </w:rPr>
        <w:t>EUWA</w:t>
      </w:r>
      <w:r>
        <w:rPr>
          <w:rFonts w:ascii="Times New Roman" w:hAnsi="Times New Roman"/>
          <w:sz w:val="20"/>
        </w:rPr>
        <w:t>”); or (iii) solely to the extent such regulation applies to the applicable Initial Purchasers, Section 7 of the German Foreign Trade Regulation (</w:t>
      </w:r>
      <w:r>
        <w:rPr>
          <w:rFonts w:ascii="Times New Roman" w:hAnsi="Times New Roman"/>
          <w:i/>
          <w:sz w:val="20"/>
        </w:rPr>
        <w:t>Außenwirtschaftsverordnung</w:t>
      </w:r>
      <w:r>
        <w:rPr>
          <w:rFonts w:ascii="Times New Roman" w:hAnsi="Times New Roman"/>
          <w:sz w:val="20"/>
        </w:rPr>
        <w:t xml:space="preserve">) or any similar applicable anti-boycott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(ww) The issue of the Notes by the Issuer and the Guarantees by the Guarantors (subject to the exclusions and limitations set forth therein and in the Indenture) will not result in a breach of any provisions relating to financial assistance, principles of corporate benefit or any similar law or regulation of the jurisdictions applicable to them, which could affect the enforceability of the Notes or the Guarantees; </w:t>
      </w:r>
    </w:p>
    <w:p>
      <w:pPr>
        <w:pStyle w:val="TextBody"/>
        <w:bidi w:val="0"/>
        <w:spacing w:before="120" w:after="0"/>
        <w:jc w:val="left"/>
        <w:rPr>
          <w:rFonts w:ascii="Times New Roman" w:hAnsi="Times New Roman"/>
          <w:sz w:val="20"/>
        </w:rPr>
      </w:pPr>
      <w:r>
        <w:rPr>
          <w:rFonts w:ascii="Times New Roman" w:hAnsi="Times New Roman"/>
          <w:sz w:val="20"/>
        </w:rPr>
        <w:t>(xx) None of Holdings, its subsidiaries or, to the knowledge of Holdings, any director, officer, agent, employee or Affiliate of Holdings or any of its subsidiaries has distributed or, prior to the later to occur of (i) the Closing Date and (ii) the completion of the distribution of the Notes, will distribute any material referring to the offering and sale of the Notes other than the Preliminary Memorandum, the Pricing Disclosure Package or the Final Memorandum or other materials, if any, permitted by the Act and the U.K. Financial Services and Markets Act 2000 (the “</w:t>
      </w:r>
      <w:r>
        <w:rPr>
          <w:rFonts w:ascii="Times New Roman" w:hAnsi="Times New Roman"/>
          <w:sz w:val="20"/>
          <w:u w:val="single"/>
        </w:rPr>
        <w:t>FSMA</w:t>
      </w:r>
      <w:r>
        <w:rPr>
          <w:rFonts w:ascii="Times New Roman" w:hAnsi="Times New Roman"/>
          <w:sz w:val="20"/>
        </w:rPr>
        <w:t xml:space="preserve">”) (or regulations or legislation promulgated pursuant to the Act or the FSMA) or required to be distributed by the Luxembourg Stock Exchange. </w:t>
      </w:r>
    </w:p>
    <w:p>
      <w:pPr>
        <w:pStyle w:val="TextBody"/>
        <w:bidi w:val="0"/>
        <w:spacing w:before="120" w:after="0"/>
        <w:jc w:val="left"/>
        <w:rPr>
          <w:rFonts w:ascii="Times New Roman" w:hAnsi="Times New Roman"/>
          <w:sz w:val="20"/>
        </w:rPr>
      </w:pPr>
      <w:r>
        <w:rPr>
          <w:rFonts w:ascii="Times New Roman" w:hAnsi="Times New Roman"/>
          <w:sz w:val="20"/>
        </w:rPr>
        <w:t>(yy) Except as disclosed in the Offering Memorandum, and subject to the limitations described therein, no income, stamp or other taxes or levies, imposts, deductions, charges, compulsory loans or withholdings whatsoever (collectively, “</w:t>
      </w:r>
      <w:r>
        <w:rPr>
          <w:rFonts w:ascii="Times New Roman" w:hAnsi="Times New Roman"/>
          <w:sz w:val="20"/>
          <w:u w:val="single"/>
        </w:rPr>
        <w:t>Taxes</w:t>
      </w:r>
      <w:r>
        <w:rPr>
          <w:rFonts w:ascii="Times New Roman" w:hAnsi="Times New Roman"/>
          <w:sz w:val="20"/>
        </w:rPr>
        <w:t>”) are or will be, under applicable law in France,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Times New Roman" w:hAnsi="Times New Roman"/>
          <w:sz w:val="20"/>
          <w:u w:val="single"/>
        </w:rPr>
        <w:t>Taxing Jurisdiction</w:t>
      </w:r>
      <w:r>
        <w:rPr>
          <w:rFonts w:ascii="Times New Roman" w:hAnsi="Times New Roman"/>
          <w:sz w:val="20"/>
        </w:rPr>
        <w:t xml:space="preserve">”),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any payments hereunder or thereunder, except for Taxes of a holder of the Notes levied, imposed, deducted, charged, compulsorily lent or withheld by any jurisdiction where such holder is incorporated, organized, formed or tax resident. </w:t>
      </w:r>
    </w:p>
    <w:p>
      <w:pPr>
        <w:pStyle w:val="TextBody"/>
        <w:bidi w:val="0"/>
        <w:spacing w:before="120" w:after="0"/>
        <w:jc w:val="left"/>
        <w:rPr>
          <w:rFonts w:ascii="Times New Roman" w:hAnsi="Times New Roman"/>
          <w:sz w:val="20"/>
        </w:rPr>
      </w:pPr>
      <w:r>
        <w:rPr>
          <w:rFonts w:ascii="Times New Roman" w:hAnsi="Times New Roman"/>
          <w:sz w:val="20"/>
        </w:rPr>
        <w:t xml:space="preserve">(zz) None of the Companies or any property or assets of any of the Companies has any immunity from jurisdiction of any court or from any legal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(aaa) After giving effect to savings clauses in the Indenture and the Guarantees that limit the liability of the Guarantors in certain cases to the extent provided therein,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After giving effect to savings clauses in the Indenture and the Guarantees that limit the liability of the Guarantors in certain cases to the extent provided therein,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 </w:t>
      </w:r>
    </w:p>
    <w:p>
      <w:pPr>
        <w:pStyle w:val="TextBody"/>
        <w:bidi w:val="0"/>
        <w:spacing w:before="120" w:after="0"/>
        <w:jc w:val="left"/>
        <w:rPr>
          <w:rFonts w:ascii="Times New Roman" w:hAnsi="Times New Roman"/>
          <w:sz w:val="20"/>
        </w:rPr>
      </w:pPr>
      <w:r>
        <w:rPr>
          <w:rFonts w:ascii="Times New Roman" w:hAnsi="Times New Roman"/>
          <w:sz w:val="20"/>
        </w:rPr>
        <w:t xml:space="preserve">(bbb) None of the French subsidiaries of Holdings nor any of the Companies has applied, or will apply, for until the Closing Date or is or will be at the Closing Date subject to: </w:t>
      </w:r>
    </w:p>
    <w:p>
      <w:pPr>
        <w:pStyle w:val="TextBody"/>
        <w:bidi w:val="0"/>
        <w:spacing w:before="120" w:after="0"/>
        <w:jc w:val="left"/>
        <w:rPr>
          <w:rFonts w:ascii="Times New Roman" w:hAnsi="Times New Roman"/>
          <w:sz w:val="20"/>
        </w:rPr>
      </w:pPr>
      <w:r>
        <w:rPr>
          <w:rFonts w:ascii="Times New Roman" w:hAnsi="Times New Roman"/>
          <w:sz w:val="20"/>
        </w:rPr>
        <w:t xml:space="preserve">(i) a </w:t>
      </w:r>
      <w:r>
        <w:rPr>
          <w:rFonts w:ascii="Times New Roman" w:hAnsi="Times New Roman"/>
          <w:i/>
          <w:sz w:val="20"/>
        </w:rPr>
        <w:t>mandat</w:t>
      </w:r>
      <w:r>
        <w:rPr>
          <w:rFonts w:ascii="Times New Roman" w:hAnsi="Times New Roman"/>
          <w:sz w:val="20"/>
        </w:rPr>
        <w:t xml:space="preserve"> </w:t>
      </w:r>
      <w:r>
        <w:rPr>
          <w:rFonts w:ascii="Times New Roman" w:hAnsi="Times New Roman"/>
          <w:i/>
          <w:sz w:val="20"/>
        </w:rPr>
        <w:t>ad</w:t>
      </w:r>
      <w:r>
        <w:rPr>
          <w:rFonts w:ascii="Times New Roman" w:hAnsi="Times New Roman"/>
          <w:sz w:val="20"/>
        </w:rPr>
        <w:t xml:space="preserve"> </w:t>
      </w:r>
      <w:r>
        <w:rPr>
          <w:rFonts w:ascii="Times New Roman" w:hAnsi="Times New Roman"/>
          <w:i/>
          <w:sz w:val="20"/>
        </w:rPr>
        <w:t>hoc proceedings</w:t>
      </w:r>
      <w:r>
        <w:rPr>
          <w:rFonts w:ascii="Times New Roman" w:hAnsi="Times New Roman"/>
          <w:sz w:val="20"/>
        </w:rPr>
        <w:t xml:space="preserve"> (</w:t>
      </w:r>
      <w:r>
        <w:rPr>
          <w:rFonts w:ascii="Times New Roman" w:hAnsi="Times New Roman"/>
          <w:i/>
          <w:sz w:val="20"/>
        </w:rPr>
        <w:t>procédure de mandat ad hoc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a conciliation proceedings (</w:t>
      </w:r>
      <w:r>
        <w:rPr>
          <w:rFonts w:ascii="Times New Roman" w:hAnsi="Times New Roman"/>
          <w:i/>
          <w:sz w:val="20"/>
        </w:rPr>
        <w:t>procédure de conciliation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 safeguard proceedings (</w:t>
      </w:r>
      <w:r>
        <w:rPr>
          <w:rFonts w:ascii="Times New Roman" w:hAnsi="Times New Roman"/>
          <w:i/>
          <w:sz w:val="20"/>
        </w:rPr>
        <w:t>procédure de sauvegarde</w:t>
      </w:r>
      <w:r>
        <w:rPr>
          <w:rFonts w:ascii="Times New Roman" w:hAnsi="Times New Roman"/>
          <w:sz w:val="20"/>
        </w:rPr>
        <w:t>) or an accelerated safeguard proceedings (</w:t>
      </w:r>
      <w:r>
        <w:rPr>
          <w:rFonts w:ascii="Times New Roman" w:hAnsi="Times New Roman"/>
          <w:i/>
          <w:sz w:val="20"/>
        </w:rPr>
        <w:t>procédure de sauvegarde accélérée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a judgment issued for (x) the judicial reorganization (</w:t>
      </w:r>
      <w:r>
        <w:rPr>
          <w:rFonts w:ascii="Times New Roman" w:hAnsi="Times New Roman"/>
          <w:i/>
          <w:sz w:val="20"/>
        </w:rPr>
        <w:t>redressement judiciaire</w:t>
      </w:r>
      <w:r>
        <w:rPr>
          <w:rFonts w:ascii="Times New Roman" w:hAnsi="Times New Roman"/>
          <w:sz w:val="20"/>
        </w:rPr>
        <w:t>) or (y) the judicial liquidation proceedings (</w:t>
      </w:r>
      <w:r>
        <w:rPr>
          <w:rFonts w:ascii="Times New Roman" w:hAnsi="Times New Roman"/>
          <w:i/>
          <w:sz w:val="20"/>
        </w:rPr>
        <w:t>liquidation judiciaire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 a transfer of the whole of the business (</w:t>
      </w:r>
      <w:r>
        <w:rPr>
          <w:rFonts w:ascii="Times New Roman" w:hAnsi="Times New Roman"/>
          <w:i/>
          <w:sz w:val="20"/>
        </w:rPr>
        <w:t>cession totale de l’entreprise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voluntary liquidation; </w:t>
      </w:r>
    </w:p>
    <w:p>
      <w:pPr>
        <w:pStyle w:val="TextBody"/>
        <w:bidi w:val="0"/>
        <w:spacing w:before="120" w:after="0"/>
        <w:jc w:val="left"/>
        <w:rPr>
          <w:rFonts w:ascii="Times New Roman" w:hAnsi="Times New Roman"/>
          <w:sz w:val="20"/>
        </w:rPr>
      </w:pPr>
      <w:r>
        <w:rPr>
          <w:rFonts w:ascii="Times New Roman" w:hAnsi="Times New Roman"/>
          <w:sz w:val="20"/>
        </w:rPr>
        <w:t xml:space="preserve">(vii) any other proceedings under any applicable laws which has an analogous effect to any of the proceedings referred to from (i) to (vi)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(viii) any conveyance, assignment or other arrangement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(ix) any composition with its creditors. </w:t>
      </w:r>
    </w:p>
    <w:p>
      <w:pPr>
        <w:pStyle w:val="TextBody"/>
        <w:bidi w:val="0"/>
        <w:spacing w:before="120" w:after="0"/>
        <w:jc w:val="left"/>
        <w:rPr>
          <w:rFonts w:ascii="Times New Roman" w:hAnsi="Times New Roman"/>
          <w:sz w:val="20"/>
        </w:rPr>
      </w:pPr>
      <w:r>
        <w:rPr>
          <w:rFonts w:ascii="Times New Roman" w:hAnsi="Times New Roman"/>
          <w:sz w:val="20"/>
        </w:rPr>
        <w:t xml:space="preserve">(ccc) None of the Companies or their respective Affiliates, or any person acting on behalf of any of them (other than the Initial Purchasers, as to which the Companies make no representation or warranty), has offered or sold and will offer or sell, directly or indirectly, any Notes to the public in France other than pursuant to an exemption under Article 1(4) of the Regulation (EU) 2017/1129 of the European Parliament and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Council of 14 June 2017 as amended from time to time (the “</w:t>
      </w:r>
      <w:r>
        <w:rPr>
          <w:rFonts w:ascii="Times New Roman" w:hAnsi="Times New Roman"/>
          <w:sz w:val="20"/>
          <w:u w:val="single"/>
        </w:rPr>
        <w:t>Prospectus Regulation</w:t>
      </w:r>
      <w:r>
        <w:rPr>
          <w:rFonts w:ascii="Times New Roman" w:hAnsi="Times New Roman"/>
          <w:sz w:val="20"/>
        </w:rPr>
        <w:t>”) or has distributed or caused to be distributed or will distribute or cause to be distributed to the public in France the Preliminary Memorandum, the Final Memorandum or any other offering or marketing material relating to the Notes, and that such offers, sales and distributions have been and shall only be made in France to qualified investors (</w:t>
      </w:r>
      <w:r>
        <w:rPr>
          <w:rFonts w:ascii="Times New Roman" w:hAnsi="Times New Roman"/>
          <w:i/>
          <w:sz w:val="20"/>
        </w:rPr>
        <w:t>investisseurs qualifiés</w:t>
      </w:r>
      <w:r>
        <w:rPr>
          <w:rFonts w:ascii="Times New Roman" w:hAnsi="Times New Roman"/>
          <w:sz w:val="20"/>
        </w:rPr>
        <w:t xml:space="preserve">), as defined in point (e) of Article 2 of the Prospectus Regulation and any related applicable French laws and regulations implementing the Prospectus Regulation. </w:t>
      </w:r>
    </w:p>
    <w:p>
      <w:pPr>
        <w:pStyle w:val="TextBody"/>
        <w:bidi w:val="0"/>
        <w:spacing w:before="120" w:after="0"/>
        <w:jc w:val="left"/>
        <w:rPr>
          <w:rFonts w:ascii="Times New Roman" w:hAnsi="Times New Roman"/>
          <w:sz w:val="20"/>
        </w:rPr>
      </w:pPr>
      <w:r>
        <w:rPr>
          <w:rFonts w:ascii="Times New Roman" w:hAnsi="Times New Roman"/>
          <w:sz w:val="20"/>
        </w:rPr>
        <w:t>(ddd) Holdings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(Regulation (EU) 2016/679, as amended))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(eee) Holdings and each of its subsidiaries maintain an effective system of “disclosure controls and procedures” (as defined in 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(fff) None of the Companies nor any of their respective subsidiaries nor any agent thereof acting on their behalf has taken, and none of them will take, any action that might cause this Agreement or the issuance or sale of the Securities to violate Regulation T, Regulation U or Regulation X of the Board of Governors of the Federal Reserve System, in each case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acknowledge and agree that the Initial Purchasers may offer and sell the Securities to or through any affiliate of an Initial Purchaser and that any such affiliate may offer and sell the Notes purchased by it to or through any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98.750% of the principal amount of the Notes, plus accrued interest, if any, from October 6, 2025 to the Closing Date (the “</w:t>
      </w:r>
      <w:r>
        <w:rPr>
          <w:rFonts w:ascii="Times New Roman" w:hAnsi="Times New Roman"/>
          <w:sz w:val="20"/>
          <w:u w:val="single"/>
        </w:rPr>
        <w:t>Purchase Amount</w:t>
      </w:r>
      <w:r>
        <w:rPr>
          <w:rFonts w:ascii="Times New Roman" w:hAnsi="Times New Roman"/>
          <w:sz w:val="20"/>
        </w:rPr>
        <w:t xml:space="preserve">”), the principal amount of Securities set forth opposite such Initial Purchaser’s name in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Delivery of and payment for the Securities shall be made at 10:00 A.M., London time, on October 6, 2025, or at such time on such later date (not later than October 13, 2025) as the Initial Purchasers shall designate, which date and time may be postponed among the Initial Purchasers and the Issuer or as provided in Section 9 hereof (such date and time of delivery and payment for the Securities being herein called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Notes sold within the United States to QIBs in reliance on Rule 144A will be represented by one or more global notes in registered form without interest coupons attached (the “</w:t>
      </w:r>
      <w:r>
        <w:rPr>
          <w:rFonts w:ascii="Times New Roman" w:hAnsi="Times New Roman"/>
          <w:sz w:val="20"/>
          <w:u w:val="single"/>
        </w:rPr>
        <w:t>Rule 144A Global Note</w:t>
      </w:r>
      <w:r>
        <w:rPr>
          <w:rFonts w:ascii="Times New Roman" w:hAnsi="Times New Roman"/>
          <w:sz w:val="20"/>
        </w:rPr>
        <w:t>”). The Notes sold outside the United States to persons who are not U.S. persons in reliance on Regulation S will be represented by one or more global notes in registered form without interest coupons attached (the “</w:t>
      </w:r>
      <w:r>
        <w:rPr>
          <w:rFonts w:ascii="Times New Roman" w:hAnsi="Times New Roman"/>
          <w:sz w:val="20"/>
          <w:u w:val="single"/>
        </w:rPr>
        <w:t>Regulation S Global Note</w:t>
      </w:r>
      <w:r>
        <w:rPr>
          <w:rFonts w:ascii="Times New Roman" w:hAnsi="Times New Roman"/>
          <w:sz w:val="20"/>
        </w:rPr>
        <w:t>” and, together with the Rule 144A Global Note, the “</w:t>
      </w:r>
      <w:r>
        <w:rPr>
          <w:rFonts w:ascii="Times New Roman" w:hAnsi="Times New Roman"/>
          <w:sz w:val="20"/>
          <w:u w:val="single"/>
        </w:rPr>
        <w:t>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Securities represented by the Global Notes will initially be credited free of payment to an account (the “</w:t>
      </w:r>
      <w:r>
        <w:rPr>
          <w:rFonts w:ascii="Times New Roman" w:hAnsi="Times New Roman"/>
          <w:sz w:val="20"/>
          <w:u w:val="single"/>
        </w:rPr>
        <w:t>Commissionaire Account</w:t>
      </w:r>
      <w:r>
        <w:rPr>
          <w:rFonts w:ascii="Times New Roman" w:hAnsi="Times New Roman"/>
          <w:sz w:val="20"/>
        </w:rPr>
        <w:t>”) for the benefit of the Representative, the terms of which will include a third-party beneficiary clause (“</w:t>
      </w:r>
      <w:r>
        <w:rPr>
          <w:rFonts w:ascii="Times New Roman" w:hAnsi="Times New Roman"/>
          <w:i/>
          <w:sz w:val="20"/>
        </w:rPr>
        <w:t>stipulation pour autrui</w:t>
      </w:r>
      <w:r>
        <w:rPr>
          <w:rFonts w:ascii="Times New Roman" w:hAnsi="Times New Roman"/>
          <w:sz w:val="20"/>
        </w:rPr>
        <w:t xml:space="preserve">”) with the Issuer as the third-party beneficiary, and provide that such Notes are to be delivered to others only against payment of the net Purchase Amount (i.e. less the commissions and expenses to be deducted from the Purchase Amount) into the Commissionaire Account on a delivery against payments basis.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Representative acknowledges that (i) the Global Notes shall be held to the order of the Issuer and (ii) the net Purchase Amount received in the Commissionaire Accounts (i.e. less the commissions and expenses deducted from the Purchase Amount) will be held on behalf of the Issuer until such time as they are transferred to the Issuer’s order. The Representative undertakes that the net Purchase Amount for the Securities (i.e. less the commissions and expenses deducted from the Purchase Amount) will be transferred to the Issuer’s order promptly following receipt of the Purchase Amount in the Commissionaire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Issuer acknowledges and accepts the benefit of the third-party beneficiary clause (“</w:t>
      </w:r>
      <w:r>
        <w:rPr>
          <w:rFonts w:ascii="Times New Roman" w:hAnsi="Times New Roman"/>
          <w:i/>
          <w:sz w:val="20"/>
        </w:rPr>
        <w:t>stipulation pour autrui</w:t>
      </w:r>
      <w:r>
        <w:rPr>
          <w:rFonts w:ascii="Times New Roman" w:hAnsi="Times New Roman"/>
          <w:sz w:val="20"/>
        </w:rPr>
        <w:t>”) pursuant to the Belgian Civil Code, in the case of Euroclear Bank SA/NV, as operator of the Euroclear System (“</w:t>
      </w:r>
      <w:r>
        <w:rPr>
          <w:rFonts w:ascii="Times New Roman" w:hAnsi="Times New Roman"/>
          <w:sz w:val="20"/>
          <w:u w:val="single"/>
        </w:rPr>
        <w:t>Euroclear</w:t>
      </w:r>
      <w:r>
        <w:rPr>
          <w:rFonts w:ascii="Times New Roman" w:hAnsi="Times New Roman"/>
          <w:sz w:val="20"/>
        </w:rPr>
        <w:t xml:space="preserve">”), and the Luxembourg Civil Code, in the case of Clearstream Banking, </w:t>
      </w:r>
      <w:r>
        <w:rPr>
          <w:rFonts w:ascii="Times New Roman" w:hAnsi="Times New Roman"/>
          <w:i/>
          <w:sz w:val="20"/>
        </w:rPr>
        <w:t xml:space="preserve">société anonyme </w:t>
      </w: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in each case in respect of the Commissionaire Account. </w:t>
      </w:r>
    </w:p>
    <w:p>
      <w:pPr>
        <w:pStyle w:val="TextBody"/>
        <w:bidi w:val="0"/>
        <w:spacing w:before="240" w:after="0"/>
        <w:jc w:val="left"/>
        <w:rPr>
          <w:rFonts w:ascii="Times New Roman" w:hAnsi="Times New Roman"/>
          <w:sz w:val="20"/>
        </w:rPr>
      </w:pPr>
      <w:r>
        <w:rPr>
          <w:rFonts w:ascii="Times New Roman" w:hAnsi="Times New Roman"/>
          <w:sz w:val="20"/>
        </w:rPr>
        <w:t xml:space="preserve">(f) Payment for the Securities shall be made by the several Initial Purchasers by wire transfer payable in same-day funds to the account specified by the Issuer, and Euroclear and Clearstream shall credit the Securities to the Commissionaire Account of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Initial Purchasers</w:t>
      </w:r>
      <w:r>
        <w:rPr>
          <w:rFonts w:ascii="Times New Roman" w:hAnsi="Times New Roman"/>
          <w:sz w:val="20"/>
        </w:rPr>
        <w:t xml:space="preserve">. Each Initial Purchaser, severally and not jointly, represents and warrants to and agrees with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It is an “accredited investor” within the meaning of Rule 501 of the Act and acknowledges that it is purchasing the Securities pursuant to a private sale exemption from registration under the Act. </w:t>
      </w:r>
    </w:p>
    <w:p>
      <w:pPr>
        <w:pStyle w:val="TextBody"/>
        <w:bidi w:val="0"/>
        <w:spacing w:before="120" w:after="0"/>
        <w:jc w:val="left"/>
        <w:rPr>
          <w:rFonts w:ascii="Times New Roman" w:hAnsi="Times New Roman"/>
          <w:sz w:val="20"/>
        </w:rPr>
      </w:pPr>
      <w:r>
        <w:rPr>
          <w:rFonts w:ascii="Times New Roman" w:hAnsi="Times New Roman"/>
          <w:sz w:val="20"/>
        </w:rPr>
        <w:t xml:space="preserve">(b) 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Times New Roman" w:hAnsi="Times New Roman"/>
          <w:sz w:val="20"/>
          <w:u w:val="single"/>
        </w:rPr>
        <w:t>Exhibit A</w:t>
      </w:r>
      <w:r>
        <w:rPr>
          <w:rFonts w:ascii="Times New Roman" w:hAnsi="Times New Roman"/>
          <w:sz w:val="20"/>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4(a)(2) of the Act. </w:t>
      </w:r>
    </w:p>
    <w:p>
      <w:pPr>
        <w:pStyle w:val="TextBody"/>
        <w:bidi w:val="0"/>
        <w:spacing w:before="120" w:after="0"/>
        <w:jc w:val="left"/>
        <w:rPr>
          <w:rFonts w:ascii="Times New Roman" w:hAnsi="Times New Roman"/>
          <w:sz w:val="20"/>
        </w:rPr>
      </w:pPr>
      <w:r>
        <w:rPr>
          <w:rFonts w:ascii="Times New Roman" w:hAnsi="Times New Roman"/>
          <w:sz w:val="20"/>
        </w:rPr>
        <w:t xml:space="preserve">(d) Each Initial Purchaser acknowledges and agrees that the Issuer and, for the purposes of the opinions to be delivered to the Initial Purchasers pursuant to Section 6(a) through 6(d),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w:t>
      </w:r>
      <w:r>
        <w:rPr>
          <w:rFonts w:ascii="Times New Roman" w:hAnsi="Times New Roman"/>
          <w:sz w:val="20"/>
        </w:rPr>
        <w:t xml:space="preserve">. The Companies, jointly and severally, agree,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(b) 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Times New Roman" w:hAnsi="Times New Roman"/>
          <w:sz w:val="20"/>
          <w:u w:val="single"/>
        </w:rPr>
        <w:t>provided</w:t>
      </w:r>
      <w:r>
        <w:rPr>
          <w:rFonts w:ascii="Times New Roman" w:hAnsi="Times New Roman"/>
          <w:sz w:val="20"/>
        </w:rPr>
        <w:t xml:space="preserve"> that in no event shall any Company be obligated to qualify to do business in any jurisdiction where it is not now so qualified, to execute a general consent to service of process in any jurisdiction with respect to which such a consent has not been 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(e) The Companies will not, and will not permit any of their respective Affiliates to, resell any Securities that have been acquired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 </w:t>
      </w:r>
    </w:p>
    <w:p>
      <w:pPr>
        <w:pStyle w:val="TextBody"/>
        <w:bidi w:val="0"/>
        <w:spacing w:before="120" w:after="0"/>
        <w:jc w:val="left"/>
        <w:rPr>
          <w:rFonts w:ascii="Times New Roman" w:hAnsi="Times New Roman"/>
          <w:sz w:val="20"/>
        </w:rPr>
      </w:pPr>
      <w:r>
        <w:rPr>
          <w:rFonts w:ascii="Times New Roman" w:hAnsi="Times New Roman"/>
          <w:sz w:val="20"/>
        </w:rPr>
        <w:t xml:space="preserve">(g) None of the Companies or their respective Affiliates, or any person acting on behalf of any of them, will engage in any form of general solicitation or general advertising (within the meaning of Regulation D or in any manner involving a public offering within the meaning of Section 4(a)(2) of the Act) in connection with any offer or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(h) So long as any of the Securities are “restricted securities” within the meaning of Rule 144(a)(3) under the Act, each Company will, during any period in which it is not subject to and in compliance with Section 13 or 15(d) of the Exchange Act or it is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(j) The Companies will cooperate with the Representative and use their respective reasonable best efforts to permit the Notes to be eligible for clearance and settlement through Euroclear and Clearstream. The Companies will use their reasonable best efforts to cause the Notes to be listed on the Official List of the Luxembourg Stock Exchange and to be admitted to trading on the Euro MTF Market of the Luxembourg Stock Exchange as soon as practicable after the date hereof. If the Notes cease to be listed on the Official List of the Luxembourg Stock Exchange, the Companies will use their reasonable best efforts as soon as practicable to list such Notes on another “recognised stock exchange”, as defined in Section 1005 of the Income Tax Act 2007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Companies will not and will not permit any of their subsidiaries to, for a period of ninety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Americas LLC of U.S. dollar-denominated senior notes and intercompany notes).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(m) The Companies, jointly and severally, agree to pay the costs and expenses relating to the following matters: (i) the preparation of the Indenture,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(including any non-recoverable value added tax (“</w:t>
      </w:r>
      <w:r>
        <w:rPr>
          <w:rFonts w:ascii="Times New Roman" w:hAnsi="Times New Roman"/>
          <w:sz w:val="20"/>
          <w:u w:val="single"/>
        </w:rPr>
        <w:t>VAT</w:t>
      </w:r>
      <w:r>
        <w:rPr>
          <w:rFonts w:ascii="Times New Roman" w:hAnsi="Times New Roman"/>
          <w:sz w:val="20"/>
        </w:rPr>
        <w:t xml:space="preserve">”) incurred thereon which, for the avoidance of doubt, shall include any non-recoverable VAT on services provided from legal counsel where the Initial Purchasers are required to self-assess and account for VAT in their role as the recipient of such services);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admitting the Notes for listing on the Official List of the Luxembourg Stock Exchange and for trading on the Euro MTF Market; (viii) the transportation and other expenses incurred by or on behalf of the Companies’ representatives in connection with presentations to prospective purchasers of the Securities; (ix) the fees and expenses of the Companies’ accountants and the fees and expenses of counsel (including local and special counsel) for the Companies; (x) any appraisal or valuation performed in connection with the offering and sale of the Securities; and (xi) all other costs and expenses incident to the performance by the Companies of their respective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Companies will apply the proceeds from the offering and sale of the Securities as provided under the caption “Use of Proceeds” in the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Initial Purchasers</w:t>
      </w:r>
      <w:r>
        <w:rPr>
          <w:rFonts w:ascii="Times New Roman" w:hAnsi="Times New Roman"/>
          <w:sz w:val="20"/>
        </w:rPr>
        <w:t xml:space="preserve">.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shall have requested and caused (i) Dechert LLP, special United States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(ii) Singerman Mills Desberg &amp; Kauntz Co. L.P.A., special Ohio counsel for the Companies, to furnish to the Initial Purchasers their opinion on the Closing Date and dated the Closing Date and addressed to the Initial Purchasers, substantially in the form reasonably satisfactory to the Initial Purchasers and their counsel and (iii)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the Delaware Limited Liability Company Act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(b) The Companies shall have requested and caused Dechert (Paris) LLP, special French counsel to the Companies, to furnish to the Initial Purchasers their opinion, delivered on the Closing Date and dated the Closing Date and addressed to the Initial Purchasers, substantially in the form reasonably satisfactory to the Initial Purchasers and their counsel. In rendering such opinion, such counsel may rely as to matters of fact, to the extent they deem proper, on certificates of responsible officers of the Companies and public officials. In rendering such opinion, such counsel will exclude any matters involving the application of laws of any jurisdiction other than the Republic of France.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Companies shall have requested and caused one or more local counsel for the Companies, reasonably satisfactory to the Initial Purchasers and counsel to the Initial Purchasers, in each of Canada, Germany, Luxembourg, Mexico, the Netherlands, Spain, Switzerland and England and Wales to furnish to the Initial Purchasers their opinion, delivered on the Closing Date and dated the Closing Date and addressed to the Initial Purchasers. In rendering such opinion, such counsel may rely as to matters of fact, to the extent they deem proper, on certificates of responsible officers of relevant Companies. </w:t>
      </w:r>
    </w:p>
    <w:p>
      <w:pPr>
        <w:pStyle w:val="TextBody"/>
        <w:bidi w:val="0"/>
        <w:spacing w:before="120" w:after="0"/>
        <w:jc w:val="left"/>
        <w:rPr>
          <w:rFonts w:ascii="Times New Roman" w:hAnsi="Times New Roman"/>
          <w:sz w:val="20"/>
        </w:rPr>
      </w:pPr>
      <w:r>
        <w:rPr>
          <w:rFonts w:ascii="Times New Roman" w:hAnsi="Times New Roman"/>
          <w:sz w:val="20"/>
        </w:rPr>
        <w:t xml:space="preserve">(d) The Initial Purchasers shall have received from each of (i) Cahill Gordon &amp; Reindel LLP, special United States counsel for the Initial Purchasers, and (ii) Gide Loyrette Nouel A.A.R.P.I., special French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(e) 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Companies in this Agreement are true and correct in all material respects (other than the representations and warranties set forth in Section 1(tt), (uu) and (vv)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(ii) 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(f) 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(i) The Companies and the Trustee shall have entered into the Indenture in form and substance reasonably satisfactory to the Representative, and the Representative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(j) Each of the Guarantors shall have executed a Guarantee in form and substance reasonably satisfactory to the Representative, and the Initial Purchasers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(k) The Companies shall have filed an application to list the Notes on the Official List of the Luxembourg Stock Exchange, and the Notes shall be eligible for clearance and settlement through 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shall have appointed CT Corporation System, located at 111 Eighth Avenue, New York, New York 10011, as its agent for service of process in the United States under this Agreement, the Indenture and the Securities in accordance with Section 22 hereof and the equivalent provision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(m) The Issuer and each of the Guarantors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(n) 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Prior to the Closing Date, each of the Companies shall have furnished to the Representative such further information,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documents required to be delivered by this Section 6 will be delivered at the office of Cahill Gordon &amp; Reindel LLP, counsel for the Initial Purchasers, at 32 Old Slip,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Reimbursement of Expenses</w:t>
      </w:r>
      <w:r>
        <w:rPr>
          <w:rFonts w:ascii="Times New Roman" w:hAnsi="Times New Roman"/>
          <w:sz w:val="20"/>
        </w:rPr>
        <w:t xml:space="preserve">.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in reliance upon and in conformity with written information furnished to the Companies by or on behalf of any Initial Purchaser through the Representative specifically for inclusion therein, it being acknowledged and agreed that the only such written information is as set forth in Section 8(b) hereto. This indemnity agreement will be in addition to any liability which the Companies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severally and not jointly, agrees to indemnify and hold harmless, each Company, each of their directors, each of their officers, each of their employees, each of their agents and each person who controls a Company within the meaning of either the Act or the Exchange Act and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fifth sentence in the fifteenth paragraph, each under the heading “Plan of Distribution” in the Preliminary Memorandum and Final Memorandum, constitute the only information furnished in writing by or on behalf of the Initial Purchasers through the Representative for inclusion in the Pricing Disclosure Package and Final Memorandum (or in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(d) 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Times New Roman" w:hAnsi="Times New Roman"/>
          <w:sz w:val="20"/>
          <w:u w:val="single"/>
        </w:rPr>
        <w:t>Losses</w:t>
      </w:r>
      <w:r>
        <w:rPr>
          <w:rFonts w:ascii="Times New Roman" w:hAnsi="Times New Roman"/>
          <w:sz w:val="20"/>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Initial Purchaser</w:t>
      </w:r>
      <w:r>
        <w:rPr>
          <w:rFonts w:ascii="Times New Roman" w:hAnsi="Times New Roman"/>
          <w:sz w:val="20"/>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Times New Roman" w:hAnsi="Times New Roman"/>
          <w:sz w:val="20"/>
          <w:u w:val="single"/>
        </w:rPr>
        <w:t>Schedule I</w:t>
      </w:r>
      <w:r>
        <w:rPr>
          <w:rFonts w:ascii="Times New Roman" w:hAnsi="Times New Roman"/>
          <w:sz w:val="20"/>
        </w:rPr>
        <w:t xml:space="preserve"> hereto bears to the aggregate amount of Securities set forth opposite the names of all the remaining Initial Purchasers) the Securities which the defaulting Initial Purchaser or Initial Purchasers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amount of Securities which the defaulting Initial Purchaser or Initial Purchasers agreed but failed to purchase shall exceed 10% of the aggregate amount of Securities set forth in </w:t>
      </w:r>
      <w:r>
        <w:rPr>
          <w:rFonts w:ascii="Times New Roman" w:hAnsi="Times New Roman"/>
          <w:sz w:val="20"/>
          <w:u w:val="single"/>
        </w:rPr>
        <w:t>Schedule I</w:t>
      </w:r>
      <w:r>
        <w:rPr>
          <w:rFonts w:ascii="Times New Roman" w:hAnsi="Times New Roman"/>
          <w:sz w:val="20"/>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Luxembourg Stock Exchange or the Nasdaq Global Market shall have been suspended or limited or minimum prices shall have been established on any such exchange or Nasdaq Global Market; (ii) a banking moratorium shall have been declared either by Federal or New York State authorities or by authorities in the United Kingdom, European Union or any member state thereof; or (iii) there shall have occurred any outbreak or escalation of hostilities, declaration by the United States, the United Kingdom or the European Union or any member state thereof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Indemnities to Survive</w:t>
      </w:r>
      <w:r>
        <w:rPr>
          <w:rFonts w:ascii="Times New Roman" w:hAnsi="Times New Roman"/>
          <w:sz w:val="20"/>
        </w:rPr>
        <w:t xml:space="preserve">. The respective indemnities, rights of contribution, qualified financial contracts resolution stay and bail-in provisions, agreements, representations, warranties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Initial Purchasers, will be mailed, delivered or telefaxed to BNP PARIBAS, 16, boulevard des Italiens, 75009 Paris, France, Email: dl.syndsupportbonds@uk.bnpparibas.com; rafael.ribeiro@us.bnpparibas.com, Attention: Fixed Income Syndicate and Rafael Ribeiro; if sent to the Companies, will be mailed, delivered or telefaxed to Crown Holdings, Inc., 770 Township Line Road, Yardley, PA 19067, Attention: General Counsel (email: Adam.Dickstein@crowncork.com), with a copy to Dechert LLP, Cira Center, 2929 Arch Street, Philadelphia, PA 19104, Attention: Ian A. Hartman (email: ian.hartman@dechert.com).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Agreement and Acknowledgment with Respect to the Exercise of Bail-in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EU Bail-in Powers</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BRRD Liability arising under this Agreement may be subject to the exercise of the relevant Bail-in Powers by the Relevant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Bail-in Powers by the Relevant Resolution Authority in relation to any BRRD Liability of an applicable Initial Purchaser (the “</w:t>
      </w:r>
      <w:r>
        <w:rPr>
          <w:rFonts w:ascii="Times New Roman" w:hAnsi="Times New Roman"/>
          <w:sz w:val="20"/>
          <w:u w:val="single"/>
        </w:rPr>
        <w:t>Relevant BRRD Party</w:t>
      </w:r>
      <w:r>
        <w:rPr>
          <w:rFonts w:ascii="Times New Roman" w:hAnsi="Times New Roman"/>
          <w:sz w:val="20"/>
        </w:rPr>
        <w:t xml:space="preserve">”) to such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BRRD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BRRD Liability into shares, other securities or other obligations of the Relevant BRRD Party or another person, and the issue to or conferral on such other party to this Agreement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BRRD Liability;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by the Relevant Resolution Authority, to give effect to the exercise of Bail-in Powers by the Relevant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13(a): </w:t>
      </w:r>
    </w:p>
    <w:p>
      <w:pPr>
        <w:pStyle w:val="TextBody"/>
        <w:bidi w:val="0"/>
        <w:spacing w:before="120" w:after="0"/>
        <w:jc w:val="left"/>
        <w:rPr/>
      </w:pPr>
      <w:r>
        <w:rPr/>
        <w:t>“</w:t>
      </w:r>
      <w:r>
        <w:rPr>
          <w:rFonts w:ascii="Times New Roman" w:hAnsi="Times New Roman"/>
          <w:sz w:val="20"/>
          <w:u w:val="single"/>
        </w:rPr>
        <w:t>EU Bail-in Legislation</w:t>
      </w:r>
      <w:r>
        <w:rPr>
          <w:rFonts w:ascii="Times New Roman" w:hAnsi="Times New Roman"/>
          <w:sz w:val="20"/>
        </w:rPr>
        <w:t xml:space="preserve">”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pPr>
      <w:r>
        <w:rPr/>
        <w:t>“</w:t>
      </w:r>
      <w:r>
        <w:rPr>
          <w:rFonts w:ascii="Times New Roman" w:hAnsi="Times New Roman"/>
          <w:sz w:val="20"/>
          <w:u w:val="single"/>
        </w:rPr>
        <w:t>Bail-in Powers</w:t>
      </w:r>
      <w:r>
        <w:rPr>
          <w:rFonts w:ascii="Times New Roman" w:hAnsi="Times New Roman"/>
          <w:sz w:val="20"/>
        </w:rPr>
        <w:t xml:space="preserve">” means any Write-down and Conversion Powers as defined in the EU Bail-in Legislation Schedule, in relation to the relevant Bail-in Legislation; </w:t>
      </w:r>
    </w:p>
    <w:p>
      <w:pPr>
        <w:pStyle w:val="TextBody"/>
        <w:bidi w:val="0"/>
        <w:spacing w:before="240" w:after="0"/>
        <w:jc w:val="left"/>
        <w:rPr/>
      </w:pPr>
      <w:r>
        <w:rPr/>
        <w:t>“</w:t>
      </w:r>
      <w:r>
        <w:rPr>
          <w:rFonts w:ascii="Times New Roman" w:hAnsi="Times New Roman"/>
          <w:sz w:val="20"/>
          <w:u w:val="single"/>
        </w:rPr>
        <w:t>BRRD</w:t>
      </w:r>
      <w:r>
        <w:rPr>
          <w:rFonts w:ascii="Times New Roman" w:hAnsi="Times New Roman"/>
          <w:sz w:val="20"/>
        </w:rPr>
        <w:t xml:space="preserve">” means Directive 2014/59/EU establishing a framework for the recovery and resolution of credit institutions and investment firms, as amended from time to time; </w:t>
      </w:r>
    </w:p>
    <w:p>
      <w:pPr>
        <w:pStyle w:val="TextBody"/>
        <w:bidi w:val="0"/>
        <w:spacing w:before="240" w:after="0"/>
        <w:jc w:val="left"/>
        <w:rPr/>
      </w:pPr>
      <w:r>
        <w:rPr/>
        <w:t>“</w:t>
      </w:r>
      <w:r>
        <w:rPr>
          <w:rFonts w:ascii="Times New Roman" w:hAnsi="Times New Roman"/>
          <w:sz w:val="20"/>
          <w:u w:val="single"/>
        </w:rPr>
        <w:t>BRRD Liability</w:t>
      </w:r>
      <w:r>
        <w:rPr>
          <w:rFonts w:ascii="Times New Roman" w:hAnsi="Times New Roman"/>
          <w:sz w:val="20"/>
        </w:rPr>
        <w:t xml:space="preserve">” means a liability in respect of which the relevant Write Down and Conversion Powers in the applicable Bail-in Legislation may be exercised;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document described as such, then in effect, and published by the Loan Market Association (or any successor person) from time to time at http://www.lma.eu.com/documents-guidelines/eu-bail-legislation-schedule; and </w:t>
      </w:r>
    </w:p>
    <w:p>
      <w:pPr>
        <w:pStyle w:val="TextBody"/>
        <w:bidi w:val="0"/>
        <w:spacing w:before="240" w:after="0"/>
        <w:jc w:val="left"/>
        <w:rPr/>
      </w:pPr>
      <w:r>
        <w:rPr/>
        <w:t>“</w:t>
      </w:r>
      <w:r>
        <w:rPr>
          <w:rFonts w:ascii="Times New Roman" w:hAnsi="Times New Roman"/>
          <w:sz w:val="20"/>
          <w:u w:val="single"/>
        </w:rPr>
        <w:t>Relevant Resolution Authority</w:t>
      </w:r>
      <w:r>
        <w:rPr>
          <w:rFonts w:ascii="Times New Roman" w:hAnsi="Times New Roman"/>
          <w:sz w:val="20"/>
        </w:rPr>
        <w:t xml:space="preserve">” means the resolution authority with the ability to exercise any Bail-in Powers in relation to the Relevant BRRD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of UK Bail-in Powers</w:t>
      </w:r>
      <w:r>
        <w:rPr>
          <w:rFonts w:ascii="Times New Roman" w:hAnsi="Times New Roman"/>
          <w:i/>
          <w:sz w:val="20"/>
        </w:rPr>
        <w:t>.</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UK Bail-in Liability arising under this Agreement may be subject to the exercise of UK Bail-in Powers by the relevant UK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UK Bail-in Powers by the relevant UK Resolution Authority in relation to any UK Bail-in Liability of an applicable Initial Purchaser (the “</w:t>
      </w:r>
      <w:r>
        <w:rPr>
          <w:rFonts w:ascii="Times New Roman" w:hAnsi="Times New Roman"/>
          <w:sz w:val="20"/>
          <w:u w:val="single"/>
        </w:rPr>
        <w:t>Relevant UK Bail-in Party</w:t>
      </w:r>
      <w:r>
        <w:rPr>
          <w:rFonts w:ascii="Times New Roman" w:hAnsi="Times New Roman"/>
          <w:sz w:val="20"/>
        </w:rPr>
        <w:t xml:space="preserve">”) to any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UK Bail-in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UK Bail-in Liability into shares or other securities or other obligations of the Relevant UK Bail-in Party or another person, and the issue to or conferral on such other party to this Agreement of such shares, securities or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cancellation of the UK Bail-in Liability; or </w:t>
      </w:r>
    </w:p>
    <w:p>
      <w:pPr>
        <w:pStyle w:val="TextBody"/>
        <w:bidi w:val="0"/>
        <w:spacing w:before="12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to give effect to the exercise of UK Bail-in Powers by the relevant UK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13(b): </w:t>
      </w:r>
    </w:p>
    <w:p>
      <w:pPr>
        <w:pStyle w:val="TextBody"/>
        <w:bidi w:val="0"/>
        <w:spacing w:before="120" w:after="0"/>
        <w:jc w:val="left"/>
        <w:rPr/>
      </w:pPr>
      <w:r>
        <w:rPr/>
        <w:t>“</w:t>
      </w:r>
      <w:r>
        <w:rPr>
          <w:rFonts w:ascii="Times New Roman" w:hAnsi="Times New Roman"/>
          <w:sz w:val="20"/>
          <w:u w:val="single"/>
        </w:rPr>
        <w:t>UK Bail-in Legislation</w:t>
      </w:r>
      <w:r>
        <w:rPr>
          <w:rFonts w:ascii="Times New Roman" w:hAnsi="Times New Roman"/>
          <w:sz w:val="20"/>
        </w:rPr>
        <w:t xml:space="preserve">” means Part I of the UK Banking Act 2009, as amended,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UK Bail-in Liability</w:t>
      </w:r>
      <w:r>
        <w:rPr>
          <w:rFonts w:ascii="Times New Roman" w:hAnsi="Times New Roman"/>
          <w:sz w:val="20"/>
        </w:rPr>
        <w:t xml:space="preserve">” means a liability in respect of which the UK Bail-in Powers may be exercised; and </w:t>
      </w:r>
    </w:p>
    <w:p>
      <w:pPr>
        <w:pStyle w:val="TextBody"/>
        <w:bidi w:val="0"/>
        <w:spacing w:before="240" w:after="0"/>
        <w:jc w:val="left"/>
        <w:rPr/>
      </w:pPr>
      <w:r>
        <w:rPr/>
        <w:t>“</w:t>
      </w:r>
      <w:r>
        <w:rPr>
          <w:rFonts w:ascii="Times New Roman" w:hAnsi="Times New Roman"/>
          <w:sz w:val="20"/>
          <w:u w:val="single"/>
        </w:rPr>
        <w:t>UK Bail-in Powers</w:t>
      </w:r>
      <w:r>
        <w:rPr>
          <w:rFonts w:ascii="Times New Roman" w:hAnsi="Times New Roman"/>
          <w:sz w:val="20"/>
        </w:rPr>
        <w:t xml:space="preserve">”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resolution authority with the ability to exercise any UK Bail-in Powers in relation to a Relevant UK Bail-in Party.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Applicable Law</w:t>
      </w:r>
      <w:r>
        <w:rPr>
          <w:rFonts w:ascii="Times New Roman" w:hAnsi="Times New Roman"/>
          <w:sz w:val="20"/>
        </w:rPr>
        <w:t xml:space="preserve">.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Counterparts</w:t>
      </w:r>
      <w:r>
        <w:rPr>
          <w:rFonts w:ascii="Times New Roman" w:hAnsi="Times New Roman"/>
          <w:sz w:val="20"/>
        </w:rPr>
        <w:t xml:space="preserve">. Delivery of an executed counterpart of a signature page of this Agreement by facsimile or other electronic transmission (including in “.pdf” format) will be effective as delivery of a manually executed counterpart hereof.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Advisory or Fiduciary Responsibility</w:t>
      </w:r>
      <w:r>
        <w:rPr>
          <w:rFonts w:ascii="Times New Roman" w:hAnsi="Times New Roman"/>
          <w:sz w:val="20"/>
        </w:rPr>
        <w:t xml:space="preserve">.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 The Issuer confirms to act as principal for its own account and not as agent or trustee in any capacity on behalf of any party in relation to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Modifications</w:t>
      </w:r>
      <w:r>
        <w:rPr>
          <w:rFonts w:ascii="Times New Roman" w:hAnsi="Times New Roman"/>
          <w:sz w:val="20"/>
        </w:rPr>
        <w:t xml:space="preserve">. This Agreement may not be amended or modified unless in writing by all of the parties hereto, and no condition herein (express or implied) may be waived unless waived in writing by each party whom the condition is meant to benefit.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Definitions</w:t>
      </w:r>
      <w:r>
        <w:rPr>
          <w:rFonts w:ascii="Times New Roman" w:hAnsi="Times New Roman"/>
          <w:sz w:val="20"/>
        </w:rPr>
        <w:t xml:space="preserve">. The terms which follow, when used in this Agreement, shall have the meanings indicated. </w:t>
      </w:r>
    </w:p>
    <w:p>
      <w:pPr>
        <w:pStyle w:val="TextBody"/>
        <w:bidi w:val="0"/>
        <w:spacing w:before="240" w:after="0"/>
        <w:jc w:val="left"/>
        <w:rPr/>
      </w:pPr>
      <w:r>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have the meaning specified in Rule 501(b) of Regulation D.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The City of New York. </w:t>
      </w:r>
    </w:p>
    <w:p>
      <w:pPr>
        <w:pStyle w:val="TextBody"/>
        <w:bidi w:val="0"/>
        <w:spacing w:before="240" w:after="0"/>
        <w:jc w:val="left"/>
        <w:rPr/>
      </w:pPr>
      <w:r>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Company Act</w:t>
      </w:r>
      <w:r>
        <w:rPr>
          <w:rFonts w:ascii="Times New Roman" w:hAnsi="Times New Roman"/>
          <w:sz w:val="20"/>
        </w:rPr>
        <w:t xml:space="preserve">” shall mean the Investment Company Act of 1940, as amended, and the rules and regulations of the Commission promulgated thereunder. </w:t>
      </w:r>
    </w:p>
    <w:p>
      <w:pPr>
        <w:pStyle w:val="TextBody"/>
        <w:bidi w:val="0"/>
        <w:spacing w:before="240" w:after="0"/>
        <w:jc w:val="left"/>
        <w:rPr/>
      </w:pPr>
      <w:r>
        <w:rPr/>
        <w:t>“</w:t>
      </w:r>
      <w:r>
        <w:rPr>
          <w:rFonts w:ascii="Times New Roman" w:hAnsi="Times New Roman"/>
          <w:sz w:val="20"/>
          <w:u w:val="single"/>
        </w:rPr>
        <w:t>Regulation D</w:t>
      </w:r>
      <w:r>
        <w:rPr>
          <w:rFonts w:ascii="Times New Roman" w:hAnsi="Times New Roman"/>
          <w:sz w:val="20"/>
        </w:rPr>
        <w:t xml:space="preserve">” shall mean Regulation D under the Act. </w:t>
      </w:r>
    </w:p>
    <w:p>
      <w:pPr>
        <w:pStyle w:val="TextBody"/>
        <w:bidi w:val="0"/>
        <w:spacing w:before="240" w:after="0"/>
        <w:jc w:val="left"/>
        <w:rPr/>
      </w:pPr>
      <w:r>
        <w:rPr/>
        <w:t>“</w:t>
      </w:r>
      <w:r>
        <w:rPr>
          <w:rFonts w:ascii="Times New Roman" w:hAnsi="Times New Roman"/>
          <w:sz w:val="20"/>
          <w:u w:val="single"/>
        </w:rPr>
        <w:t>Regulation S</w:t>
      </w:r>
      <w:r>
        <w:rPr>
          <w:rFonts w:ascii="Times New Roman" w:hAnsi="Times New Roman"/>
          <w:sz w:val="20"/>
        </w:rPr>
        <w:t xml:space="preserve">” shall mean Regulation S under the Act.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shall mean the Trust Indenture Act of 1939,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Limitations Applicable to the Issuer and Guarantors organized under the laws of France (each a “</w:t>
      </w:r>
      <w:r>
        <w:rPr>
          <w:rFonts w:ascii="Times New Roman" w:hAnsi="Times New Roman"/>
          <w:sz w:val="20"/>
          <w:u w:val="single"/>
        </w:rPr>
        <w:t>French Company</w:t>
      </w:r>
      <w:r>
        <w:rPr>
          <w:rFonts w:ascii="Times New Roman" w:hAnsi="Times New Roman"/>
          <w:sz w:val="20"/>
        </w:rPr>
        <w:t>”) and under the laws of England and Wales (each an “</w:t>
      </w:r>
      <w:r>
        <w:rPr>
          <w:rFonts w:ascii="Times New Roman" w:hAnsi="Times New Roman"/>
          <w:sz w:val="20"/>
          <w:u w:val="single"/>
        </w:rPr>
        <w:t>English Company</w:t>
      </w:r>
      <w:r>
        <w:rPr>
          <w:rFonts w:ascii="Times New Roman" w:hAnsi="Times New Roman"/>
          <w:sz w:val="20"/>
        </w:rPr>
        <w:t>”). Notwithstanding anything to the contrary in this Agreement, (i) the representations, warranties and covenants made by any French Company or English Company in this Agreement shall be made for its own account and be strictly limited to matters related to such French Company or such English Company and its subsidiaries in connection, to the extent applicable, with the Guarantees granted by such French Company or such English Company, (ii) no French Company is acting jointly and severally with the other Guarantors or the Issuer and no French Company shall be considered as “</w:t>
      </w:r>
      <w:r>
        <w:rPr>
          <w:rFonts w:ascii="Times New Roman" w:hAnsi="Times New Roman"/>
          <w:i/>
          <w:sz w:val="20"/>
        </w:rPr>
        <w:t>co-débiteurs solidaires</w:t>
      </w:r>
      <w:r>
        <w:rPr>
          <w:rFonts w:ascii="Times New Roman" w:hAnsi="Times New Roman"/>
          <w:sz w:val="20"/>
        </w:rPr>
        <w:t>” as to any obligation under this Agreement, (iii) any expenses or indemnities to be paid by any French Company under this Agreement shall be limited to the expenses or indemnities incidental to the performance of its obligations under this Agreement, (iv) any certificate to be given by a French Company under Section 6(o) shall be strictly limited to matters related to it and its subsidiaries and (v) any obligations, representations or liabilities incurred or assumed under this Agreement by any French Company shall not include any obligations, representations or liabilities which if incurred would constitute a violation to its corporate benefit or interest (“</w:t>
      </w:r>
      <w:r>
        <w:rPr>
          <w:rFonts w:ascii="Times New Roman" w:hAnsi="Times New Roman"/>
          <w:i/>
          <w:sz w:val="20"/>
        </w:rPr>
        <w:t>intérêt social</w:t>
      </w:r>
      <w:r>
        <w:rPr>
          <w:rFonts w:ascii="Times New Roman" w:hAnsi="Times New Roman"/>
          <w:sz w:val="20"/>
        </w:rPr>
        <w:t xml:space="preserve">”) in particular within the meaning of Articles L.241-3, L. 242-6, L. 243-1 or L.244-1 of the French </w:t>
      </w:r>
      <w:r>
        <w:rPr>
          <w:rFonts w:ascii="Times New Roman" w:hAnsi="Times New Roman"/>
          <w:i/>
          <w:sz w:val="20"/>
        </w:rPr>
        <w:t>Code de commerce</w:t>
      </w:r>
      <w:r>
        <w:rPr>
          <w:rFonts w:ascii="Times New Roman" w:hAnsi="Times New Roman"/>
          <w:sz w:val="20"/>
        </w:rPr>
        <w:t xml:space="preserve">, and/or would constitute prohibited financial assistance within the meaning of Article L.225-216 of the French </w:t>
      </w:r>
      <w:r>
        <w:rPr>
          <w:rFonts w:ascii="Times New Roman" w:hAnsi="Times New Roman"/>
          <w:i/>
          <w:sz w:val="20"/>
        </w:rPr>
        <w:t>Code de commerce</w:t>
      </w:r>
      <w:r>
        <w:rPr>
          <w:rFonts w:ascii="Times New Roman" w:hAnsi="Times New Roman"/>
          <w:sz w:val="20"/>
        </w:rPr>
        <w:t xml:space="preserve"> and/or would constitute a misuse of corporate assets (</w:t>
      </w:r>
      <w:r>
        <w:rPr>
          <w:rFonts w:ascii="Times New Roman" w:hAnsi="Times New Roman"/>
          <w:i/>
          <w:sz w:val="20"/>
        </w:rPr>
        <w:t>abus de biens sociaux</w:t>
      </w:r>
      <w:r>
        <w:rPr>
          <w:rFonts w:ascii="Times New Roman" w:hAnsi="Times New Roman"/>
          <w:sz w:val="20"/>
        </w:rPr>
        <w:t xml:space="preserve">) within the meaning of Articles L. 241-3, L.242-6, L.243-1 or L. 244-1 of the French </w:t>
      </w:r>
      <w:r>
        <w:rPr>
          <w:rFonts w:ascii="Times New Roman" w:hAnsi="Times New Roman"/>
          <w:i/>
          <w:sz w:val="20"/>
        </w:rPr>
        <w:t>Code de commerce</w:t>
      </w:r>
      <w:r>
        <w:rPr>
          <w:rFonts w:ascii="Times New Roman" w:hAnsi="Times New Roman"/>
          <w:sz w:val="20"/>
        </w:rPr>
        <w:t xml:space="preserve"> or any other law or regulations having the same effect, as interpreted by French courts. </w:t>
      </w:r>
    </w:p>
    <w:p>
      <w:pPr>
        <w:pStyle w:val="TextBody"/>
        <w:bidi w:val="0"/>
        <w:spacing w:before="240" w:after="0"/>
        <w:jc w:val="left"/>
        <w:rPr>
          <w:rFonts w:ascii="Times New Roman" w:hAnsi="Times New Roman"/>
          <w:sz w:val="20"/>
        </w:rPr>
      </w:pPr>
      <w:r>
        <w:rPr>
          <w:rFonts w:ascii="Times New Roman" w:hAnsi="Times New Roman"/>
          <w:sz w:val="20"/>
        </w:rPr>
        <w:t>(b) Limitations Applicable to the Guarantors organized under the laws of Spain (each a “</w:t>
      </w:r>
      <w:r>
        <w:rPr>
          <w:rFonts w:ascii="Times New Roman" w:hAnsi="Times New Roman"/>
          <w:sz w:val="20"/>
          <w:u w:val="single"/>
        </w:rPr>
        <w:t>Spanish Company</w:t>
      </w:r>
      <w:r>
        <w:rPr>
          <w:rFonts w:ascii="Times New Roman" w:hAnsi="Times New Roman"/>
          <w:sz w:val="20"/>
        </w:rPr>
        <w:t xml:space="preserve">”). Notwithstanding anything to the contrary in this Agreement, any obligations, representations or liabilities incurred or assumed under this Agreement by any Spanish Company shall be deemed to have been incurred or assumed only to the extent that such obligations, representations or liabilities would not, if incurred or assumed, contravene the Spanish law rules on financial assistance </w:t>
      </w:r>
      <w:r>
        <w:rPr>
          <w:rFonts w:ascii="Times New Roman" w:hAnsi="Times New Roman"/>
          <w:i/>
          <w:sz w:val="20"/>
        </w:rPr>
        <w:t xml:space="preserve">ex </w:t>
      </w:r>
      <w:r>
        <w:rPr>
          <w:rFonts w:ascii="Times New Roman" w:hAnsi="Times New Roman"/>
          <w:sz w:val="20"/>
        </w:rPr>
        <w:t>articles 143.2 or 150, as applicable, of the Spanish Capital Companies Act (</w:t>
      </w:r>
      <w:r>
        <w:rPr>
          <w:rFonts w:ascii="Times New Roman" w:hAnsi="Times New Roman"/>
          <w:i/>
          <w:sz w:val="20"/>
        </w:rPr>
        <w:t>Real Decreto Legislativo 1/2010, de 2 de julio, por el que se aprueba el texto refundido de la Ley de Sociedades de Capital</w:t>
      </w:r>
      <w:r>
        <w:rPr>
          <w:rFonts w:ascii="Times New Roman" w:hAnsi="Times New Roman"/>
          <w:sz w:val="20"/>
        </w:rPr>
        <w:t>) (“</w:t>
      </w:r>
      <w:r>
        <w:rPr>
          <w:rFonts w:ascii="Times New Roman" w:hAnsi="Times New Roman"/>
          <w:sz w:val="20"/>
          <w:u w:val="single"/>
        </w:rPr>
        <w:t>LSC</w:t>
      </w:r>
      <w:r>
        <w:rPr>
          <w:rFonts w:ascii="Times New Roman" w:hAnsi="Times New Roman"/>
          <w:sz w:val="20"/>
        </w:rPr>
        <w:t>”), and the Spanish law limitations on the issuance or guaranteeing of notes by limited liability companies (</w:t>
      </w:r>
      <w:r>
        <w:rPr>
          <w:rFonts w:ascii="Times New Roman" w:hAnsi="Times New Roman"/>
          <w:i/>
          <w:sz w:val="20"/>
        </w:rPr>
        <w:t>sociedades de responsabilidad limitada</w:t>
      </w:r>
      <w:r>
        <w:rPr>
          <w:rFonts w:ascii="Times New Roman" w:hAnsi="Times New Roman"/>
          <w:sz w:val="20"/>
        </w:rPr>
        <w:t xml:space="preserve">) </w:t>
      </w:r>
      <w:r>
        <w:rPr>
          <w:rFonts w:ascii="Times New Roman" w:hAnsi="Times New Roman"/>
          <w:i/>
          <w:sz w:val="20"/>
        </w:rPr>
        <w:t xml:space="preserve">ex </w:t>
      </w:r>
      <w:r>
        <w:rPr>
          <w:rFonts w:ascii="Times New Roman" w:hAnsi="Times New Roman"/>
          <w:sz w:val="20"/>
        </w:rPr>
        <w:t xml:space="preserve">article 401 LSC.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Limitations Applicable to the Guarantors incorporated and organized under the laws of Switzerland. Section 10.06(a)(4) of the Indenture shall apply to this Agreement mutatis mutandis.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Consent to Jurisdiction</w:t>
      </w:r>
      <w:r>
        <w:rPr>
          <w:rFonts w:ascii="Times New Roman" w:hAnsi="Times New Roman"/>
          <w:sz w:val="20"/>
        </w:rPr>
        <w:t>. Any legal suit, action or proceeding arising out of or based upon this Agreement or the transactions contemplated hereby (“</w:t>
      </w:r>
      <w:r>
        <w:rPr>
          <w:rFonts w:ascii="Times New Roman" w:hAnsi="Times New Roman"/>
          <w:sz w:val="20"/>
          <w:u w:val="single"/>
        </w:rPr>
        <w:t>Related Proceedings</w:t>
      </w:r>
      <w:r>
        <w:rPr>
          <w:rFonts w:ascii="Times New Roman" w:hAnsi="Times New Roman"/>
          <w:sz w:val="20"/>
        </w:rPr>
        <w:t>”) may be instituted in the federal courts of the United States of America or the courts of the State of New York in each case sitting in the borough of Manhattan, the city of New York (collectively, the “</w:t>
      </w:r>
      <w:r>
        <w:rPr>
          <w:rFonts w:ascii="Times New Roman" w:hAnsi="Times New Roman"/>
          <w:sz w:val="20"/>
          <w:u w:val="single"/>
        </w:rPr>
        <w:t>Specified Courts</w:t>
      </w:r>
      <w:r>
        <w:rPr>
          <w:rFonts w:ascii="Times New Roman" w:hAnsi="Times New Roman"/>
          <w:sz w:val="20"/>
        </w:rPr>
        <w:t>”), and each party irrevocably submits to the exclusive jurisdiction (except for suits, actions or proceedings instituted in regard to the enforcement of a judgment of any Specified Court in a Related Proceeding (a “</w:t>
      </w:r>
      <w:r>
        <w:rPr>
          <w:rFonts w:ascii="Times New Roman" w:hAnsi="Times New Roman"/>
          <w:sz w:val="20"/>
          <w:u w:val="single"/>
        </w:rPr>
        <w:t>Related Judgment</w:t>
      </w:r>
      <w:r>
        <w:rPr>
          <w:rFonts w:ascii="Times New Roman" w:hAnsi="Times New Roman"/>
          <w:sz w:val="20"/>
        </w:rPr>
        <w:t xml:space="preserve">”),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Each Company not located in the United States shall, prior to the Closing Date, irrevocably appoint CT Corporation System as its agent to receive service of process or other legal summons for purposes of any Related Proceeding that may be instituted in any Specified Court.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Waiver of Immunity</w:t>
      </w:r>
      <w:r>
        <w:rPr>
          <w:rFonts w:ascii="Times New Roman" w:hAnsi="Times New Roman"/>
          <w:sz w:val="20"/>
        </w:rPr>
        <w:t xml:space="preserve">.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into any currency other than Euros, the parties hereto agree, to the fullest extent that they may effectively do so, that the rate of exchange used shall be the rate at which in accordance with normal banking procedures the Initial Purchasers could purchase Euros with such other currency in the City of New York on the business day preceding that on which final judgment is given. The obligations of each Company in respect of any sum due from it to any Initial Purchaser shall, notwithstanding any judgment in any currency other than Euros, not be discharged until the first business day, following receipt by such Initial Purchaser of any sum adjudged to be so due in such other currency, on which (and only to the extent that) such Initial Purchaser may in accordance with normal banking procedures purchase Euros with such other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Acknowledgment Related to Co-Manufacturer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Solely for the purposes of the requirements of Article 9(8) of the MIFID Product Governance rules under EU Delegated Directive 2017/593 (the “EU MiFID Product Governance Rules”) regarding the mutual responsibilities of manufacturers under the EU MiFID Product Governance Rules, each of Deutsche Bank Aktiengesellschaft and Citigroup Global Markets Europe AG (each an “</w:t>
      </w:r>
      <w:r>
        <w:rPr>
          <w:rFonts w:ascii="Times New Roman" w:hAnsi="Times New Roman"/>
          <w:sz w:val="20"/>
          <w:u w:val="single"/>
        </w:rPr>
        <w:t>EU Manufacturer</w:t>
      </w:r>
      <w:r>
        <w:rPr>
          <w:rFonts w:ascii="Times New Roman" w:hAnsi="Times New Roman"/>
          <w:sz w:val="20"/>
        </w:rPr>
        <w:t>” and together, the “</w:t>
      </w:r>
      <w:r>
        <w:rPr>
          <w:rFonts w:ascii="Times New Roman" w:hAnsi="Times New Roman"/>
          <w:sz w:val="20"/>
          <w:u w:val="single"/>
        </w:rPr>
        <w:t>EU Manufacturers</w:t>
      </w:r>
      <w:r>
        <w:rPr>
          <w:rFonts w:ascii="Times New Roman" w:hAnsi="Times New Roman"/>
          <w:sz w:val="20"/>
        </w:rPr>
        <w:t xml:space="preserve">”), acknowledges to each other EU Manufacturer that it understands the responsibilities conferred upon it under the EU MiFID Product Governance Rules relating to each of the product approval process and the target market as applying to the Notes and the related information set out in the Preliminary Memorandum, Pricing Disclosure Package and the Final Memorandum. The other Initial Purchasers, the Issuer and the Guarantors note the application of the Product Governance Rules and acknowledge the target market identified as applying to the Notes by the EU Manufacturers and the related information set out in the Preliminary Memorandum,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(b) Solely for the purposes of the requirements of 3.2.7R of the FCA Handbook Product Intervention and Product Governance Sourcebook (the “</w:t>
      </w:r>
      <w:r>
        <w:rPr>
          <w:rFonts w:ascii="Times New Roman" w:hAnsi="Times New Roman"/>
          <w:sz w:val="20"/>
          <w:u w:val="single"/>
        </w:rPr>
        <w:t>UK MiFIR Product Governance Rules</w:t>
      </w:r>
      <w:r>
        <w:rPr>
          <w:rFonts w:ascii="Times New Roman" w:hAnsi="Times New Roman"/>
          <w:sz w:val="20"/>
        </w:rPr>
        <w:t>”) regarding the mutual responsibilities of manufacturers under the UK MiFIR Product Governance Rules, BNP PARIBAS (the “</w:t>
      </w:r>
      <w:r>
        <w:rPr>
          <w:rFonts w:ascii="Times New Roman" w:hAnsi="Times New Roman"/>
          <w:sz w:val="20"/>
          <w:u w:val="single"/>
        </w:rPr>
        <w:t>UK Manufacturer</w:t>
      </w:r>
      <w:r>
        <w:rPr>
          <w:rFonts w:ascii="Times New Roman" w:hAnsi="Times New Roman"/>
          <w:sz w:val="20"/>
        </w:rPr>
        <w:t xml:space="preserve">”) acknowledges that it understands the responsibilities conferred upon it under the UK MiFIR Product Governance Rules relating to each of the product approval process, the target market and the proposed distribution channels as applying to the Notes and the related information set out in the Preliminary Memorandum, Pricing Disclosure Package and the Final Memorandum. The other Initial Purchasers, the Issuer and the Guarantors note the application of the UK MiFIR Product Governance Rules and acknowledge the target market and distribution channels identified as applying to the Notes by the UK Manufacturer and the related information set out in the Preliminary Memorandum,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QFC Stay Rules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USA PATRIOT Act</w:t>
      </w:r>
      <w:r>
        <w:rPr>
          <w:rFonts w:ascii="Times New Roman" w:hAnsi="Times New Roman"/>
          <w:sz w:val="20"/>
        </w:rPr>
        <w:t xml:space="preserve">. In accordance with the requirements of the USA PATRIOT Act (Title III of Pub. L. 107-56 (signed into law on October 26, 2001)), the Initial Purchasers are required to obtain, verify and record information that identifies their respective clients, including the Companies, which information may include the name and addresses of their respective clients, as well as other information that will allow the Initial Purchasers to properly identify their respective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Agreement and your acceptance shall represent a binding agreement among the Companies and the several Initial Purchasers.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66"/>
        <w:gridCol w:w="60"/>
        <w:gridCol w:w="612"/>
        <w:gridCol w:w="60"/>
        <w:gridCol w:w="3084"/>
      </w:tblGrid>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266" w:type="dxa"/>
            <w:tcBorders/>
            <w:vAlign w:val="center"/>
          </w:tcPr>
          <w:p>
            <w:pPr>
              <w:pStyle w:val="TableContents"/>
              <w:bidi w:val="0"/>
              <w:spacing w:before="0" w:after="283"/>
              <w:jc w:val="left"/>
              <w:rPr>
                <w:sz w:val="4"/>
                <w:szCs w:val="4"/>
              </w:rPr>
            </w:pPr>
            <w:r>
              <w:rPr>
                <w:sz w:val="4"/>
                <w:szCs w:val="4"/>
              </w:rPr>
            </w:r>
          </w:p>
        </w:tc>
        <w:tc>
          <w:tcPr>
            <w:tcW w:w="3816" w:type="dxa"/>
            <w:gridSpan w:val="4"/>
            <w:tcBorders/>
            <w:vAlign w:val="center"/>
          </w:tcPr>
          <w:p>
            <w:pPr>
              <w:pStyle w:val="TableContents"/>
              <w:bidi w:val="0"/>
              <w:spacing w:before="0" w:after="283"/>
              <w:jc w:val="left"/>
              <w:rPr>
                <w:sz w:val="4"/>
                <w:szCs w:val="4"/>
              </w:rPr>
            </w:pPr>
            <w:r>
              <w:rPr>
                <w:sz w:val="4"/>
                <w:szCs w:val="4"/>
              </w:rPr>
            </w:r>
          </w:p>
        </w:tc>
      </w:tr>
      <w:tr>
        <w:trPr/>
        <w:tc>
          <w:tcPr>
            <w:tcW w:w="266"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56" w:type="dxa"/>
            <w:gridSpan w:val="3"/>
            <w:tcBorders/>
          </w:tcPr>
          <w:p>
            <w:pPr>
              <w:pStyle w:val="TableContents"/>
              <w:bidi w:val="0"/>
              <w:spacing w:before="0" w:after="283"/>
              <w:jc w:val="left"/>
              <w:rPr/>
            </w:pPr>
            <w:r>
              <w:rPr/>
              <w:t>CROWN EUROPEAN HOLDINGS S.A.</w:t>
            </w:r>
          </w:p>
        </w:tc>
      </w:tr>
      <w:tr>
        <w:trPr>
          <w:trHeight w:val="240" w:hRule="atLeast"/>
        </w:trPr>
        <w:tc>
          <w:tcPr>
            <w:tcW w:w="266"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31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84" w:type="dxa"/>
            <w:tcBorders>
              <w:bottom w:val="single" w:sz="2" w:space="0" w:color="000000"/>
            </w:tcBorders>
            <w:tcMar>
              <w:bottom w:w="28" w:type="dxa"/>
            </w:tcMar>
            <w:vAlign w:val="bottom"/>
          </w:tcPr>
          <w:p>
            <w:pPr>
              <w:pStyle w:val="TableContents"/>
              <w:bidi w:val="0"/>
              <w:spacing w:before="0" w:after="283"/>
              <w:jc w:val="left"/>
              <w:rPr/>
            </w:pPr>
            <w:r>
              <w:rPr/>
              <w:t>/s/ Kevin C. Clothier</w:t>
            </w:r>
          </w:p>
        </w:tc>
      </w:tr>
      <w:tr>
        <w:trPr/>
        <w:tc>
          <w:tcPr>
            <w:tcW w:w="2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left"/>
              <w:rPr/>
            </w:pPr>
            <w:r>
              <w:rPr/>
              <w:t>Kevin C. Clothier</w:t>
            </w:r>
          </w:p>
        </w:tc>
      </w:tr>
      <w:tr>
        <w:trPr/>
        <w:tc>
          <w:tcPr>
            <w:tcW w:w="2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left"/>
              <w:rPr/>
            </w:pPr>
            <w:r>
              <w:rPr/>
              <w:t>Administrateur/DG Délégué</w:t>
            </w:r>
          </w:p>
        </w:tc>
      </w:tr>
      <w:tr>
        <w:trPr>
          <w:trHeight w:val="240" w:hRule="atLeast"/>
        </w:trPr>
        <w:tc>
          <w:tcPr>
            <w:tcW w:w="266" w:type="dxa"/>
            <w:tcBorders/>
            <w:vAlign w:val="center"/>
          </w:tcPr>
          <w:p>
            <w:pPr>
              <w:pStyle w:val="TableContents"/>
              <w:bidi w:val="0"/>
              <w:spacing w:before="0" w:after="283"/>
              <w:jc w:val="left"/>
              <w:rPr>
                <w:sz w:val="4"/>
                <w:szCs w:val="4"/>
              </w:rPr>
            </w:pPr>
            <w:r>
              <w:rPr>
                <w:sz w:val="4"/>
                <w:szCs w:val="4"/>
              </w:rPr>
            </w:r>
          </w:p>
        </w:tc>
        <w:tc>
          <w:tcPr>
            <w:tcW w:w="3816" w:type="dxa"/>
            <w:gridSpan w:val="4"/>
            <w:tcBorders/>
            <w:vAlign w:val="center"/>
          </w:tcPr>
          <w:p>
            <w:pPr>
              <w:pStyle w:val="TableContents"/>
              <w:bidi w:val="0"/>
              <w:spacing w:before="0" w:after="283"/>
              <w:jc w:val="left"/>
              <w:rPr>
                <w:sz w:val="4"/>
                <w:szCs w:val="4"/>
              </w:rPr>
            </w:pPr>
            <w:r>
              <w:rPr>
                <w:sz w:val="4"/>
                <w:szCs w:val="4"/>
              </w:rPr>
            </w:r>
          </w:p>
        </w:tc>
      </w:tr>
      <w:tr>
        <w:trPr/>
        <w:tc>
          <w:tcPr>
            <w:tcW w:w="2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6" w:type="dxa"/>
            <w:gridSpan w:val="3"/>
            <w:tcBorders/>
          </w:tcPr>
          <w:p>
            <w:pPr>
              <w:pStyle w:val="TableContents"/>
              <w:bidi w:val="0"/>
              <w:spacing w:before="0" w:after="283"/>
              <w:jc w:val="left"/>
              <w:rPr/>
            </w:pPr>
            <w:r>
              <w:rPr/>
              <w:t>CROWN HOLDINGS, INC.</w:t>
            </w:r>
          </w:p>
        </w:tc>
      </w:tr>
      <w:tr>
        <w:trPr>
          <w:trHeight w:val="240" w:hRule="atLeast"/>
        </w:trPr>
        <w:tc>
          <w:tcPr>
            <w:tcW w:w="266" w:type="dxa"/>
            <w:tcBorders/>
            <w:vAlign w:val="center"/>
          </w:tcPr>
          <w:p>
            <w:pPr>
              <w:pStyle w:val="TableContents"/>
              <w:bidi w:val="0"/>
              <w:spacing w:before="0" w:after="283"/>
              <w:jc w:val="left"/>
              <w:rPr>
                <w:sz w:val="4"/>
                <w:szCs w:val="4"/>
              </w:rPr>
            </w:pPr>
            <w:r>
              <w:rPr>
                <w:sz w:val="4"/>
                <w:szCs w:val="4"/>
              </w:rPr>
            </w:r>
          </w:p>
        </w:tc>
        <w:tc>
          <w:tcPr>
            <w:tcW w:w="672" w:type="dxa"/>
            <w:gridSpan w:val="2"/>
            <w:tcBorders/>
            <w:vAlign w:val="center"/>
          </w:tcPr>
          <w:p>
            <w:pPr>
              <w:pStyle w:val="TableContents"/>
              <w:bidi w:val="0"/>
              <w:spacing w:before="0" w:after="283"/>
              <w:jc w:val="left"/>
              <w:rPr>
                <w:sz w:val="4"/>
                <w:szCs w:val="4"/>
              </w:rPr>
            </w:pPr>
            <w:r>
              <w:rPr>
                <w:sz w:val="4"/>
                <w:szCs w:val="4"/>
              </w:rPr>
            </w:r>
          </w:p>
        </w:tc>
        <w:tc>
          <w:tcPr>
            <w:tcW w:w="31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84" w:type="dxa"/>
            <w:tcBorders>
              <w:bottom w:val="single" w:sz="2" w:space="0" w:color="000000"/>
            </w:tcBorders>
            <w:tcMar>
              <w:bottom w:w="28" w:type="dxa"/>
            </w:tcMar>
            <w:vAlign w:val="bottom"/>
          </w:tcPr>
          <w:p>
            <w:pPr>
              <w:pStyle w:val="TableContents"/>
              <w:bidi w:val="0"/>
              <w:spacing w:before="0" w:after="283"/>
              <w:jc w:val="left"/>
              <w:rPr/>
            </w:pPr>
            <w:r>
              <w:rPr/>
              <w:t>/s/ Kevin C. Clothier</w:t>
            </w:r>
          </w:p>
        </w:tc>
      </w:tr>
      <w:tr>
        <w:trPr/>
        <w:tc>
          <w:tcPr>
            <w:tcW w:w="2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left"/>
              <w:rPr/>
            </w:pPr>
            <w:r>
              <w:rPr/>
              <w:t>Kevin C. Clothier</w:t>
            </w:r>
          </w:p>
        </w:tc>
      </w:tr>
      <w:tr>
        <w:trPr/>
        <w:tc>
          <w:tcPr>
            <w:tcW w:w="2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left"/>
              <w:rPr/>
            </w:pPr>
            <w:r>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DEUTSCHLAND HOLDINGS GMBH</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vAlign w:val="bottom"/>
          </w:tcPr>
          <w:p>
            <w:pPr>
              <w:pStyle w:val="TableContents"/>
              <w:bidi w:val="0"/>
              <w:spacing w:before="0" w:after="283"/>
              <w:jc w:val="left"/>
              <w:rPr/>
            </w:pPr>
            <w:r>
              <w:rPr/>
              <w:t>/s/ Jochen Linzenich</w:t>
            </w:r>
          </w:p>
        </w:tc>
      </w:tr>
      <w:tr>
        <w:trPr/>
        <w:tc>
          <w:tcPr>
            <w:tcW w:w="69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Jochen Linzenich</w:t>
            </w:r>
          </w:p>
        </w:tc>
      </w:tr>
      <w:tr>
        <w:trPr/>
        <w:tc>
          <w:tcPr>
            <w:tcW w:w="69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Managing Director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vAlign w:val="bottom"/>
          </w:tcPr>
          <w:p>
            <w:pPr>
              <w:pStyle w:val="TableContents"/>
              <w:bidi w:val="0"/>
              <w:spacing w:before="0" w:after="283"/>
              <w:jc w:val="left"/>
              <w:rPr/>
            </w:pPr>
            <w:r>
              <w:rPr/>
              <w:t>/s/ Sergi Boyko</w:t>
            </w:r>
          </w:p>
        </w:tc>
      </w:tr>
      <w:tr>
        <w:trPr/>
        <w:tc>
          <w:tcPr>
            <w:tcW w:w="69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Sergi Boyko</w:t>
            </w:r>
          </w:p>
        </w:tc>
      </w:tr>
      <w:tr>
        <w:trPr/>
        <w:tc>
          <w:tcPr>
            <w:tcW w:w="69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57"/>
        <w:gridCol w:w="69"/>
        <w:gridCol w:w="3556"/>
      </w:tblGrid>
      <w:tr>
        <w:trPr/>
        <w:tc>
          <w:tcPr>
            <w:tcW w:w="457"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GUARANTORS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 USA, INC.</w:t>
            </w:r>
          </w:p>
        </w:tc>
      </w:tr>
      <w:tr>
        <w:trPr/>
        <w:tc>
          <w:tcPr>
            <w:tcW w:w="4082" w:type="dxa"/>
            <w:gridSpan w:val="3"/>
            <w:tcBorders/>
          </w:tcPr>
          <w:p>
            <w:pPr>
              <w:pStyle w:val="TableContents"/>
              <w:bidi w:val="0"/>
              <w:spacing w:before="0" w:after="283"/>
              <w:jc w:val="left"/>
              <w:rPr/>
            </w:pPr>
            <w:r>
              <w:rPr/>
              <w:t>CROWN BEVERAGE PACKAGING PUERTO RICO, INC.</w:t>
            </w:r>
          </w:p>
        </w:tc>
      </w:tr>
      <w:tr>
        <w:trPr/>
        <w:tc>
          <w:tcPr>
            <w:tcW w:w="4082" w:type="dxa"/>
            <w:gridSpan w:val="3"/>
            <w:tcBorders/>
          </w:tcPr>
          <w:p>
            <w:pPr>
              <w:pStyle w:val="TableContents"/>
              <w:bidi w:val="0"/>
              <w:spacing w:before="0" w:after="283"/>
              <w:jc w:val="left"/>
              <w:rPr/>
            </w:pPr>
            <w:r>
              <w:rPr/>
              <w:t>CROWN AMERICAS LLC</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vAlign w:val="bottom"/>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556"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457"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tcPr>
          <w:p>
            <w:pPr>
              <w:pStyle w:val="TableContents"/>
              <w:bidi w:val="0"/>
              <w:spacing w:before="0" w:after="283"/>
              <w:jc w:val="left"/>
              <w:rPr/>
            </w:pPr>
            <w:r>
              <w:rPr/>
              <w:t>Name: David A. Beaver</w:t>
            </w:r>
          </w:p>
        </w:tc>
      </w:tr>
      <w:tr>
        <w:trPr/>
        <w:tc>
          <w:tcPr>
            <w:tcW w:w="45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vAlign w:val="bottom"/>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CONSULTANTS, INC.</w:t>
            </w:r>
          </w:p>
        </w:tc>
      </w:tr>
      <w:tr>
        <w:trPr/>
        <w:tc>
          <w:tcPr>
            <w:tcW w:w="4082" w:type="dxa"/>
            <w:gridSpan w:val="3"/>
            <w:tcBorders/>
          </w:tcPr>
          <w:p>
            <w:pPr>
              <w:pStyle w:val="TableContents"/>
              <w:bidi w:val="0"/>
              <w:spacing w:before="0" w:after="283"/>
              <w:jc w:val="left"/>
              <w:rPr/>
            </w:pPr>
            <w:r>
              <w:rPr/>
              <w:t>CROWN FINANCIAL CORPORATION</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vAlign w:val="bottom"/>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556" w:type="dxa"/>
            <w:tcBorders>
              <w:bottom w:val="single" w:sz="2" w:space="0" w:color="000000"/>
            </w:tcBorders>
            <w:tcMar>
              <w:bottom w:w="28" w:type="dxa"/>
            </w:tcMar>
            <w:vAlign w:val="bottom"/>
          </w:tcPr>
          <w:p>
            <w:pPr>
              <w:pStyle w:val="TableContents"/>
              <w:bidi w:val="0"/>
              <w:spacing w:before="0" w:after="283"/>
              <w:jc w:val="left"/>
              <w:rPr/>
            </w:pPr>
            <w:r>
              <w:rPr/>
              <w:t>/s/ Kevin C. Clothier</w:t>
            </w:r>
          </w:p>
        </w:tc>
      </w:tr>
      <w:tr>
        <w:trPr/>
        <w:tc>
          <w:tcPr>
            <w:tcW w:w="457"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tcPr>
          <w:p>
            <w:pPr>
              <w:pStyle w:val="TableContents"/>
              <w:bidi w:val="0"/>
              <w:spacing w:before="0" w:after="283"/>
              <w:jc w:val="left"/>
              <w:rPr/>
            </w:pPr>
            <w:r>
              <w:rPr/>
              <w:t>Name: Kevin C. Clothier</w:t>
            </w:r>
          </w:p>
        </w:tc>
      </w:tr>
      <w:tr>
        <w:trPr/>
        <w:tc>
          <w:tcPr>
            <w:tcW w:w="45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COMPANY (DE), LLC</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vAlign w:val="bottom"/>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556" w:type="dxa"/>
            <w:tcBorders>
              <w:bottom w:val="single" w:sz="2" w:space="0" w:color="000000"/>
            </w:tcBorders>
            <w:tcMar>
              <w:bottom w:w="28" w:type="dxa"/>
            </w:tcMar>
            <w:vAlign w:val="bottom"/>
          </w:tcPr>
          <w:p>
            <w:pPr>
              <w:pStyle w:val="TableContents"/>
              <w:bidi w:val="0"/>
              <w:spacing w:before="0" w:after="283"/>
              <w:jc w:val="left"/>
              <w:rPr/>
            </w:pPr>
            <w:r>
              <w:rPr/>
              <w:t>/s/ Kevin C. Clothier</w:t>
            </w:r>
          </w:p>
        </w:tc>
      </w:tr>
      <w:tr>
        <w:trPr/>
        <w:tc>
          <w:tcPr>
            <w:tcW w:w="457"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tcPr>
          <w:p>
            <w:pPr>
              <w:pStyle w:val="TableContents"/>
              <w:bidi w:val="0"/>
              <w:spacing w:before="0" w:after="283"/>
              <w:jc w:val="left"/>
              <w:rPr/>
            </w:pPr>
            <w:r>
              <w:rPr/>
              <w:t>Name: Kevin C. Clothier</w:t>
            </w:r>
          </w:p>
        </w:tc>
      </w:tr>
      <w:tr>
        <w:trPr/>
        <w:tc>
          <w:tcPr>
            <w:tcW w:w="45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56"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4"/>
        <w:gridCol w:w="60"/>
        <w:gridCol w:w="3718"/>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USA, INC.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David A. Beaver</w:t>
            </w:r>
          </w:p>
        </w:tc>
      </w:tr>
      <w:tr>
        <w:trPr/>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vAlign w:val="bottom"/>
          </w:tcPr>
          <w:p>
            <w:pPr>
              <w:pStyle w:val="TableContents"/>
              <w:bidi w:val="0"/>
              <w:spacing w:before="0" w:after="283"/>
              <w:jc w:val="left"/>
              <w:rPr/>
            </w:pPr>
            <w:r>
              <w:rPr/>
              <w:t>Title: 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US INC.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David A. Beaver</w:t>
            </w:r>
          </w:p>
        </w:tc>
      </w:tr>
      <w:tr>
        <w:trPr/>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vAlign w:val="bottom"/>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FOREIGN MANUFACTURERS FINANCE CORPORATION</w:t>
            </w:r>
          </w:p>
        </w:tc>
      </w:tr>
      <w:tr>
        <w:trPr/>
        <w:tc>
          <w:tcPr>
            <w:tcW w:w="4082" w:type="dxa"/>
            <w:gridSpan w:val="3"/>
            <w:tcBorders/>
          </w:tcPr>
          <w:p>
            <w:pPr>
              <w:pStyle w:val="TableContents"/>
              <w:bidi w:val="0"/>
              <w:spacing w:before="0" w:after="283"/>
              <w:jc w:val="left"/>
              <w:rPr/>
            </w:pPr>
            <w:r>
              <w:rPr/>
              <w:t>CROWN CORK &amp; SEAL COMPANY, INC.</w:t>
            </w:r>
          </w:p>
        </w:tc>
      </w:tr>
      <w:tr>
        <w:trPr/>
        <w:tc>
          <w:tcPr>
            <w:tcW w:w="4082" w:type="dxa"/>
            <w:gridSpan w:val="3"/>
            <w:tcBorders/>
          </w:tcPr>
          <w:p>
            <w:pPr>
              <w:pStyle w:val="TableContents"/>
              <w:bidi w:val="0"/>
              <w:spacing w:before="0" w:after="283"/>
              <w:jc w:val="left"/>
              <w:rPr/>
            </w:pPr>
            <w:r>
              <w:rPr/>
              <w:t>CROWN INTERNATIONAL HOLDINGS, LLC</w:t>
            </w:r>
          </w:p>
        </w:tc>
      </w:tr>
      <w:tr>
        <w:trPr/>
        <w:tc>
          <w:tcPr>
            <w:tcW w:w="4082" w:type="dxa"/>
            <w:gridSpan w:val="3"/>
            <w:tcBorders/>
          </w:tcPr>
          <w:p>
            <w:pPr>
              <w:pStyle w:val="TableContents"/>
              <w:bidi w:val="0"/>
              <w:spacing w:before="0" w:after="283"/>
              <w:jc w:val="left"/>
              <w:rPr/>
            </w:pPr>
            <w:r>
              <w:rPr/>
              <w:t>CROWN PACKAGING TECHNOLOGY, INC.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David A. Beaver</w:t>
            </w:r>
          </w:p>
        </w:tc>
      </w:tr>
      <w:tr>
        <w:trPr/>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vAlign w:val="bottom"/>
          </w:tcPr>
          <w:p>
            <w:pPr>
              <w:pStyle w:val="TableContents"/>
              <w:bidi w:val="0"/>
              <w:spacing w:before="0" w:after="283"/>
              <w:jc w:val="left"/>
              <w:rPr/>
            </w:pPr>
            <w:r>
              <w:rPr/>
              <w:t>Title: 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BEVERAGE PACKAGING, LLC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David A. Beaver</w:t>
            </w:r>
          </w:p>
        </w:tc>
      </w:tr>
      <w:tr>
        <w:trPr/>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vAlign w:val="bottom"/>
          </w:tcPr>
          <w:p>
            <w:pPr>
              <w:pStyle w:val="TableContents"/>
              <w:bidi w:val="0"/>
              <w:spacing w:before="0" w:after="283"/>
              <w:jc w:val="left"/>
              <w:rPr/>
            </w:pPr>
            <w:r>
              <w:rPr/>
              <w:t>Title: 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BEVERAGE HOLDINGS, INC.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David A. Beaver</w:t>
            </w:r>
          </w:p>
        </w:tc>
      </w:tr>
      <w:tr>
        <w:trPr/>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vAlign w:val="bottom"/>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LLC</w:t>
            </w:r>
          </w:p>
        </w:tc>
      </w:tr>
      <w:tr>
        <w:trPr/>
        <w:tc>
          <w:tcPr>
            <w:tcW w:w="4082" w:type="dxa"/>
            <w:gridSpan w:val="3"/>
            <w:tcBorders/>
          </w:tcPr>
          <w:p>
            <w:pPr>
              <w:pStyle w:val="TableContents"/>
              <w:bidi w:val="0"/>
              <w:spacing w:before="0" w:after="283"/>
              <w:jc w:val="left"/>
              <w:rPr/>
            </w:pPr>
            <w:r>
              <w:rPr/>
              <w:t>SIGNODE PICKLING HOLDING LLC</w:t>
            </w:r>
          </w:p>
        </w:tc>
      </w:tr>
      <w:tr>
        <w:trPr/>
        <w:tc>
          <w:tcPr>
            <w:tcW w:w="4082" w:type="dxa"/>
            <w:gridSpan w:val="3"/>
            <w:tcBorders/>
          </w:tcPr>
          <w:p>
            <w:pPr>
              <w:pStyle w:val="TableContents"/>
              <w:bidi w:val="0"/>
              <w:spacing w:before="0" w:after="283"/>
              <w:jc w:val="left"/>
              <w:rPr/>
            </w:pPr>
            <w:r>
              <w:rPr/>
              <w:t>SIGNODE US IP HOLDINGS LLC</w:t>
            </w:r>
          </w:p>
        </w:tc>
      </w:tr>
      <w:tr>
        <w:trPr/>
        <w:tc>
          <w:tcPr>
            <w:tcW w:w="4082" w:type="dxa"/>
            <w:gridSpan w:val="3"/>
            <w:tcBorders/>
          </w:tcPr>
          <w:p>
            <w:pPr>
              <w:pStyle w:val="TableContents"/>
              <w:bidi w:val="0"/>
              <w:spacing w:before="0" w:after="283"/>
              <w:jc w:val="left"/>
              <w:rPr/>
            </w:pPr>
            <w:r>
              <w:rPr/>
              <w:t>SIGNODE INDUSTRIAL GROUP HOLDINGS US INC.</w:t>
            </w:r>
          </w:p>
        </w:tc>
      </w:tr>
      <w:tr>
        <w:trPr/>
        <w:tc>
          <w:tcPr>
            <w:tcW w:w="4082" w:type="dxa"/>
            <w:gridSpan w:val="3"/>
            <w:tcBorders/>
          </w:tcPr>
          <w:p>
            <w:pPr>
              <w:pStyle w:val="TableContents"/>
              <w:bidi w:val="0"/>
              <w:spacing w:before="0" w:after="283"/>
              <w:jc w:val="left"/>
              <w:rPr/>
            </w:pPr>
            <w:r>
              <w:rPr/>
              <w:t>SIGNODE INTERNATIONAL IP HOLDINGS LLC</w:t>
            </w:r>
          </w:p>
        </w:tc>
      </w:tr>
      <w:tr>
        <w:trPr/>
        <w:tc>
          <w:tcPr>
            <w:tcW w:w="4082" w:type="dxa"/>
            <w:gridSpan w:val="3"/>
            <w:tcBorders/>
          </w:tcPr>
          <w:p>
            <w:pPr>
              <w:pStyle w:val="TableContents"/>
              <w:bidi w:val="0"/>
              <w:spacing w:before="0" w:after="283"/>
              <w:jc w:val="left"/>
              <w:rPr/>
            </w:pPr>
            <w:r>
              <w:rPr/>
              <w:t>SIMPLIMATIC ENGINEERING HOLDINGS LLC</w:t>
            </w:r>
          </w:p>
        </w:tc>
      </w:tr>
      <w:tr>
        <w:trPr/>
        <w:tc>
          <w:tcPr>
            <w:tcW w:w="4082" w:type="dxa"/>
            <w:gridSpan w:val="3"/>
            <w:tcBorders/>
          </w:tcPr>
          <w:p>
            <w:pPr>
              <w:pStyle w:val="TableContents"/>
              <w:bidi w:val="0"/>
              <w:spacing w:before="0" w:after="283"/>
              <w:jc w:val="left"/>
              <w:rPr/>
            </w:pPr>
            <w:r>
              <w:rPr/>
              <w:t>SIMPLIMATIC AUTOMATION LLC SEH REAL ESTATE HOLDINGS LLC</w:t>
            </w:r>
          </w:p>
        </w:tc>
      </w:tr>
      <w:tr>
        <w:trPr/>
        <w:tc>
          <w:tcPr>
            <w:tcW w:w="4082" w:type="dxa"/>
            <w:gridSpan w:val="3"/>
            <w:tcBorders/>
          </w:tcPr>
          <w:p>
            <w:pPr>
              <w:pStyle w:val="TableContents"/>
              <w:bidi w:val="0"/>
              <w:spacing w:before="0" w:after="283"/>
              <w:jc w:val="left"/>
              <w:rPr/>
            </w:pPr>
            <w:r>
              <w:rPr/>
              <w:t>SE INTERNATIONAL HOLDINGS LLC</w:t>
            </w:r>
          </w:p>
        </w:tc>
      </w:tr>
      <w:tr>
        <w:trPr/>
        <w:tc>
          <w:tcPr>
            <w:tcW w:w="4082" w:type="dxa"/>
            <w:gridSpan w:val="3"/>
            <w:tcBorders/>
          </w:tcPr>
          <w:p>
            <w:pPr>
              <w:pStyle w:val="TableContents"/>
              <w:bidi w:val="0"/>
              <w:spacing w:before="0" w:after="283"/>
              <w:jc w:val="left"/>
              <w:rPr/>
            </w:pPr>
            <w:r>
              <w:rPr/>
              <w:t>SE INTERNATIONAL HOLDINGS II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7"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David A. Beaver</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vAlign w:val="bottom"/>
          </w:tcPr>
          <w:p>
            <w:pPr>
              <w:pStyle w:val="TableContents"/>
              <w:bidi w:val="0"/>
              <w:spacing w:before="0" w:after="283"/>
              <w:jc w:val="left"/>
              <w:rPr/>
            </w:pPr>
            <w:r>
              <w:rPr/>
              <w:t>Title: Vice President &amp;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3079939 NOVA SCOTIA COMPANY/3079939</w:t>
            </w:r>
          </w:p>
          <w:p>
            <w:pPr>
              <w:pStyle w:val="TableContents"/>
              <w:bidi w:val="0"/>
              <w:spacing w:before="0" w:after="0"/>
              <w:jc w:val="left"/>
              <w:rPr>
                <w:rFonts w:ascii="Times New Roman" w:hAnsi="Times New Roman"/>
                <w:sz w:val="20"/>
              </w:rPr>
            </w:pPr>
            <w:r>
              <w:rPr>
                <w:rFonts w:ascii="Times New Roman" w:hAnsi="Times New Roman"/>
                <w:sz w:val="20"/>
              </w:rPr>
              <w:t>COMPAGNIE DE LA NOUVELLE ECOSSE</w:t>
            </w:r>
          </w:p>
          <w:p>
            <w:pPr>
              <w:pStyle w:val="TableContents"/>
              <w:bidi w:val="0"/>
              <w:spacing w:before="0" w:after="20"/>
              <w:jc w:val="left"/>
              <w:rPr>
                <w:rFonts w:ascii="Times New Roman" w:hAnsi="Times New Roman"/>
                <w:sz w:val="20"/>
              </w:rPr>
            </w:pPr>
            <w:r>
              <w:rPr>
                <w:rFonts w:ascii="Times New Roman" w:hAnsi="Times New Roman"/>
                <w:sz w:val="20"/>
              </w:rPr>
              <w:t>889273 ONTARIO INC.</w:t>
            </w:r>
          </w:p>
        </w:tc>
      </w:tr>
      <w:tr>
        <w:trPr/>
        <w:tc>
          <w:tcPr>
            <w:tcW w:w="4082" w:type="dxa"/>
            <w:gridSpan w:val="3"/>
            <w:tcBorders/>
          </w:tcPr>
          <w:p>
            <w:pPr>
              <w:pStyle w:val="TableContents"/>
              <w:bidi w:val="0"/>
              <w:spacing w:before="0" w:after="283"/>
              <w:jc w:val="left"/>
              <w:rPr/>
            </w:pPr>
            <w:r>
              <w:rPr/>
              <w:t>CROWN CANADIAN HOLDINGS ULC</w:t>
            </w:r>
          </w:p>
        </w:tc>
      </w:tr>
      <w:tr>
        <w:trPr/>
        <w:tc>
          <w:tcPr>
            <w:tcW w:w="4082" w:type="dxa"/>
            <w:gridSpan w:val="3"/>
            <w:tcBorders/>
          </w:tcPr>
          <w:p>
            <w:pPr>
              <w:pStyle w:val="TableContents"/>
              <w:bidi w:val="0"/>
              <w:spacing w:before="0" w:after="283"/>
              <w:jc w:val="left"/>
              <w:rPr/>
            </w:pPr>
            <w:r>
              <w:rPr/>
              <w:t>CROWN METAL PACKAGING CANADA INC.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CANADA ULC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/s/ Peter Abraham</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Peter Abraham</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METAL PACKAGING CANADA LP</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Crown Metal Packaging Canada Inc., its General Partner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24"/>
        <w:gridCol w:w="65"/>
        <w:gridCol w:w="3593"/>
      </w:tblGrid>
      <w:tr>
        <w:trPr/>
        <w:tc>
          <w:tcPr>
            <w:tcW w:w="424"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BEVCAN FRANCE SAS</w:t>
            </w:r>
          </w:p>
        </w:tc>
      </w:tr>
      <w:tr>
        <w:trPr>
          <w:trHeight w:val="240" w:hRule="atLeast"/>
        </w:trPr>
        <w:tc>
          <w:tcPr>
            <w:tcW w:w="424"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593" w:type="dxa"/>
            <w:tcBorders>
              <w:bottom w:val="single" w:sz="2" w:space="0" w:color="000000"/>
            </w:tcBorders>
            <w:tcMar>
              <w:bottom w:w="28" w:type="dxa"/>
            </w:tcMar>
          </w:tcPr>
          <w:p>
            <w:pPr>
              <w:pStyle w:val="TableContents"/>
              <w:bidi w:val="0"/>
              <w:spacing w:before="0" w:after="283"/>
              <w:jc w:val="left"/>
              <w:rPr/>
            </w:pPr>
            <w:r>
              <w:rPr/>
              <w:t>/s/ Louisa Redjdal</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Name: Louisa Redjdal</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Title: 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DÉVELOPPEMENT</w:t>
            </w:r>
          </w:p>
        </w:tc>
      </w:tr>
      <w:tr>
        <w:trPr>
          <w:trHeight w:val="240" w:hRule="atLeast"/>
        </w:trPr>
        <w:tc>
          <w:tcPr>
            <w:tcW w:w="424"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593"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Name: Kevin C. Clothier</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Title: 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EUROPE SAS</w:t>
            </w:r>
          </w:p>
        </w:tc>
      </w:tr>
      <w:tr>
        <w:trPr>
          <w:trHeight w:val="240" w:hRule="atLeast"/>
        </w:trPr>
        <w:tc>
          <w:tcPr>
            <w:tcW w:w="424" w:type="dxa"/>
            <w:tcBorders/>
            <w:vAlign w:val="center"/>
          </w:tcPr>
          <w:p>
            <w:pPr>
              <w:pStyle w:val="TableContents"/>
              <w:bidi w:val="0"/>
              <w:spacing w:before="0" w:after="283"/>
              <w:jc w:val="left"/>
              <w:rPr>
                <w:sz w:val="4"/>
                <w:szCs w:val="4"/>
              </w:rPr>
            </w:pPr>
            <w:r>
              <w:rPr>
                <w:sz w:val="4"/>
                <w:szCs w:val="4"/>
              </w:rPr>
            </w:r>
          </w:p>
        </w:tc>
        <w:tc>
          <w:tcPr>
            <w:tcW w:w="3658" w:type="dxa"/>
            <w:gridSpan w:val="2"/>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593" w:type="dxa"/>
            <w:tcBorders>
              <w:bottom w:val="single" w:sz="2" w:space="0" w:color="000000"/>
            </w:tcBorders>
            <w:tcMar>
              <w:bottom w:w="28" w:type="dxa"/>
            </w:tcMar>
          </w:tcPr>
          <w:p>
            <w:pPr>
              <w:pStyle w:val="TableContents"/>
              <w:bidi w:val="0"/>
              <w:spacing w:before="0" w:after="283"/>
              <w:jc w:val="left"/>
              <w:rPr/>
            </w:pPr>
            <w:r>
              <w:rPr/>
              <w:t>/s/ Jean-Francois Lelouch</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Name: Jean-Francois Lelouch</w:t>
            </w:r>
          </w:p>
        </w:tc>
      </w:tr>
      <w:tr>
        <w:trPr/>
        <w:tc>
          <w:tcPr>
            <w:tcW w:w="4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93" w:type="dxa"/>
            <w:tcBorders/>
            <w:vAlign w:val="bottom"/>
          </w:tcPr>
          <w:p>
            <w:pPr>
              <w:pStyle w:val="TableContents"/>
              <w:bidi w:val="0"/>
              <w:spacing w:before="0" w:after="283"/>
              <w:jc w:val="left"/>
              <w:rPr/>
            </w:pPr>
            <w:r>
              <w:rPr/>
              <w:t>Title: Président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SOCIÉTÉ CIVILE IMMOBILIÉRE DES BACQUETS</w:t>
            </w:r>
          </w:p>
        </w:tc>
      </w:tr>
      <w:tr>
        <w:trPr/>
        <w:tc>
          <w:tcPr>
            <w:tcW w:w="4082" w:type="dxa"/>
            <w:gridSpan w:val="3"/>
            <w:tcBorders/>
          </w:tcPr>
          <w:p>
            <w:pPr>
              <w:pStyle w:val="TableContents"/>
              <w:bidi w:val="0"/>
              <w:spacing w:before="0" w:after="283"/>
              <w:jc w:val="left"/>
              <w:rPr/>
            </w:pPr>
            <w:r>
              <w:rPr/>
              <w:t>SOCIÉTÉ CIVILE IMMOBILIÉRE ROUSSEAU IVRY</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Olaf Roth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Gérant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SPG FRANCE HOLDINGS SAS</w:t>
            </w:r>
          </w:p>
        </w:tc>
      </w:tr>
      <w:tr>
        <w:trPr/>
        <w:tc>
          <w:tcPr>
            <w:tcW w:w="4082" w:type="dxa"/>
            <w:gridSpan w:val="3"/>
            <w:tcBorders/>
          </w:tcPr>
          <w:p>
            <w:pPr>
              <w:pStyle w:val="TableContents"/>
              <w:bidi w:val="0"/>
              <w:spacing w:before="0" w:after="283"/>
              <w:jc w:val="left"/>
              <w:rPr/>
            </w:pPr>
            <w:r>
              <w:rPr/>
              <w:t>SIGNODE FRANCE SAS</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Olaf Roth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Président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PACKAGING SYSTEMS GMBH</w:t>
            </w:r>
          </w:p>
        </w:tc>
      </w:tr>
      <w:tr>
        <w:trPr/>
        <w:tc>
          <w:tcPr>
            <w:tcW w:w="4082" w:type="dxa"/>
            <w:gridSpan w:val="3"/>
            <w:tcBorders/>
          </w:tcPr>
          <w:p>
            <w:pPr>
              <w:pStyle w:val="TableContents"/>
              <w:bidi w:val="0"/>
              <w:spacing w:before="0" w:after="283"/>
              <w:jc w:val="left"/>
              <w:rPr/>
            </w:pPr>
            <w:r>
              <w:rPr/>
              <w:t>SMP SCHWEDE MASCHINENBAU WEISCHLITZ GMBH</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vAlign w:val="bottom"/>
          </w:tcPr>
          <w:p>
            <w:pPr>
              <w:pStyle w:val="TableContents"/>
              <w:bidi w:val="0"/>
              <w:spacing w:before="0" w:after="283"/>
              <w:jc w:val="left"/>
              <w:rPr/>
            </w:pPr>
            <w:r>
              <w:rPr/>
              <w:t>/s/ Lars Krachten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Emil Lars Peter Krachten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MEZGER HEFTSYSTEME GMBH</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vAlign w:val="bottom"/>
          </w:tcPr>
          <w:p>
            <w:pPr>
              <w:pStyle w:val="TableContents"/>
              <w:bidi w:val="0"/>
              <w:spacing w:before="0" w:after="283"/>
              <w:jc w:val="left"/>
              <w:rPr/>
            </w:pPr>
            <w:r>
              <w:rPr/>
              <w:t>/s/ Hermann Bumbinger</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Hermann Gumbinger</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Managing Director</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vAlign w:val="bottom"/>
          </w:tcPr>
          <w:p>
            <w:pPr>
              <w:pStyle w:val="TableContents"/>
              <w:bidi w:val="0"/>
              <w:spacing w:before="0" w:after="283"/>
              <w:jc w:val="left"/>
              <w:rPr/>
            </w:pPr>
            <w:r>
              <w:rPr/>
              <w:t>/s/ Lars Krachten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Emil Lars Peter Krachten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SYSTEM GMBH</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vAlign w:val="bottom"/>
          </w:tcPr>
          <w:p>
            <w:pPr>
              <w:pStyle w:val="TableContents"/>
              <w:bidi w:val="0"/>
              <w:spacing w:before="0" w:after="283"/>
              <w:jc w:val="left"/>
              <w:rPr/>
            </w:pPr>
            <w:r>
              <w:rPr/>
              <w:t>/s/ Burkhard Bödefeld</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Burkhard Bödefeld</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SPG GERMANY SERVICE MANAGEMENT GMBH</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LUX III, S.À.R.L.</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Manager A</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Christelle Gilson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Christelle Gilson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Manager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SPG INDUSTRIAL PACKAGING S.À.R.L.</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Olaf Roth</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Manager A</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Christelle Gilson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Christelle Gilson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Manager 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4"/>
        <w:gridCol w:w="82"/>
        <w:gridCol w:w="3386"/>
      </w:tblGrid>
      <w:tr>
        <w:trPr/>
        <w:tc>
          <w:tcPr>
            <w:tcW w:w="614"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LUX S.A.</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386"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Name: Olaf Roth</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Title: Director A</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386" w:type="dxa"/>
            <w:tcBorders>
              <w:bottom w:val="single" w:sz="2" w:space="0" w:color="000000"/>
            </w:tcBorders>
            <w:tcMar>
              <w:bottom w:w="28" w:type="dxa"/>
            </w:tcMar>
          </w:tcPr>
          <w:p>
            <w:pPr>
              <w:pStyle w:val="TableContents"/>
              <w:bidi w:val="0"/>
              <w:spacing w:before="0" w:after="283"/>
              <w:jc w:val="left"/>
              <w:rPr/>
            </w:pPr>
            <w:r>
              <w:rPr/>
              <w:t>/s/ Christelle Gilson</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Name: Christelle Gilson</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Title: Director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LUXEMBOURG S.À.R.L.</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386"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Name: Olaf Roth</w:t>
            </w:r>
          </w:p>
        </w:tc>
      </w:tr>
      <w:tr>
        <w:trPr/>
        <w:tc>
          <w:tcPr>
            <w:tcW w:w="614"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ENVASES MEXICO, S.A. DE C.V.</w:t>
            </w:r>
          </w:p>
        </w:tc>
      </w:tr>
      <w:tr>
        <w:trPr/>
        <w:tc>
          <w:tcPr>
            <w:tcW w:w="4082" w:type="dxa"/>
            <w:gridSpan w:val="3"/>
            <w:tcBorders/>
          </w:tcPr>
          <w:p>
            <w:pPr>
              <w:pStyle w:val="TableContents"/>
              <w:bidi w:val="0"/>
              <w:spacing w:before="0" w:after="283"/>
              <w:jc w:val="left"/>
              <w:rPr/>
            </w:pPr>
            <w:r>
              <w:rPr/>
              <w:t>FÁBRICAS MONTERREY, S.A. DE C.V.</w:t>
            </w:r>
          </w:p>
        </w:tc>
      </w:tr>
      <w:tr>
        <w:trPr/>
        <w:tc>
          <w:tcPr>
            <w:tcW w:w="4082" w:type="dxa"/>
            <w:gridSpan w:val="3"/>
            <w:tcBorders/>
          </w:tcPr>
          <w:p>
            <w:pPr>
              <w:pStyle w:val="TableContents"/>
              <w:bidi w:val="0"/>
              <w:spacing w:before="0" w:after="283"/>
              <w:jc w:val="left"/>
              <w:rPr/>
            </w:pPr>
            <w:r>
              <w:rPr/>
              <w:t>CROWN FAMOSA, S.A. DE C.V.</w:t>
            </w:r>
          </w:p>
        </w:tc>
      </w:tr>
      <w:tr>
        <w:trPr/>
        <w:tc>
          <w:tcPr>
            <w:tcW w:w="4082" w:type="dxa"/>
            <w:gridSpan w:val="3"/>
            <w:tcBorders/>
          </w:tcPr>
          <w:p>
            <w:pPr>
              <w:pStyle w:val="TableContents"/>
              <w:bidi w:val="0"/>
              <w:spacing w:before="0" w:after="283"/>
              <w:jc w:val="left"/>
              <w:rPr/>
            </w:pPr>
            <w:r>
              <w:rPr/>
              <w:t>SILICES DE VERACRUZ, S.A. DE C.V.</w:t>
            </w:r>
          </w:p>
        </w:tc>
      </w:tr>
      <w:tr>
        <w:trPr/>
        <w:tc>
          <w:tcPr>
            <w:tcW w:w="4082" w:type="dxa"/>
            <w:gridSpan w:val="3"/>
            <w:tcBorders/>
          </w:tcPr>
          <w:p>
            <w:pPr>
              <w:pStyle w:val="TableContents"/>
              <w:bidi w:val="0"/>
              <w:spacing w:before="0" w:after="283"/>
              <w:jc w:val="left"/>
              <w:rPr/>
            </w:pPr>
            <w:r>
              <w:rPr/>
              <w:t>SILICE DEL ISTMO, S.A. DE C.V</w:t>
            </w:r>
          </w:p>
        </w:tc>
      </w:tr>
      <w:tr>
        <w:trPr/>
        <w:tc>
          <w:tcPr>
            <w:tcW w:w="4082" w:type="dxa"/>
            <w:gridSpan w:val="3"/>
            <w:tcBorders/>
          </w:tcPr>
          <w:p>
            <w:pPr>
              <w:pStyle w:val="TableContents"/>
              <w:bidi w:val="0"/>
              <w:spacing w:before="0" w:after="283"/>
              <w:jc w:val="left"/>
              <w:rPr/>
            </w:pPr>
            <w:r>
              <w:rPr/>
              <w:t>VICHISA, S.A. DE C.V.</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David A. Beaver</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MEXICO S. DE R.L. DE C.V.</w:t>
            </w:r>
          </w:p>
        </w:tc>
      </w:tr>
      <w:tr>
        <w:trPr/>
        <w:tc>
          <w:tcPr>
            <w:tcW w:w="4082" w:type="dxa"/>
            <w:gridSpan w:val="3"/>
            <w:tcBorders/>
          </w:tcPr>
          <w:p>
            <w:pPr>
              <w:pStyle w:val="TableContents"/>
              <w:bidi w:val="0"/>
              <w:spacing w:before="0" w:after="283"/>
              <w:jc w:val="left"/>
              <w:rPr/>
            </w:pPr>
            <w:r>
              <w:rPr/>
              <w:t>SIMPLIMATIC AUTOMATION S. DE R.L. DE C.V.</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tcPr>
          <w:p>
            <w:pPr>
              <w:pStyle w:val="TableContents"/>
              <w:bidi w:val="0"/>
              <w:spacing w:before="0" w:after="283"/>
              <w:jc w:val="left"/>
              <w:rPr/>
            </w:pPr>
            <w:r>
              <w:rPr/>
              <w:t>/s/ Maria Evelia Hernandez Rodriguez</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Maria Evelia Hernandez Rodriguez</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FAMOSA B.V.</w:t>
            </w:r>
          </w:p>
        </w:tc>
      </w:tr>
      <w:tr>
        <w:trPr/>
        <w:tc>
          <w:tcPr>
            <w:tcW w:w="4082" w:type="dxa"/>
            <w:gridSpan w:val="3"/>
            <w:tcBorders/>
          </w:tcPr>
          <w:p>
            <w:pPr>
              <w:pStyle w:val="TableContents"/>
              <w:bidi w:val="0"/>
              <w:spacing w:before="0" w:after="283"/>
              <w:jc w:val="left"/>
              <w:rPr/>
            </w:pPr>
            <w:r>
              <w:rPr/>
              <w:t>SIVESA B.V.</w:t>
            </w:r>
          </w:p>
        </w:tc>
      </w:tr>
      <w:tr>
        <w:trPr/>
        <w:tc>
          <w:tcPr>
            <w:tcW w:w="4082" w:type="dxa"/>
            <w:gridSpan w:val="3"/>
            <w:tcBorders/>
          </w:tcPr>
          <w:p>
            <w:pPr>
              <w:pStyle w:val="TableContents"/>
              <w:bidi w:val="0"/>
              <w:spacing w:before="0" w:after="283"/>
              <w:jc w:val="left"/>
              <w:rPr/>
            </w:pPr>
            <w:r>
              <w:rPr/>
              <w:t>SISA MEXICO B.V.</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Marcel Stiphout</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Marcel Stiphout</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NETHERLANDS B.V.</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Jochen Linzenich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Jochen Linzenich</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4"/>
        <w:gridCol w:w="73"/>
        <w:gridCol w:w="3425"/>
      </w:tblGrid>
      <w:tr>
        <w:trPr/>
        <w:tc>
          <w:tcPr>
            <w:tcW w:w="584"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EUROPEAN HOLDINGS GMBH</w:t>
            </w:r>
          </w:p>
        </w:tc>
      </w:tr>
      <w:tr>
        <w:trPr>
          <w:trHeight w:val="240" w:hRule="atLeast"/>
        </w:trPr>
        <w:tc>
          <w:tcPr>
            <w:tcW w:w="584" w:type="dxa"/>
            <w:tcBorders/>
            <w:vAlign w:val="center"/>
          </w:tcPr>
          <w:p>
            <w:pPr>
              <w:pStyle w:val="TableContents"/>
              <w:bidi w:val="0"/>
              <w:spacing w:before="0" w:after="283"/>
              <w:jc w:val="left"/>
              <w:rPr>
                <w:sz w:val="4"/>
                <w:szCs w:val="4"/>
              </w:rPr>
            </w:pPr>
            <w:r>
              <w:rPr>
                <w:sz w:val="4"/>
                <w:szCs w:val="4"/>
              </w:rPr>
            </w:r>
          </w:p>
        </w:tc>
        <w:tc>
          <w:tcPr>
            <w:tcW w:w="3498" w:type="dxa"/>
            <w:gridSpan w:val="2"/>
            <w:tcBorders/>
            <w:vAlign w:val="center"/>
          </w:tcPr>
          <w:p>
            <w:pPr>
              <w:pStyle w:val="TableContents"/>
              <w:bidi w:val="0"/>
              <w:spacing w:before="0" w:after="283"/>
              <w:jc w:val="left"/>
              <w:rPr>
                <w:sz w:val="4"/>
                <w:szCs w:val="4"/>
              </w:rPr>
            </w:pPr>
            <w:r>
              <w:rPr>
                <w:sz w:val="4"/>
                <w:szCs w:val="4"/>
              </w:rPr>
            </w:r>
          </w:p>
        </w:tc>
      </w:tr>
      <w:tr>
        <w:trPr/>
        <w:tc>
          <w:tcPr>
            <w:tcW w:w="584"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5" w:type="dxa"/>
            <w:tcBorders>
              <w:bottom w:val="single" w:sz="2" w:space="0" w:color="000000"/>
            </w:tcBorders>
            <w:tcMar>
              <w:bottom w:w="28" w:type="dxa"/>
            </w:tcMar>
          </w:tcPr>
          <w:p>
            <w:pPr>
              <w:pStyle w:val="TableContents"/>
              <w:bidi w:val="0"/>
              <w:spacing w:before="0" w:after="283"/>
              <w:jc w:val="left"/>
              <w:rPr/>
            </w:pPr>
            <w:r>
              <w:rPr/>
              <w:t>/s/ Andrea Vavassori</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Name: Andrea Vavassori</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Title: President of the Management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EUROPEAN DIVISION GMBH</w:t>
            </w:r>
          </w:p>
        </w:tc>
      </w:tr>
      <w:tr>
        <w:trPr>
          <w:trHeight w:val="240" w:hRule="atLeast"/>
        </w:trPr>
        <w:tc>
          <w:tcPr>
            <w:tcW w:w="584" w:type="dxa"/>
            <w:tcBorders/>
            <w:vAlign w:val="center"/>
          </w:tcPr>
          <w:p>
            <w:pPr>
              <w:pStyle w:val="TableContents"/>
              <w:bidi w:val="0"/>
              <w:spacing w:before="0" w:after="283"/>
              <w:jc w:val="left"/>
              <w:rPr>
                <w:sz w:val="4"/>
                <w:szCs w:val="4"/>
              </w:rPr>
            </w:pPr>
            <w:r>
              <w:rPr>
                <w:sz w:val="4"/>
                <w:szCs w:val="4"/>
              </w:rPr>
            </w:r>
          </w:p>
        </w:tc>
        <w:tc>
          <w:tcPr>
            <w:tcW w:w="3498" w:type="dxa"/>
            <w:gridSpan w:val="2"/>
            <w:tcBorders/>
            <w:vAlign w:val="center"/>
          </w:tcPr>
          <w:p>
            <w:pPr>
              <w:pStyle w:val="TableContents"/>
              <w:bidi w:val="0"/>
              <w:spacing w:before="0" w:after="283"/>
              <w:jc w:val="left"/>
              <w:rPr>
                <w:sz w:val="4"/>
                <w:szCs w:val="4"/>
              </w:rPr>
            </w:pPr>
            <w:r>
              <w:rPr>
                <w:sz w:val="4"/>
                <w:szCs w:val="4"/>
              </w:rPr>
            </w:r>
          </w:p>
        </w:tc>
      </w:tr>
      <w:tr>
        <w:trPr/>
        <w:tc>
          <w:tcPr>
            <w:tcW w:w="584"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5" w:type="dxa"/>
            <w:tcBorders>
              <w:bottom w:val="single" w:sz="2" w:space="0" w:color="000000"/>
            </w:tcBorders>
            <w:tcMar>
              <w:bottom w:w="28" w:type="dxa"/>
            </w:tcMar>
          </w:tcPr>
          <w:p>
            <w:pPr>
              <w:pStyle w:val="TableContents"/>
              <w:bidi w:val="0"/>
              <w:spacing w:before="0" w:after="283"/>
              <w:jc w:val="left"/>
              <w:rPr/>
            </w:pPr>
            <w:r>
              <w:rPr/>
              <w:t>/s/ Andrea Vavassori</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Name: Andrea Vavassori</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SWITZERLAND GMBH</w:t>
            </w:r>
          </w:p>
        </w:tc>
      </w:tr>
      <w:tr>
        <w:trPr>
          <w:trHeight w:val="240" w:hRule="atLeast"/>
        </w:trPr>
        <w:tc>
          <w:tcPr>
            <w:tcW w:w="584" w:type="dxa"/>
            <w:tcBorders/>
            <w:vAlign w:val="center"/>
          </w:tcPr>
          <w:p>
            <w:pPr>
              <w:pStyle w:val="TableContents"/>
              <w:bidi w:val="0"/>
              <w:spacing w:before="0" w:after="283"/>
              <w:jc w:val="left"/>
              <w:rPr>
                <w:sz w:val="4"/>
                <w:szCs w:val="4"/>
              </w:rPr>
            </w:pPr>
            <w:r>
              <w:rPr>
                <w:sz w:val="4"/>
                <w:szCs w:val="4"/>
              </w:rPr>
            </w:r>
          </w:p>
        </w:tc>
        <w:tc>
          <w:tcPr>
            <w:tcW w:w="3498" w:type="dxa"/>
            <w:gridSpan w:val="2"/>
            <w:tcBorders/>
            <w:vAlign w:val="center"/>
          </w:tcPr>
          <w:p>
            <w:pPr>
              <w:pStyle w:val="TableContents"/>
              <w:bidi w:val="0"/>
              <w:spacing w:before="0" w:after="283"/>
              <w:jc w:val="left"/>
              <w:rPr>
                <w:sz w:val="4"/>
                <w:szCs w:val="4"/>
              </w:rPr>
            </w:pPr>
            <w:r>
              <w:rPr>
                <w:sz w:val="4"/>
                <w:szCs w:val="4"/>
              </w:rPr>
            </w:r>
          </w:p>
        </w:tc>
      </w:tr>
      <w:tr>
        <w:trPr/>
        <w:tc>
          <w:tcPr>
            <w:tcW w:w="584"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5"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Name: Olaf Roth</w:t>
            </w:r>
          </w:p>
        </w:tc>
      </w:tr>
      <w:tr>
        <w:trPr/>
        <w:tc>
          <w:tcPr>
            <w:tcW w:w="58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425"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2"/>
        <w:gridCol w:w="97"/>
        <w:gridCol w:w="3373"/>
      </w:tblGrid>
      <w:tr>
        <w:trPr/>
        <w:tc>
          <w:tcPr>
            <w:tcW w:w="61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SERVICES EMA LIMITED</w:t>
            </w:r>
          </w:p>
        </w:tc>
      </w:tr>
      <w:tr>
        <w:trPr/>
        <w:tc>
          <w:tcPr>
            <w:tcW w:w="4082" w:type="dxa"/>
            <w:gridSpan w:val="3"/>
            <w:tcBorders/>
          </w:tcPr>
          <w:p>
            <w:pPr>
              <w:pStyle w:val="TableContents"/>
              <w:bidi w:val="0"/>
              <w:spacing w:before="0" w:after="283"/>
              <w:jc w:val="left"/>
              <w:rPr/>
            </w:pPr>
            <w:r>
              <w:rPr/>
              <w:t>CARNAUDMETALBOX ENGINEERING LIMITED</w:t>
            </w:r>
          </w:p>
        </w:tc>
      </w:tr>
      <w:tr>
        <w:trPr/>
        <w:tc>
          <w:tcPr>
            <w:tcW w:w="4082" w:type="dxa"/>
            <w:gridSpan w:val="3"/>
            <w:tcBorders/>
          </w:tcPr>
          <w:p>
            <w:pPr>
              <w:pStyle w:val="TableContents"/>
              <w:bidi w:val="0"/>
              <w:spacing w:before="0" w:after="283"/>
              <w:jc w:val="left"/>
              <w:rPr/>
            </w:pPr>
            <w:r>
              <w:rPr/>
              <w:t>CARNAUDMETALBOX GROUP UK LIMITED</w:t>
            </w:r>
          </w:p>
        </w:tc>
      </w:tr>
      <w:tr>
        <w:trPr/>
        <w:tc>
          <w:tcPr>
            <w:tcW w:w="4082" w:type="dxa"/>
            <w:gridSpan w:val="3"/>
            <w:tcBorders/>
          </w:tcPr>
          <w:p>
            <w:pPr>
              <w:pStyle w:val="TableContents"/>
              <w:bidi w:val="0"/>
              <w:spacing w:before="0" w:after="283"/>
              <w:jc w:val="left"/>
              <w:rPr/>
            </w:pPr>
            <w:r>
              <w:rPr/>
              <w:t>CARNAUDMETALBOX OVERSEAS LIMITED</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73" w:type="dxa"/>
            <w:tcBorders>
              <w:bottom w:val="single" w:sz="2" w:space="0" w:color="000000"/>
            </w:tcBorders>
            <w:tcMar>
              <w:bottom w:w="28" w:type="dxa"/>
            </w:tcMar>
          </w:tcPr>
          <w:p>
            <w:pPr>
              <w:pStyle w:val="TableContents"/>
              <w:bidi w:val="0"/>
              <w:spacing w:before="0" w:after="283"/>
              <w:jc w:val="left"/>
              <w:rPr/>
            </w:pPr>
            <w:r>
              <w:rPr/>
              <w:t>/s/ Andrea Vavassori</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Name: Andrea Vavassori</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MANUFACTURING UK LIMITED</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73" w:type="dxa"/>
            <w:tcBorders>
              <w:bottom w:val="single" w:sz="2" w:space="0" w:color="000000"/>
            </w:tcBorders>
            <w:tcMar>
              <w:bottom w:w="28" w:type="dxa"/>
            </w:tcMar>
          </w:tcPr>
          <w:p>
            <w:pPr>
              <w:pStyle w:val="TableContents"/>
              <w:bidi w:val="0"/>
              <w:spacing w:before="0" w:after="283"/>
              <w:jc w:val="left"/>
              <w:rPr/>
            </w:pPr>
            <w:r>
              <w:rPr/>
              <w:t>/s/ Jochen Linzenich</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Name: Jean-Francois Lelouch</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DISTRIBUTION UK LIMITED</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73" w:type="dxa"/>
            <w:tcBorders>
              <w:bottom w:val="single" w:sz="2" w:space="0" w:color="000000"/>
            </w:tcBorders>
            <w:tcMar>
              <w:bottom w:w="28" w:type="dxa"/>
            </w:tcMar>
          </w:tcPr>
          <w:p>
            <w:pPr>
              <w:pStyle w:val="TableContents"/>
              <w:bidi w:val="0"/>
              <w:spacing w:before="0" w:after="283"/>
              <w:jc w:val="left"/>
              <w:rPr/>
            </w:pPr>
            <w:r>
              <w:rPr/>
              <w:t>/s/ Tim Conybeare</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Name: Tim Conybeare</w:t>
            </w:r>
          </w:p>
        </w:tc>
      </w:tr>
      <w:tr>
        <w:trPr/>
        <w:tc>
          <w:tcPr>
            <w:tcW w:w="61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UK LTD.</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Name: Olaf Roth</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CARNAUDMTEALBOX MEC-A-TEC SERVICES LIMITED</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Name: David A. Beaver</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UK HOLDINGS LIMITED</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Kevin C. Clothier</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33"/>
        <w:gridCol w:w="60"/>
        <w:gridCol w:w="3689"/>
      </w:tblGrid>
      <w:tr>
        <w:trPr/>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foregoing Agreement is hereby confirmed</w:t>
              <w:br/>
              <w:t>and accepted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w:t>
            </w:r>
          </w:p>
        </w:tc>
      </w:tr>
      <w:tr>
        <w:trPr>
          <w:trHeight w:val="240" w:hRule="atLeast"/>
        </w:trPr>
        <w:tc>
          <w:tcPr>
            <w:tcW w:w="333" w:type="dxa"/>
            <w:tcBorders/>
            <w:vAlign w:val="center"/>
          </w:tcPr>
          <w:p>
            <w:pPr>
              <w:pStyle w:val="TableContents"/>
              <w:bidi w:val="0"/>
              <w:spacing w:before="0" w:after="283"/>
              <w:jc w:val="left"/>
              <w:rPr>
                <w:sz w:val="4"/>
                <w:szCs w:val="4"/>
              </w:rPr>
            </w:pPr>
            <w:r>
              <w:rPr>
                <w:sz w:val="4"/>
                <w:szCs w:val="4"/>
              </w:rPr>
            </w:r>
          </w:p>
        </w:tc>
        <w:tc>
          <w:tcPr>
            <w:tcW w:w="3749" w:type="dxa"/>
            <w:gridSpan w:val="2"/>
            <w:tcBorders/>
            <w:vAlign w:val="center"/>
          </w:tcPr>
          <w:p>
            <w:pPr>
              <w:pStyle w:val="TableContents"/>
              <w:bidi w:val="0"/>
              <w:spacing w:before="0" w:after="283"/>
              <w:jc w:val="left"/>
              <w:rPr>
                <w:sz w:val="4"/>
                <w:szCs w:val="4"/>
              </w:rPr>
            </w:pPr>
            <w:r>
              <w:rPr>
                <w:sz w:val="4"/>
                <w:szCs w:val="4"/>
              </w:rPr>
            </w:r>
          </w:p>
        </w:tc>
      </w:tr>
      <w:tr>
        <w:trPr/>
        <w:tc>
          <w:tcPr>
            <w:tcW w:w="33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9" w:type="dxa"/>
            <w:tcBorders>
              <w:bottom w:val="single" w:sz="2" w:space="0" w:color="000000"/>
            </w:tcBorders>
            <w:tcMar>
              <w:bottom w:w="28" w:type="dxa"/>
            </w:tcMar>
          </w:tcPr>
          <w:p>
            <w:pPr>
              <w:pStyle w:val="TableContents"/>
              <w:bidi w:val="0"/>
              <w:spacing w:before="0" w:after="283"/>
              <w:jc w:val="left"/>
              <w:rPr/>
            </w:pPr>
            <w:r>
              <w:rPr/>
              <w:t>/s/ Rafael Ribeiro</w:t>
            </w:r>
          </w:p>
        </w:tc>
      </w:tr>
      <w:tr>
        <w:trPr/>
        <w:tc>
          <w:tcPr>
            <w:tcW w:w="33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vAlign w:val="bottom"/>
          </w:tcPr>
          <w:p>
            <w:pPr>
              <w:pStyle w:val="TableContents"/>
              <w:bidi w:val="0"/>
              <w:spacing w:before="0" w:after="283"/>
              <w:jc w:val="left"/>
              <w:rPr/>
            </w:pPr>
            <w:r>
              <w:rPr/>
              <w:t>Name: Rafael Ribeiro</w:t>
            </w:r>
          </w:p>
        </w:tc>
      </w:tr>
      <w:tr>
        <w:trPr/>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vAlign w:val="bottom"/>
          </w:tcPr>
          <w:p>
            <w:pPr>
              <w:pStyle w:val="TableContents"/>
              <w:bidi w:val="0"/>
              <w:spacing w:before="0" w:after="283"/>
              <w:jc w:val="left"/>
              <w:rPr/>
            </w:pPr>
            <w:r>
              <w:rPr/>
              <w:t>Title: Managing Director</w:t>
            </w:r>
          </w:p>
        </w:tc>
      </w:tr>
      <w:tr>
        <w:trPr>
          <w:trHeight w:val="240" w:hRule="atLeast"/>
        </w:trPr>
        <w:tc>
          <w:tcPr>
            <w:tcW w:w="333" w:type="dxa"/>
            <w:tcBorders/>
            <w:vAlign w:val="center"/>
          </w:tcPr>
          <w:p>
            <w:pPr>
              <w:pStyle w:val="TableContents"/>
              <w:bidi w:val="0"/>
              <w:spacing w:before="0" w:after="283"/>
              <w:jc w:val="left"/>
              <w:rPr>
                <w:sz w:val="4"/>
                <w:szCs w:val="4"/>
              </w:rPr>
            </w:pPr>
            <w:r>
              <w:rPr>
                <w:sz w:val="4"/>
                <w:szCs w:val="4"/>
              </w:rPr>
            </w:r>
          </w:p>
        </w:tc>
        <w:tc>
          <w:tcPr>
            <w:tcW w:w="3749" w:type="dxa"/>
            <w:gridSpan w:val="2"/>
            <w:tcBorders/>
            <w:vAlign w:val="center"/>
          </w:tcPr>
          <w:p>
            <w:pPr>
              <w:pStyle w:val="TableContents"/>
              <w:bidi w:val="0"/>
              <w:spacing w:before="0" w:after="283"/>
              <w:jc w:val="left"/>
              <w:rPr>
                <w:sz w:val="4"/>
                <w:szCs w:val="4"/>
              </w:rPr>
            </w:pPr>
            <w:r>
              <w:rPr>
                <w:sz w:val="4"/>
                <w:szCs w:val="4"/>
              </w:rPr>
            </w:r>
          </w:p>
        </w:tc>
      </w:tr>
      <w:tr>
        <w:trPr/>
        <w:tc>
          <w:tcPr>
            <w:tcW w:w="33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9" w:type="dxa"/>
            <w:tcBorders>
              <w:bottom w:val="single" w:sz="2" w:space="0" w:color="000000"/>
            </w:tcBorders>
            <w:tcMar>
              <w:bottom w:w="28" w:type="dxa"/>
            </w:tcMar>
          </w:tcPr>
          <w:p>
            <w:pPr>
              <w:pStyle w:val="TableContents"/>
              <w:bidi w:val="0"/>
              <w:spacing w:before="0" w:after="283"/>
              <w:jc w:val="left"/>
              <w:rPr/>
            </w:pPr>
            <w:r>
              <w:rPr/>
              <w:t>/s/ Pasquale A. Perraglia IV</w:t>
            </w:r>
          </w:p>
        </w:tc>
      </w:tr>
      <w:tr>
        <w:trPr/>
        <w:tc>
          <w:tcPr>
            <w:tcW w:w="33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vAlign w:val="bottom"/>
          </w:tcPr>
          <w:p>
            <w:pPr>
              <w:pStyle w:val="TableContents"/>
              <w:bidi w:val="0"/>
              <w:spacing w:before="0" w:after="283"/>
              <w:jc w:val="left"/>
              <w:rPr/>
            </w:pPr>
            <w:r>
              <w:rPr/>
              <w:t>Name: Pasquale A. Perraglia IV</w:t>
            </w:r>
          </w:p>
        </w:tc>
      </w:tr>
      <w:tr>
        <w:trPr/>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5"/>
        <w:gridCol w:w="60"/>
        <w:gridCol w:w="3697"/>
      </w:tblGrid>
      <w:tr>
        <w:trPr/>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EUROPE AG</w:t>
            </w:r>
          </w:p>
        </w:tc>
      </w:tr>
      <w:tr>
        <w:trPr>
          <w:trHeight w:val="240" w:hRule="atLeast"/>
        </w:trPr>
        <w:tc>
          <w:tcPr>
            <w:tcW w:w="325" w:type="dxa"/>
            <w:tcBorders/>
            <w:vAlign w:val="center"/>
          </w:tcPr>
          <w:p>
            <w:pPr>
              <w:pStyle w:val="TableContents"/>
              <w:bidi w:val="0"/>
              <w:spacing w:before="0" w:after="283"/>
              <w:jc w:val="left"/>
              <w:rPr>
                <w:sz w:val="4"/>
                <w:szCs w:val="4"/>
              </w:rPr>
            </w:pPr>
            <w:r>
              <w:rPr>
                <w:sz w:val="4"/>
                <w:szCs w:val="4"/>
              </w:rPr>
            </w:r>
          </w:p>
        </w:tc>
        <w:tc>
          <w:tcPr>
            <w:tcW w:w="3757" w:type="dxa"/>
            <w:gridSpan w:val="2"/>
            <w:tcBorders/>
            <w:vAlign w:val="center"/>
          </w:tcPr>
          <w:p>
            <w:pPr>
              <w:pStyle w:val="TableContents"/>
              <w:bidi w:val="0"/>
              <w:spacing w:before="0" w:after="283"/>
              <w:jc w:val="left"/>
              <w:rPr>
                <w:sz w:val="4"/>
                <w:szCs w:val="4"/>
              </w:rPr>
            </w:pPr>
            <w:r>
              <w:rPr>
                <w:sz w:val="4"/>
                <w:szCs w:val="4"/>
              </w:rPr>
            </w:r>
          </w:p>
        </w:tc>
      </w:tr>
      <w:tr>
        <w:trPr/>
        <w:tc>
          <w:tcPr>
            <w:tcW w:w="3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7" w:type="dxa"/>
            <w:tcBorders>
              <w:bottom w:val="single" w:sz="2" w:space="0" w:color="000000"/>
            </w:tcBorders>
            <w:tcMar>
              <w:bottom w:w="28" w:type="dxa"/>
            </w:tcMar>
          </w:tcPr>
          <w:p>
            <w:pPr>
              <w:pStyle w:val="TableContents"/>
              <w:bidi w:val="0"/>
              <w:spacing w:before="0" w:after="283"/>
              <w:jc w:val="left"/>
              <w:rPr/>
            </w:pPr>
            <w:r>
              <w:rPr/>
              <w:t>/s/ Paul-Emmanuel Micolet</w:t>
            </w:r>
          </w:p>
        </w:tc>
      </w:tr>
      <w:tr>
        <w:trPr/>
        <w:tc>
          <w:tcPr>
            <w:tcW w:w="3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7" w:type="dxa"/>
            <w:tcBorders/>
            <w:vAlign w:val="bottom"/>
          </w:tcPr>
          <w:p>
            <w:pPr>
              <w:pStyle w:val="TableContents"/>
              <w:bidi w:val="0"/>
              <w:spacing w:before="0" w:after="283"/>
              <w:jc w:val="left"/>
              <w:rPr/>
            </w:pPr>
            <w:r>
              <w:rPr/>
              <w:t>Name: Paul-Emmanuel Micolet</w:t>
            </w:r>
          </w:p>
        </w:tc>
      </w:tr>
      <w:tr>
        <w:trPr/>
        <w:tc>
          <w:tcPr>
            <w:tcW w:w="3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7" w:type="dxa"/>
            <w:tcBorders/>
            <w:vAlign w:val="bottom"/>
          </w:tcPr>
          <w:p>
            <w:pPr>
              <w:pStyle w:val="TableContents"/>
              <w:bidi w:val="0"/>
              <w:spacing w:before="0" w:after="283"/>
              <w:jc w:val="left"/>
              <w:rPr/>
            </w:pPr>
            <w:r>
              <w:rPr/>
              <w:t>Title: Managing Director - CGME</w:t>
            </w:r>
          </w:p>
        </w:tc>
      </w:tr>
      <w:tr>
        <w:trPr>
          <w:trHeight w:val="240" w:hRule="atLeast"/>
        </w:trPr>
        <w:tc>
          <w:tcPr>
            <w:tcW w:w="325" w:type="dxa"/>
            <w:tcBorders/>
            <w:vAlign w:val="center"/>
          </w:tcPr>
          <w:p>
            <w:pPr>
              <w:pStyle w:val="TableContents"/>
              <w:bidi w:val="0"/>
              <w:spacing w:before="0" w:after="283"/>
              <w:jc w:val="left"/>
              <w:rPr>
                <w:sz w:val="4"/>
                <w:szCs w:val="4"/>
              </w:rPr>
            </w:pPr>
            <w:r>
              <w:rPr>
                <w:sz w:val="4"/>
                <w:szCs w:val="4"/>
              </w:rPr>
            </w:r>
          </w:p>
        </w:tc>
        <w:tc>
          <w:tcPr>
            <w:tcW w:w="3757" w:type="dxa"/>
            <w:gridSpan w:val="2"/>
            <w:tcBorders/>
            <w:vAlign w:val="center"/>
          </w:tcPr>
          <w:p>
            <w:pPr>
              <w:pStyle w:val="TableContents"/>
              <w:bidi w:val="0"/>
              <w:spacing w:before="0" w:after="283"/>
              <w:jc w:val="left"/>
              <w:rPr>
                <w:sz w:val="4"/>
                <w:szCs w:val="4"/>
              </w:rPr>
            </w:pPr>
            <w:r>
              <w:rPr>
                <w:sz w:val="4"/>
                <w:szCs w:val="4"/>
              </w:rPr>
            </w:r>
          </w:p>
        </w:tc>
      </w:tr>
      <w:tr>
        <w:trPr/>
        <w:tc>
          <w:tcPr>
            <w:tcW w:w="3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7" w:type="dxa"/>
            <w:tcBorders>
              <w:bottom w:val="single" w:sz="2" w:space="0" w:color="000000"/>
            </w:tcBorders>
            <w:tcMar>
              <w:bottom w:w="28" w:type="dxa"/>
            </w:tcMar>
          </w:tcPr>
          <w:p>
            <w:pPr>
              <w:pStyle w:val="TableContents"/>
              <w:bidi w:val="0"/>
              <w:spacing w:before="0" w:after="283"/>
              <w:jc w:val="left"/>
              <w:rPr/>
            </w:pPr>
            <w:r>
              <w:rPr/>
              <w:t>/s/ Michael Spies</w:t>
            </w:r>
          </w:p>
        </w:tc>
      </w:tr>
      <w:tr>
        <w:trPr/>
        <w:tc>
          <w:tcPr>
            <w:tcW w:w="3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7" w:type="dxa"/>
            <w:tcBorders/>
            <w:vAlign w:val="bottom"/>
          </w:tcPr>
          <w:p>
            <w:pPr>
              <w:pStyle w:val="TableContents"/>
              <w:bidi w:val="0"/>
              <w:spacing w:before="0" w:after="283"/>
              <w:jc w:val="left"/>
              <w:rPr/>
            </w:pPr>
            <w:r>
              <w:rPr/>
              <w:t>Name: Michael Spies</w:t>
            </w:r>
          </w:p>
        </w:tc>
      </w:tr>
      <w:tr>
        <w:trPr/>
        <w:tc>
          <w:tcPr>
            <w:tcW w:w="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7"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1"/>
        <w:gridCol w:w="60"/>
        <w:gridCol w:w="3671"/>
      </w:tblGrid>
      <w:tr>
        <w:trPr/>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AKTIENGESELLSCHAFT</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1"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Nicholas Burns</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Nicholas Burns</w:t>
            </w:r>
          </w:p>
        </w:tc>
      </w:tr>
      <w:tr>
        <w:trPr/>
        <w:tc>
          <w:tcPr>
            <w:tcW w:w="3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1"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Luca Laino</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Luca Laino</w:t>
            </w:r>
          </w:p>
        </w:tc>
      </w:tr>
      <w:tr>
        <w:trPr/>
        <w:tc>
          <w:tcPr>
            <w:tcW w:w="3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42"/>
        <w:gridCol w:w="60"/>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BOFA SECURITIES EUROPE SA</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Fabian Ansorg</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Fabian Ansorg</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8"/>
        <w:gridCol w:w="60"/>
        <w:gridCol w:w="3694"/>
      </w:tblGrid>
      <w:tr>
        <w:trPr/>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MIZUHO BANK EUROPE N.V.</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Christoph Paul</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Christoph Paul</w:t>
            </w:r>
          </w:p>
        </w:tc>
      </w:tr>
      <w:tr>
        <w:trPr/>
        <w:tc>
          <w:tcPr>
            <w:tcW w:w="3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Head of EU Primary Markets</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Alexandra Bergmann</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Alexandra Bergmann</w:t>
            </w:r>
          </w:p>
        </w:tc>
      </w:tr>
      <w:tr>
        <w:trPr/>
        <w:tc>
          <w:tcPr>
            <w:tcW w:w="3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 Head of DCM France BeLux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39"/>
        <w:gridCol w:w="60"/>
        <w:gridCol w:w="3683"/>
      </w:tblGrid>
      <w:tr>
        <w:trPr/>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MUFG SECURITIES (EUROPE) N.V.</w:t>
            </w:r>
          </w:p>
        </w:tc>
      </w:tr>
      <w:tr>
        <w:trPr>
          <w:trHeight w:val="240" w:hRule="atLeast"/>
        </w:trPr>
        <w:tc>
          <w:tcPr>
            <w:tcW w:w="339" w:type="dxa"/>
            <w:tcBorders/>
            <w:vAlign w:val="center"/>
          </w:tcPr>
          <w:p>
            <w:pPr>
              <w:pStyle w:val="TableContents"/>
              <w:bidi w:val="0"/>
              <w:spacing w:before="0" w:after="283"/>
              <w:jc w:val="left"/>
              <w:rPr>
                <w:sz w:val="4"/>
                <w:szCs w:val="4"/>
              </w:rPr>
            </w:pPr>
            <w:r>
              <w:rPr>
                <w:sz w:val="4"/>
                <w:szCs w:val="4"/>
              </w:rPr>
            </w:r>
          </w:p>
        </w:tc>
        <w:tc>
          <w:tcPr>
            <w:tcW w:w="3743" w:type="dxa"/>
            <w:gridSpan w:val="2"/>
            <w:tcBorders/>
            <w:vAlign w:val="center"/>
          </w:tcPr>
          <w:p>
            <w:pPr>
              <w:pStyle w:val="TableContents"/>
              <w:bidi w:val="0"/>
              <w:spacing w:before="0" w:after="283"/>
              <w:jc w:val="left"/>
              <w:rPr>
                <w:sz w:val="4"/>
                <w:szCs w:val="4"/>
              </w:rPr>
            </w:pPr>
            <w:r>
              <w:rPr>
                <w:sz w:val="4"/>
                <w:szCs w:val="4"/>
              </w:rPr>
            </w:r>
          </w:p>
        </w:tc>
      </w:tr>
      <w:tr>
        <w:trPr/>
        <w:tc>
          <w:tcPr>
            <w:tcW w:w="3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3"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Anastasia Fertig</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Anastasia Fertig</w:t>
            </w:r>
          </w:p>
        </w:tc>
      </w:tr>
      <w:tr>
        <w:trPr/>
        <w:tc>
          <w:tcPr>
            <w:tcW w:w="3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35"/>
        <w:gridCol w:w="60"/>
        <w:gridCol w:w="3687"/>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COÖPERATIEVE RABOBANK U.A.</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ir. D.F. Poolen</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ir. D.F. Poolen</w:t>
            </w:r>
          </w:p>
        </w:tc>
      </w:tr>
      <w:tr>
        <w:trPr/>
        <w:tc>
          <w:tcPr>
            <w:tcW w:w="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Head of Sustainable Capital Markets</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C.V.C. Kooijmans</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C.V.C. Kooijmans</w:t>
            </w:r>
          </w:p>
        </w:tc>
      </w:tr>
      <w:tr>
        <w:trPr/>
        <w:tc>
          <w:tcPr>
            <w:tcW w:w="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Head of FI &amp; SSA DCM Origination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7"/>
        <w:gridCol w:w="60"/>
        <w:gridCol w:w="3695"/>
      </w:tblGrid>
      <w:tr>
        <w:trPr/>
        <w:tc>
          <w:tcPr>
            <w:tcW w:w="3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BANCO SANTANDER, S.A.</w:t>
            </w:r>
          </w:p>
        </w:tc>
      </w:tr>
      <w:tr>
        <w:trPr>
          <w:trHeight w:val="240" w:hRule="atLeast"/>
        </w:trPr>
        <w:tc>
          <w:tcPr>
            <w:tcW w:w="327"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Gintautas Jankauskas</w:t>
            </w:r>
          </w:p>
        </w:tc>
      </w:tr>
      <w:tr>
        <w:trPr/>
        <w:tc>
          <w:tcPr>
            <w:tcW w:w="3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Gintautas Jankauskas</w:t>
            </w:r>
          </w:p>
        </w:tc>
      </w:tr>
      <w:tr>
        <w:trPr/>
        <w:tc>
          <w:tcPr>
            <w:tcW w:w="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27"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Matthew Thomas</w:t>
            </w:r>
          </w:p>
        </w:tc>
      </w:tr>
      <w:tr>
        <w:trPr/>
        <w:tc>
          <w:tcPr>
            <w:tcW w:w="3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Matthew Thomas</w:t>
            </w:r>
          </w:p>
        </w:tc>
      </w:tr>
      <w:tr>
        <w:trPr/>
        <w:tc>
          <w:tcPr>
            <w:tcW w:w="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36"/>
        <w:gridCol w:w="60"/>
        <w:gridCol w:w="3686"/>
      </w:tblGrid>
      <w:tr>
        <w:trPr/>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SCOTIABANK (IRELAND) DESIGNATED ACTIVITY COMPANY</w:t>
            </w:r>
          </w:p>
        </w:tc>
      </w:tr>
      <w:tr>
        <w:trPr>
          <w:trHeight w:val="240" w:hRule="atLeast"/>
        </w:trPr>
        <w:tc>
          <w:tcPr>
            <w:tcW w:w="336" w:type="dxa"/>
            <w:tcBorders/>
            <w:vAlign w:val="center"/>
          </w:tcPr>
          <w:p>
            <w:pPr>
              <w:pStyle w:val="TableContents"/>
              <w:bidi w:val="0"/>
              <w:spacing w:before="0" w:after="283"/>
              <w:jc w:val="left"/>
              <w:rPr>
                <w:sz w:val="4"/>
                <w:szCs w:val="4"/>
              </w:rPr>
            </w:pPr>
            <w:r>
              <w:rPr>
                <w:sz w:val="4"/>
                <w:szCs w:val="4"/>
              </w:rPr>
            </w:r>
          </w:p>
        </w:tc>
        <w:tc>
          <w:tcPr>
            <w:tcW w:w="3746" w:type="dxa"/>
            <w:gridSpan w:val="2"/>
            <w:tcBorders/>
            <w:vAlign w:val="center"/>
          </w:tcPr>
          <w:p>
            <w:pPr>
              <w:pStyle w:val="TableContents"/>
              <w:bidi w:val="0"/>
              <w:spacing w:before="0" w:after="283"/>
              <w:jc w:val="left"/>
              <w:rPr>
                <w:sz w:val="4"/>
                <w:szCs w:val="4"/>
              </w:rPr>
            </w:pPr>
            <w:r>
              <w:rPr>
                <w:sz w:val="4"/>
                <w:szCs w:val="4"/>
              </w:rPr>
            </w:r>
          </w:p>
        </w:tc>
      </w:tr>
      <w:tr>
        <w:trPr/>
        <w:tc>
          <w:tcPr>
            <w:tcW w:w="3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6"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Pauline Donohoe</w:t>
            </w:r>
          </w:p>
        </w:tc>
      </w:tr>
      <w:tr>
        <w:trPr/>
        <w:tc>
          <w:tcPr>
            <w:tcW w:w="33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Pauline Donohoe</w:t>
            </w:r>
          </w:p>
        </w:tc>
      </w:tr>
      <w:tr>
        <w:trPr/>
        <w:tc>
          <w:tcPr>
            <w:tcW w:w="3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MD Head CM, SIDAC</w:t>
            </w:r>
          </w:p>
        </w:tc>
      </w:tr>
      <w:tr>
        <w:trPr>
          <w:trHeight w:val="240" w:hRule="atLeast"/>
        </w:trPr>
        <w:tc>
          <w:tcPr>
            <w:tcW w:w="336" w:type="dxa"/>
            <w:tcBorders/>
            <w:vAlign w:val="center"/>
          </w:tcPr>
          <w:p>
            <w:pPr>
              <w:pStyle w:val="TableContents"/>
              <w:bidi w:val="0"/>
              <w:spacing w:before="0" w:after="283"/>
              <w:jc w:val="left"/>
              <w:rPr>
                <w:sz w:val="4"/>
                <w:szCs w:val="4"/>
              </w:rPr>
            </w:pPr>
            <w:r>
              <w:rPr>
                <w:sz w:val="4"/>
                <w:szCs w:val="4"/>
              </w:rPr>
            </w:r>
          </w:p>
        </w:tc>
        <w:tc>
          <w:tcPr>
            <w:tcW w:w="3746" w:type="dxa"/>
            <w:gridSpan w:val="2"/>
            <w:tcBorders/>
            <w:vAlign w:val="center"/>
          </w:tcPr>
          <w:p>
            <w:pPr>
              <w:pStyle w:val="TableContents"/>
              <w:bidi w:val="0"/>
              <w:spacing w:before="0" w:after="283"/>
              <w:jc w:val="left"/>
              <w:rPr>
                <w:sz w:val="4"/>
                <w:szCs w:val="4"/>
              </w:rPr>
            </w:pPr>
            <w:r>
              <w:rPr>
                <w:sz w:val="4"/>
                <w:szCs w:val="4"/>
              </w:rPr>
            </w:r>
          </w:p>
        </w:tc>
      </w:tr>
      <w:tr>
        <w:trPr/>
        <w:tc>
          <w:tcPr>
            <w:tcW w:w="3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6"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Nicola Vavasour</w:t>
            </w:r>
          </w:p>
        </w:tc>
      </w:tr>
      <w:tr>
        <w:trPr/>
        <w:tc>
          <w:tcPr>
            <w:tcW w:w="33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Nicola Vavasour</w:t>
            </w:r>
          </w:p>
        </w:tc>
      </w:tr>
      <w:tr>
        <w:trPr/>
        <w:tc>
          <w:tcPr>
            <w:tcW w:w="3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8"/>
        <w:gridCol w:w="60"/>
        <w:gridCol w:w="3694"/>
      </w:tblGrid>
      <w:tr>
        <w:trPr/>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SMBC BANK EU AG</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Simone Wegscheider</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Simone Wegscheider</w:t>
            </w:r>
          </w:p>
        </w:tc>
      </w:tr>
      <w:tr>
        <w:trPr/>
        <w:tc>
          <w:tcPr>
            <w:tcW w:w="3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Head of DCM</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Yusuke Daikuhara</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Yusuke Daikuhara</w:t>
            </w:r>
          </w:p>
        </w:tc>
      </w:tr>
      <w:tr>
        <w:trPr/>
        <w:tc>
          <w:tcPr>
            <w:tcW w:w="3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Luiz Lanfredi</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Luiz Lanfredi</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292"/>
        <w:gridCol w:w="60"/>
        <w:gridCol w:w="3730"/>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UNICREDIT BANK GMBH</w:t>
            </w:r>
          </w:p>
        </w:tc>
      </w:tr>
      <w:tr>
        <w:trPr>
          <w:trHeight w:val="240" w:hRule="atLeast"/>
        </w:trPr>
        <w:tc>
          <w:tcPr>
            <w:tcW w:w="292" w:type="dxa"/>
            <w:tcBorders/>
            <w:vAlign w:val="center"/>
          </w:tcPr>
          <w:p>
            <w:pPr>
              <w:pStyle w:val="TableContents"/>
              <w:bidi w:val="0"/>
              <w:spacing w:before="0" w:after="283"/>
              <w:jc w:val="left"/>
              <w:rPr>
                <w:sz w:val="4"/>
                <w:szCs w:val="4"/>
              </w:rPr>
            </w:pPr>
            <w:r>
              <w:rPr>
                <w:sz w:val="4"/>
                <w:szCs w:val="4"/>
              </w:rPr>
            </w:r>
          </w:p>
        </w:tc>
        <w:tc>
          <w:tcPr>
            <w:tcW w:w="3790" w:type="dxa"/>
            <w:gridSpan w:val="2"/>
            <w:tcBorders/>
            <w:vAlign w:val="center"/>
          </w:tcPr>
          <w:p>
            <w:pPr>
              <w:pStyle w:val="TableContents"/>
              <w:bidi w:val="0"/>
              <w:spacing w:before="0" w:after="283"/>
              <w:jc w:val="left"/>
              <w:rPr>
                <w:sz w:val="4"/>
                <w:szCs w:val="4"/>
              </w:rPr>
            </w:pPr>
            <w:r>
              <w:rPr>
                <w:sz w:val="4"/>
                <w:szCs w:val="4"/>
              </w:rPr>
            </w:r>
          </w:p>
        </w:tc>
      </w:tr>
      <w:tr>
        <w:trPr/>
        <w:tc>
          <w:tcPr>
            <w:tcW w:w="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3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Matthew Hyotte</w:t>
            </w:r>
          </w:p>
        </w:tc>
      </w:tr>
      <w:tr>
        <w:trPr/>
        <w:tc>
          <w:tcPr>
            <w:tcW w:w="2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Matthew Hyotte</w:t>
            </w:r>
          </w:p>
        </w:tc>
      </w:tr>
      <w:tr>
        <w:trPr/>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r>
        <w:trPr>
          <w:trHeight w:val="240" w:hRule="atLeast"/>
        </w:trPr>
        <w:tc>
          <w:tcPr>
            <w:tcW w:w="292" w:type="dxa"/>
            <w:tcBorders/>
            <w:vAlign w:val="center"/>
          </w:tcPr>
          <w:p>
            <w:pPr>
              <w:pStyle w:val="TableContents"/>
              <w:bidi w:val="0"/>
              <w:spacing w:before="0" w:after="283"/>
              <w:jc w:val="left"/>
              <w:rPr>
                <w:sz w:val="4"/>
                <w:szCs w:val="4"/>
              </w:rPr>
            </w:pPr>
            <w:r>
              <w:rPr>
                <w:sz w:val="4"/>
                <w:szCs w:val="4"/>
              </w:rPr>
            </w:r>
          </w:p>
        </w:tc>
        <w:tc>
          <w:tcPr>
            <w:tcW w:w="3790" w:type="dxa"/>
            <w:gridSpan w:val="2"/>
            <w:tcBorders/>
            <w:vAlign w:val="center"/>
          </w:tcPr>
          <w:p>
            <w:pPr>
              <w:pStyle w:val="TableContents"/>
              <w:bidi w:val="0"/>
              <w:spacing w:before="0" w:after="283"/>
              <w:jc w:val="left"/>
              <w:rPr>
                <w:sz w:val="4"/>
                <w:szCs w:val="4"/>
              </w:rPr>
            </w:pPr>
            <w:r>
              <w:rPr>
                <w:sz w:val="4"/>
                <w:szCs w:val="4"/>
              </w:rPr>
            </w:r>
          </w:p>
        </w:tc>
      </w:tr>
      <w:tr>
        <w:trPr/>
        <w:tc>
          <w:tcPr>
            <w:tcW w:w="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3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Rosamaria Benedetta Ponticorvo</w:t>
            </w:r>
          </w:p>
        </w:tc>
      </w:tr>
      <w:tr>
        <w:trPr/>
        <w:tc>
          <w:tcPr>
            <w:tcW w:w="2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Rosamaria Benedetta Ponticorvo</w:t>
            </w:r>
          </w:p>
        </w:tc>
      </w:tr>
      <w:tr>
        <w:trPr/>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4"/>
        <w:gridCol w:w="60"/>
        <w:gridCol w:w="3668"/>
      </w:tblGrid>
      <w:tr>
        <w:trPr/>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EUROPE S.A.</w:t>
            </w:r>
          </w:p>
        </w:tc>
      </w:tr>
      <w:tr>
        <w:trPr>
          <w:trHeight w:val="240" w:hRule="atLeast"/>
        </w:trPr>
        <w:tc>
          <w:tcPr>
            <w:tcW w:w="354"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35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8" w:type="dxa"/>
            <w:tcBorders>
              <w:bottom w:val="single" w:sz="2" w:space="0" w:color="000000"/>
            </w:tcBorders>
            <w:tcMar>
              <w:bottom w:w="28" w:type="dxa"/>
            </w:tcMar>
          </w:tcPr>
          <w:p>
            <w:pPr>
              <w:pStyle w:val="TableContents"/>
              <w:bidi w:val="0"/>
              <w:spacing w:before="0" w:after="283"/>
              <w:jc w:val="left"/>
              <w:rPr/>
            </w:pPr>
            <w:r>
              <w:rPr/>
              <w:t>/s/ Olivier Gardella</w:t>
            </w:r>
          </w:p>
        </w:tc>
      </w:tr>
      <w:tr>
        <w:trPr/>
        <w:tc>
          <w:tcPr>
            <w:tcW w:w="35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Name: Olivier Gardella</w:t>
            </w:r>
          </w:p>
        </w:tc>
      </w:tr>
      <w:tr>
        <w:trPr/>
        <w:tc>
          <w:tcPr>
            <w:tcW w:w="3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Title: Managing Director, Deputy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CRÉDIT AGRICOLE CORPORATE AND INVESTMENT BANK</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Youssef Khlat</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Youssef Khlat</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Managing Director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Ricardo Coats</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Ricardo Coats</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4"/>
        <w:gridCol w:w="60"/>
        <w:gridCol w:w="3668"/>
      </w:tblGrid>
      <w:tr>
        <w:trPr/>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HUNTINGTON SECURITIES, INC.</w:t>
            </w:r>
          </w:p>
        </w:tc>
      </w:tr>
      <w:tr>
        <w:trPr>
          <w:trHeight w:val="240" w:hRule="atLeast"/>
        </w:trPr>
        <w:tc>
          <w:tcPr>
            <w:tcW w:w="354"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35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8" w:type="dxa"/>
            <w:tcBorders>
              <w:bottom w:val="single" w:sz="2" w:space="0" w:color="000000"/>
            </w:tcBorders>
            <w:tcMar>
              <w:bottom w:w="28" w:type="dxa"/>
            </w:tcMar>
          </w:tcPr>
          <w:p>
            <w:pPr>
              <w:pStyle w:val="TableContents"/>
              <w:bidi w:val="0"/>
              <w:spacing w:before="0" w:after="283"/>
              <w:jc w:val="left"/>
              <w:rPr/>
            </w:pPr>
            <w:r>
              <w:rPr/>
              <w:t>/s/ Thomas Pollack</w:t>
            </w:r>
          </w:p>
        </w:tc>
      </w:tr>
      <w:tr>
        <w:trPr/>
        <w:tc>
          <w:tcPr>
            <w:tcW w:w="35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Name: Thomas Pollack</w:t>
            </w:r>
          </w:p>
        </w:tc>
      </w:tr>
      <w:tr>
        <w:trPr/>
        <w:tc>
          <w:tcPr>
            <w:tcW w:w="3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42"/>
        <w:gridCol w:w="60"/>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ING FINANCIAL MARKETS LLC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tcPr>
          <w:p>
            <w:pPr>
              <w:pStyle w:val="TableContents"/>
              <w:bidi w:val="0"/>
              <w:spacing w:before="0" w:after="283"/>
              <w:jc w:val="left"/>
              <w:rPr/>
            </w:pPr>
            <w:r>
              <w:rPr/>
              <w:t>/s/ Christophe Dugardyn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Christophe Dugardyn</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Title: Managing Director</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tcPr>
          <w:p>
            <w:pPr>
              <w:pStyle w:val="TableContents"/>
              <w:bidi w:val="0"/>
              <w:spacing w:before="0" w:after="283"/>
              <w:jc w:val="left"/>
              <w:rPr/>
            </w:pPr>
            <w:r>
              <w:rPr/>
              <w:t>/s/ Robert Londrigan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Robert Londrigan</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Naveen Paul</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Naveen Paul</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4"/>
        <w:gridCol w:w="236"/>
        <w:gridCol w:w="79"/>
        <w:gridCol w:w="1653"/>
        <w:gridCol w:w="63"/>
      </w:tblGrid>
      <w:tr>
        <w:trPr/>
        <w:tc>
          <w:tcPr>
            <w:tcW w:w="8174"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7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Initial Purchasers</w:t>
            </w:r>
          </w:p>
        </w:tc>
        <w:tc>
          <w:tcPr>
            <w:tcW w:w="236" w:type="dxa"/>
            <w:tcBorders/>
            <w:vAlign w:val="bottom"/>
          </w:tcPr>
          <w:p>
            <w:pPr>
              <w:pStyle w:val="TableContents"/>
              <w:bidi w:val="0"/>
              <w:spacing w:before="0" w:after="283"/>
              <w:jc w:val="left"/>
              <w:rPr/>
            </w:pPr>
            <w:r>
              <w:rPr/>
              <w:t>  </w:t>
            </w:r>
          </w:p>
        </w:tc>
        <w:tc>
          <w:tcPr>
            <w:tcW w:w="1732" w:type="dxa"/>
            <w:gridSpan w:val="2"/>
            <w:tcBorders>
              <w:bottom w:val="single" w:sz="8" w:space="0" w:color="000000"/>
            </w:tcBorders>
            <w:tcMar>
              <w:bottom w:w="28" w:type="dxa"/>
            </w:tcMar>
            <w:vAlign w:val="bottom"/>
          </w:tcPr>
          <w:p>
            <w:pPr>
              <w:pStyle w:val="TableContents"/>
              <w:bidi w:val="0"/>
              <w:spacing w:before="0" w:after="283"/>
              <w:jc w:val="center"/>
              <w:rPr/>
            </w:pPr>
            <w:r>
              <w:rPr/>
              <w:t>Principal Amount</w:t>
              <w:br/>
              <w:t>of Notes</w:t>
              <w:br/>
              <w:t>to be Purchased</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65,000,000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Europe AG</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61,250,000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Aktiengesellschaft</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61,250,000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Europe SA</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Bank Europe N.V.</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(Europe) N.V.</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Coöperatieve Rabobank U.A.</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Banco Santander, S.A.</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Scotiabank (Ireland) Designated Activity Company</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SMBC Bank EU AG</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UniCredit Bank GmbH</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Europe S.A.</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15,625,000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Huntington Securities, Inc.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15,625,000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15,625,000</w:t>
            </w:r>
          </w:p>
        </w:tc>
        <w:tc>
          <w:tcPr>
            <w:tcW w:w="63" w:type="dxa"/>
            <w:tcBorders/>
            <w:vAlign w:val="bottom"/>
          </w:tcPr>
          <w:p>
            <w:pPr>
              <w:pStyle w:val="TableContents"/>
              <w:bidi w:val="0"/>
              <w:spacing w:before="0" w:after="283"/>
              <w:jc w:val="left"/>
              <w:rPr/>
            </w:pPr>
            <w:r>
              <w:rPr/>
              <w:t> </w:t>
            </w:r>
          </w:p>
        </w:tc>
      </w:tr>
      <w:tr>
        <w:trPr/>
        <w:tc>
          <w:tcPr>
            <w:tcW w:w="8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53" w:type="dxa"/>
            <w:tcBorders/>
            <w:shd w:fill="CCEEFF" w:val="clear"/>
            <w:vAlign w:val="bottom"/>
          </w:tcPr>
          <w:p>
            <w:pPr>
              <w:pStyle w:val="TableContents"/>
              <w:bidi w:val="0"/>
              <w:spacing w:before="0" w:after="283"/>
              <w:jc w:val="right"/>
              <w:rPr/>
            </w:pPr>
            <w:r>
              <w:rPr/>
              <w:t>15,625,000</w:t>
            </w:r>
          </w:p>
        </w:tc>
        <w:tc>
          <w:tcPr>
            <w:tcW w:w="63" w:type="dxa"/>
            <w:tcBorders/>
            <w:shd w:fill="CCEEFF" w:val="clear"/>
            <w:vAlign w:val="bottom"/>
          </w:tcPr>
          <w:p>
            <w:pPr>
              <w:pStyle w:val="TableContents"/>
              <w:bidi w:val="0"/>
              <w:spacing w:before="0" w:after="283"/>
              <w:jc w:val="left"/>
              <w:rPr/>
            </w:pPr>
            <w:r>
              <w:rPr/>
              <w:t> </w:t>
            </w:r>
          </w:p>
        </w:tc>
      </w:tr>
      <w:tr>
        <w:trPr/>
        <w:tc>
          <w:tcPr>
            <w:tcW w:w="81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53" w:type="dxa"/>
            <w:tcBorders/>
            <w:vAlign w:val="bottom"/>
          </w:tcPr>
          <w:p>
            <w:pPr>
              <w:pStyle w:val="TableContents"/>
              <w:bidi w:val="0"/>
              <w:spacing w:before="0" w:after="283"/>
              <w:jc w:val="right"/>
              <w:rPr/>
            </w:pPr>
            <w:r>
              <w:rPr/>
              <w:t>500,000,000</w:t>
            </w:r>
          </w:p>
        </w:tc>
        <w:tc>
          <w:tcPr>
            <w:tcW w:w="63" w:type="dxa"/>
            <w:tcBorders/>
            <w:vAlign w:val="bottom"/>
          </w:tcPr>
          <w:p>
            <w:pPr>
              <w:pStyle w:val="TableContents"/>
              <w:bidi w:val="0"/>
              <w:spacing w:before="0" w:after="283"/>
              <w:jc w:val="left"/>
              <w:rPr/>
            </w:pPr>
            <w:r>
              <w:rPr/>
              <w:t> </w:t>
            </w:r>
          </w:p>
        </w:tc>
      </w:tr>
      <w:tr>
        <w:trPr/>
        <w:tc>
          <w:tcPr>
            <w:tcW w:w="8174"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0"/>
        <w:gridCol w:w="120"/>
        <w:gridCol w:w="4935"/>
      </w:tblGrid>
      <w:tr>
        <w:trPr/>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120" w:type="dxa"/>
            <w:tcBorders/>
            <w:vAlign w:val="bottom"/>
          </w:tcPr>
          <w:p>
            <w:pPr>
              <w:pStyle w:val="TableContents"/>
              <w:bidi w:val="0"/>
              <w:spacing w:before="0" w:after="283"/>
              <w:jc w:val="left"/>
              <w:rPr/>
            </w:pPr>
            <w:r>
              <w:rPr/>
              <w:t>  </w:t>
            </w:r>
          </w:p>
        </w:tc>
        <w:tc>
          <w:tcPr>
            <w:tcW w:w="4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0205" w:type="dxa"/>
            <w:gridSpan w:val="3"/>
            <w:tcBorders/>
          </w:tcPr>
          <w:p>
            <w:pPr>
              <w:pStyle w:val="TableContents"/>
              <w:bidi w:val="0"/>
              <w:spacing w:before="0" w:after="283"/>
              <w:jc w:val="left"/>
              <w:rPr>
                <w:b/>
              </w:rPr>
            </w:pPr>
            <w:r>
              <w:rPr>
                <w:b/>
              </w:rPr>
              <w:t>United States:</w:t>
            </w:r>
          </w:p>
        </w:tc>
      </w:tr>
      <w:tr>
        <w:trPr/>
        <w:tc>
          <w:tcPr>
            <w:tcW w:w="5150" w:type="dxa"/>
            <w:tcBorders/>
          </w:tcPr>
          <w:p>
            <w:pPr>
              <w:pStyle w:val="TableContents"/>
              <w:bidi w:val="0"/>
              <w:spacing w:before="0" w:after="283"/>
              <w:jc w:val="left"/>
              <w:rPr/>
            </w:pPr>
            <w:r>
              <w:rPr/>
              <w:t>CROWN Americas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PA</w:t>
            </w:r>
          </w:p>
        </w:tc>
      </w:tr>
      <w:tr>
        <w:trPr/>
        <w:tc>
          <w:tcPr>
            <w:tcW w:w="5150" w:type="dxa"/>
            <w:tcBorders/>
          </w:tcPr>
          <w:p>
            <w:pPr>
              <w:pStyle w:val="TableContents"/>
              <w:bidi w:val="0"/>
              <w:spacing w:before="0" w:after="283"/>
              <w:jc w:val="left"/>
              <w:rPr/>
            </w:pPr>
            <w:r>
              <w:rPr/>
              <w:t>CR USA,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Beverage Holdings,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Beverage Packaging Puerto Rico,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Beverage Packaging,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Consultants,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PA</w:t>
            </w:r>
          </w:p>
        </w:tc>
      </w:tr>
      <w:tr>
        <w:trPr/>
        <w:tc>
          <w:tcPr>
            <w:tcW w:w="5150" w:type="dxa"/>
            <w:tcBorders/>
          </w:tcPr>
          <w:p>
            <w:pPr>
              <w:pStyle w:val="TableContents"/>
              <w:bidi w:val="0"/>
              <w:spacing w:before="0" w:after="283"/>
              <w:jc w:val="left"/>
              <w:rPr/>
            </w:pPr>
            <w:r>
              <w:rPr/>
              <w:t>Crown Cork &amp; Seal Company (DE),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Cork &amp; Seal Company,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PA</w:t>
            </w:r>
          </w:p>
        </w:tc>
      </w:tr>
      <w:tr>
        <w:trPr/>
        <w:tc>
          <w:tcPr>
            <w:tcW w:w="5150" w:type="dxa"/>
            <w:tcBorders/>
          </w:tcPr>
          <w:p>
            <w:pPr>
              <w:pStyle w:val="TableContents"/>
              <w:bidi w:val="0"/>
              <w:spacing w:before="0" w:after="283"/>
              <w:jc w:val="left"/>
              <w:rPr/>
            </w:pPr>
            <w:r>
              <w:rPr/>
              <w:t>CROWN Cork &amp; Seal USA,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Financial Corporation</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PA</w:t>
            </w:r>
          </w:p>
        </w:tc>
      </w:tr>
      <w:tr>
        <w:trPr/>
        <w:tc>
          <w:tcPr>
            <w:tcW w:w="5150" w:type="dxa"/>
            <w:tcBorders/>
          </w:tcPr>
          <w:p>
            <w:pPr>
              <w:pStyle w:val="TableContents"/>
              <w:bidi w:val="0"/>
              <w:spacing w:before="0" w:after="283"/>
              <w:jc w:val="left"/>
              <w:rPr/>
            </w:pPr>
            <w:r>
              <w:rPr/>
              <w:t>Crown Holdings,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PA</w:t>
            </w:r>
          </w:p>
        </w:tc>
      </w:tr>
      <w:tr>
        <w:trPr/>
        <w:tc>
          <w:tcPr>
            <w:tcW w:w="5150" w:type="dxa"/>
            <w:tcBorders/>
          </w:tcPr>
          <w:p>
            <w:pPr>
              <w:pStyle w:val="TableContents"/>
              <w:bidi w:val="0"/>
              <w:spacing w:before="0" w:after="283"/>
              <w:jc w:val="left"/>
              <w:rPr/>
            </w:pPr>
            <w:r>
              <w:rPr/>
              <w:t>Crown International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CROWN Packaging Technology,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Foreign Manufacturers Finance Corporation</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Industrial Group US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Industrial Group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Pickling Holding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US IP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Industrial Group Holdings US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Signode International IP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DE</w:t>
            </w:r>
          </w:p>
        </w:tc>
      </w:tr>
      <w:tr>
        <w:trPr/>
        <w:tc>
          <w:tcPr>
            <w:tcW w:w="5150" w:type="dxa"/>
            <w:tcBorders/>
          </w:tcPr>
          <w:p>
            <w:pPr>
              <w:pStyle w:val="TableContents"/>
              <w:bidi w:val="0"/>
              <w:spacing w:before="0" w:after="283"/>
              <w:jc w:val="left"/>
              <w:rPr/>
            </w:pPr>
            <w:r>
              <w:rPr/>
              <w:t>Simplimatic Engineering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OH</w:t>
            </w:r>
          </w:p>
        </w:tc>
      </w:tr>
      <w:tr>
        <w:trPr/>
        <w:tc>
          <w:tcPr>
            <w:tcW w:w="5150" w:type="dxa"/>
            <w:tcBorders/>
          </w:tcPr>
          <w:p>
            <w:pPr>
              <w:pStyle w:val="TableContents"/>
              <w:bidi w:val="0"/>
              <w:spacing w:before="0" w:after="283"/>
              <w:jc w:val="left"/>
              <w:rPr/>
            </w:pPr>
            <w:r>
              <w:rPr/>
              <w:t>Simplimatic Automation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OH</w:t>
            </w:r>
          </w:p>
        </w:tc>
      </w:tr>
      <w:tr>
        <w:trPr/>
        <w:tc>
          <w:tcPr>
            <w:tcW w:w="5150" w:type="dxa"/>
            <w:tcBorders/>
          </w:tcPr>
          <w:p>
            <w:pPr>
              <w:pStyle w:val="TableContents"/>
              <w:bidi w:val="0"/>
              <w:spacing w:before="0" w:after="283"/>
              <w:jc w:val="left"/>
              <w:rPr/>
            </w:pPr>
            <w:r>
              <w:rPr/>
              <w:t>SEH Real Estate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VA</w:t>
            </w:r>
          </w:p>
        </w:tc>
      </w:tr>
      <w:tr>
        <w:trPr/>
        <w:tc>
          <w:tcPr>
            <w:tcW w:w="5150" w:type="dxa"/>
            <w:tcBorders/>
          </w:tcPr>
          <w:p>
            <w:pPr>
              <w:pStyle w:val="TableContents"/>
              <w:bidi w:val="0"/>
              <w:spacing w:before="0" w:after="283"/>
              <w:jc w:val="left"/>
              <w:rPr/>
            </w:pPr>
            <w:r>
              <w:rPr/>
              <w:t>SE International Holdings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OH</w:t>
            </w:r>
          </w:p>
        </w:tc>
      </w:tr>
      <w:tr>
        <w:trPr/>
        <w:tc>
          <w:tcPr>
            <w:tcW w:w="5150" w:type="dxa"/>
            <w:tcBorders/>
          </w:tcPr>
          <w:p>
            <w:pPr>
              <w:pStyle w:val="TableContents"/>
              <w:bidi w:val="0"/>
              <w:spacing w:before="0" w:after="283"/>
              <w:jc w:val="left"/>
              <w:rPr/>
            </w:pPr>
            <w:r>
              <w:rPr/>
              <w:t>SE International Holdings II LLC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Canada:</w:t>
            </w:r>
          </w:p>
        </w:tc>
      </w:tr>
      <w:tr>
        <w:trPr/>
        <w:tc>
          <w:tcPr>
            <w:tcW w:w="5150" w:type="dxa"/>
            <w:tcBorders/>
          </w:tcPr>
          <w:p>
            <w:pPr>
              <w:pStyle w:val="TableContents"/>
              <w:bidi w:val="0"/>
              <w:spacing w:before="0" w:after="283"/>
              <w:jc w:val="left"/>
              <w:rPr/>
            </w:pPr>
            <w:r>
              <w:rPr/>
              <w:t>CROWN Metal Packaging Canada LP</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Ontario, Canada</w:t>
            </w:r>
          </w:p>
        </w:tc>
      </w:tr>
      <w:tr>
        <w:trPr/>
        <w:tc>
          <w:tcPr>
            <w:tcW w:w="5150" w:type="dxa"/>
            <w:tcBorders/>
          </w:tcPr>
          <w:p>
            <w:pPr>
              <w:pStyle w:val="TableContents"/>
              <w:bidi w:val="0"/>
              <w:spacing w:before="0" w:after="283"/>
              <w:jc w:val="left"/>
              <w:rPr/>
            </w:pPr>
            <w:r>
              <w:rPr/>
              <w:t>3079939 Nova Scotia Company/3079939 Compagnie de la Nouvelle Ecosse</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Nova Scotia, Canada</w:t>
            </w:r>
          </w:p>
        </w:tc>
      </w:tr>
      <w:tr>
        <w:trPr/>
        <w:tc>
          <w:tcPr>
            <w:tcW w:w="5150" w:type="dxa"/>
            <w:tcBorders/>
          </w:tcPr>
          <w:p>
            <w:pPr>
              <w:pStyle w:val="TableContents"/>
              <w:bidi w:val="0"/>
              <w:spacing w:before="0" w:after="283"/>
              <w:jc w:val="left"/>
              <w:rPr/>
            </w:pPr>
            <w:r>
              <w:rPr/>
              <w:t>889273 Ontario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Ontario, Canada</w:t>
            </w:r>
          </w:p>
        </w:tc>
      </w:tr>
      <w:tr>
        <w:trPr/>
        <w:tc>
          <w:tcPr>
            <w:tcW w:w="5150" w:type="dxa"/>
            <w:tcBorders/>
          </w:tcPr>
          <w:p>
            <w:pPr>
              <w:pStyle w:val="TableContents"/>
              <w:bidi w:val="0"/>
              <w:spacing w:before="0" w:after="283"/>
              <w:jc w:val="left"/>
              <w:rPr/>
            </w:pPr>
            <w:r>
              <w:rPr/>
              <w:t>Crown Canadian Holdings ULC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Nova Scotia, Canada</w:t>
            </w:r>
          </w:p>
        </w:tc>
      </w:tr>
      <w:tr>
        <w:trPr/>
        <w:tc>
          <w:tcPr>
            <w:tcW w:w="5150" w:type="dxa"/>
            <w:tcBorders/>
          </w:tcPr>
          <w:p>
            <w:pPr>
              <w:pStyle w:val="TableContents"/>
              <w:bidi w:val="0"/>
              <w:spacing w:before="0" w:after="283"/>
              <w:jc w:val="left"/>
              <w:rPr/>
            </w:pPr>
            <w:r>
              <w:rPr/>
              <w:t>CROWN Metal Packaging Canada Inc.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Ontario, Canada</w:t>
            </w:r>
          </w:p>
        </w:tc>
      </w:tr>
      <w:tr>
        <w:trPr/>
        <w:tc>
          <w:tcPr>
            <w:tcW w:w="5150" w:type="dxa"/>
            <w:tcBorders/>
          </w:tcPr>
          <w:p>
            <w:pPr>
              <w:pStyle w:val="TableContents"/>
              <w:bidi w:val="0"/>
              <w:spacing w:before="0" w:after="283"/>
              <w:jc w:val="left"/>
              <w:rPr/>
            </w:pPr>
            <w:r>
              <w:rPr/>
              <w:t>Signode Canada ULC</w:t>
            </w:r>
          </w:p>
        </w:tc>
        <w:tc>
          <w:tcPr>
            <w:tcW w:w="120"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left"/>
              <w:rPr/>
            </w:pPr>
            <w:r>
              <w:rPr/>
              <w:t>Nova Scotia, Canada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38"/>
        <w:gridCol w:w="120"/>
        <w:gridCol w:w="4947"/>
      </w:tblGrid>
      <w:tr>
        <w:trPr/>
        <w:tc>
          <w:tcPr>
            <w:tcW w:w="51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7" w:type="dxa"/>
            <w:tcBorders/>
            <w:vAlign w:val="center"/>
          </w:tcPr>
          <w:p>
            <w:pPr>
              <w:pStyle w:val="TableContents"/>
              <w:bidi w:val="0"/>
              <w:spacing w:before="0" w:after="283"/>
              <w:jc w:val="left"/>
              <w:rPr>
                <w:sz w:val="4"/>
                <w:szCs w:val="4"/>
              </w:rPr>
            </w:pPr>
            <w:r>
              <w:rPr>
                <w:sz w:val="4"/>
                <w:szCs w:val="4"/>
              </w:rPr>
            </w:r>
          </w:p>
        </w:tc>
      </w:tr>
      <w:tr>
        <w:trPr/>
        <w:tc>
          <w:tcPr>
            <w:tcW w:w="51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120" w:type="dxa"/>
            <w:tcBorders/>
            <w:vAlign w:val="bottom"/>
          </w:tcPr>
          <w:p>
            <w:pPr>
              <w:pStyle w:val="TableContents"/>
              <w:bidi w:val="0"/>
              <w:spacing w:before="0" w:after="283"/>
              <w:jc w:val="left"/>
              <w:rPr/>
            </w:pPr>
            <w:r>
              <w:rPr/>
              <w:t>  </w:t>
            </w:r>
          </w:p>
        </w:tc>
        <w:tc>
          <w:tcPr>
            <w:tcW w:w="49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0205" w:type="dxa"/>
            <w:gridSpan w:val="3"/>
            <w:tcBorders/>
          </w:tcPr>
          <w:p>
            <w:pPr>
              <w:pStyle w:val="TableContents"/>
              <w:bidi w:val="0"/>
              <w:spacing w:before="0" w:after="283"/>
              <w:jc w:val="left"/>
              <w:rPr>
                <w:b/>
              </w:rPr>
            </w:pPr>
            <w:r>
              <w:rPr>
                <w:b/>
              </w:rPr>
              <w:t>France:</w:t>
            </w:r>
          </w:p>
        </w:tc>
      </w:tr>
      <w:tr>
        <w:trPr/>
        <w:tc>
          <w:tcPr>
            <w:tcW w:w="5138" w:type="dxa"/>
            <w:tcBorders/>
          </w:tcPr>
          <w:p>
            <w:pPr>
              <w:pStyle w:val="TableContents"/>
              <w:bidi w:val="0"/>
              <w:spacing w:before="0" w:after="283"/>
              <w:jc w:val="left"/>
              <w:rPr/>
            </w:pPr>
            <w:r>
              <w:rPr/>
              <w:t>Crown Bevcan France SAS</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Crown Développement</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Crown Europe SAS</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Société Civile Immobiliére des Baquets</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Société Civile Immobiliére Rousseau-Ivry</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SPG France Holdings SAS</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c>
          <w:tcPr>
            <w:tcW w:w="5138" w:type="dxa"/>
            <w:tcBorders/>
          </w:tcPr>
          <w:p>
            <w:pPr>
              <w:pStyle w:val="TableContents"/>
              <w:bidi w:val="0"/>
              <w:spacing w:before="0" w:after="283"/>
              <w:jc w:val="left"/>
              <w:rPr/>
            </w:pPr>
            <w:r>
              <w:rPr/>
              <w:t>Signode France SAS</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France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Germany:</w:t>
            </w:r>
          </w:p>
        </w:tc>
      </w:tr>
      <w:tr>
        <w:trPr/>
        <w:tc>
          <w:tcPr>
            <w:tcW w:w="5138" w:type="dxa"/>
            <w:tcBorders/>
          </w:tcPr>
          <w:p>
            <w:pPr>
              <w:pStyle w:val="TableContents"/>
              <w:bidi w:val="0"/>
              <w:spacing w:before="0" w:after="283"/>
              <w:jc w:val="left"/>
              <w:rPr/>
            </w:pPr>
            <w:r>
              <w:rPr/>
              <w:t>Crown Cork &amp; Seal Deutschland Holdings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c>
          <w:tcPr>
            <w:tcW w:w="5138" w:type="dxa"/>
            <w:tcBorders/>
          </w:tcPr>
          <w:p>
            <w:pPr>
              <w:pStyle w:val="TableContents"/>
              <w:bidi w:val="0"/>
              <w:spacing w:before="0" w:after="283"/>
              <w:jc w:val="left"/>
              <w:rPr/>
            </w:pPr>
            <w:r>
              <w:rPr/>
              <w:t>Signode Packaging Systems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c>
          <w:tcPr>
            <w:tcW w:w="5138" w:type="dxa"/>
            <w:tcBorders/>
          </w:tcPr>
          <w:p>
            <w:pPr>
              <w:pStyle w:val="TableContents"/>
              <w:bidi w:val="0"/>
              <w:spacing w:before="0" w:after="283"/>
              <w:jc w:val="left"/>
              <w:rPr/>
            </w:pPr>
            <w:r>
              <w:rPr/>
              <w:t>Mezger Heftsysteme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c>
          <w:tcPr>
            <w:tcW w:w="5138" w:type="dxa"/>
            <w:tcBorders/>
          </w:tcPr>
          <w:p>
            <w:pPr>
              <w:pStyle w:val="TableContents"/>
              <w:bidi w:val="0"/>
              <w:spacing w:before="0" w:after="283"/>
              <w:jc w:val="left"/>
              <w:rPr/>
            </w:pPr>
            <w:r>
              <w:rPr/>
              <w:t>Signode System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c>
          <w:tcPr>
            <w:tcW w:w="5138" w:type="dxa"/>
            <w:tcBorders/>
          </w:tcPr>
          <w:p>
            <w:pPr>
              <w:pStyle w:val="TableContents"/>
              <w:bidi w:val="0"/>
              <w:spacing w:before="0" w:after="283"/>
              <w:jc w:val="left"/>
              <w:rPr/>
            </w:pPr>
            <w:r>
              <w:rPr/>
              <w:t>SPG Germany Service Management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c>
          <w:tcPr>
            <w:tcW w:w="5138" w:type="dxa"/>
            <w:tcBorders/>
          </w:tcPr>
          <w:p>
            <w:pPr>
              <w:pStyle w:val="TableContents"/>
              <w:bidi w:val="0"/>
              <w:spacing w:before="0" w:after="283"/>
              <w:jc w:val="left"/>
              <w:rPr/>
            </w:pPr>
            <w:r>
              <w:rPr/>
              <w:t>SMP Schwede Maschinenbau Weischlitz GmbH</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Germany</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Luxembourg:</w:t>
            </w:r>
          </w:p>
        </w:tc>
      </w:tr>
      <w:tr>
        <w:trPr/>
        <w:tc>
          <w:tcPr>
            <w:tcW w:w="5138" w:type="dxa"/>
            <w:tcBorders/>
          </w:tcPr>
          <w:p>
            <w:pPr>
              <w:pStyle w:val="TableContents"/>
              <w:bidi w:val="0"/>
              <w:spacing w:before="0" w:after="283"/>
              <w:jc w:val="left"/>
              <w:rPr/>
            </w:pPr>
            <w:r>
              <w:rPr/>
              <w:t>Crown Packaging Lux III, S.à r.l.</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Luxembourg</w:t>
            </w:r>
          </w:p>
        </w:tc>
      </w:tr>
      <w:tr>
        <w:trPr/>
        <w:tc>
          <w:tcPr>
            <w:tcW w:w="5138" w:type="dxa"/>
            <w:tcBorders/>
          </w:tcPr>
          <w:p>
            <w:pPr>
              <w:pStyle w:val="TableContents"/>
              <w:bidi w:val="0"/>
              <w:spacing w:before="0" w:after="283"/>
              <w:jc w:val="left"/>
              <w:rPr/>
            </w:pPr>
            <w:r>
              <w:rPr/>
              <w:t>Signode Industrial Group Lux S.A.</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Luxembourg</w:t>
            </w:r>
          </w:p>
        </w:tc>
      </w:tr>
      <w:tr>
        <w:trPr/>
        <w:tc>
          <w:tcPr>
            <w:tcW w:w="5138" w:type="dxa"/>
            <w:tcBorders/>
          </w:tcPr>
          <w:p>
            <w:pPr>
              <w:pStyle w:val="TableContents"/>
              <w:bidi w:val="0"/>
              <w:spacing w:before="0" w:after="283"/>
              <w:jc w:val="left"/>
              <w:rPr/>
            </w:pPr>
            <w:r>
              <w:rPr/>
              <w:t>Signode Luxembourg S.à r.l.</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Luxembourg</w:t>
            </w:r>
          </w:p>
        </w:tc>
      </w:tr>
      <w:tr>
        <w:trPr/>
        <w:tc>
          <w:tcPr>
            <w:tcW w:w="5138" w:type="dxa"/>
            <w:tcBorders/>
          </w:tcPr>
          <w:p>
            <w:pPr>
              <w:pStyle w:val="TableContents"/>
              <w:bidi w:val="0"/>
              <w:spacing w:before="0" w:after="283"/>
              <w:jc w:val="left"/>
              <w:rPr/>
            </w:pPr>
            <w:r>
              <w:rPr/>
              <w:t>SPG Industrial Packaging S.à r.l.</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Luxembourg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Mexico:</w:t>
            </w:r>
          </w:p>
        </w:tc>
      </w:tr>
      <w:tr>
        <w:trPr/>
        <w:tc>
          <w:tcPr>
            <w:tcW w:w="5138" w:type="dxa"/>
            <w:tcBorders/>
          </w:tcPr>
          <w:p>
            <w:pPr>
              <w:pStyle w:val="TableContents"/>
              <w:bidi w:val="0"/>
              <w:spacing w:before="0" w:after="283"/>
              <w:jc w:val="left"/>
              <w:rPr/>
            </w:pPr>
            <w:r>
              <w:rPr/>
              <w:t>Crown Envases Mexico,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Fábricas Monterrey,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CROWN Famosa,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Silices de Veracruz,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Silice del Istmo,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Vichisa, S.A.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Signode Mexico S. de R.L.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c>
          <w:tcPr>
            <w:tcW w:w="5138" w:type="dxa"/>
            <w:tcBorders/>
          </w:tcPr>
          <w:p>
            <w:pPr>
              <w:pStyle w:val="TableContents"/>
              <w:bidi w:val="0"/>
              <w:spacing w:before="0" w:after="283"/>
              <w:jc w:val="left"/>
              <w:rPr/>
            </w:pPr>
            <w:r>
              <w:rPr/>
              <w:t>Simplimatic Automation de Mexico, S. de R.L. de C.V.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Mexico</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Netherlands:</w:t>
            </w:r>
          </w:p>
        </w:tc>
      </w:tr>
      <w:tr>
        <w:trPr/>
        <w:tc>
          <w:tcPr>
            <w:tcW w:w="5138" w:type="dxa"/>
            <w:tcBorders/>
          </w:tcPr>
          <w:p>
            <w:pPr>
              <w:pStyle w:val="TableContents"/>
              <w:bidi w:val="0"/>
              <w:spacing w:before="0" w:after="283"/>
              <w:jc w:val="left"/>
              <w:rPr/>
            </w:pPr>
            <w:r>
              <w:rPr/>
              <w:t>FAMOSA B.V.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Netherlands</w:t>
            </w:r>
          </w:p>
        </w:tc>
      </w:tr>
      <w:tr>
        <w:trPr/>
        <w:tc>
          <w:tcPr>
            <w:tcW w:w="5138" w:type="dxa"/>
            <w:tcBorders/>
          </w:tcPr>
          <w:p>
            <w:pPr>
              <w:pStyle w:val="TableContents"/>
              <w:bidi w:val="0"/>
              <w:spacing w:before="0" w:after="283"/>
              <w:jc w:val="left"/>
              <w:rPr/>
            </w:pPr>
            <w:r>
              <w:rPr/>
              <w:t>SIVESA B.V.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Netherlands</w:t>
            </w:r>
          </w:p>
        </w:tc>
      </w:tr>
      <w:tr>
        <w:trPr/>
        <w:tc>
          <w:tcPr>
            <w:tcW w:w="5138" w:type="dxa"/>
            <w:tcBorders/>
          </w:tcPr>
          <w:p>
            <w:pPr>
              <w:pStyle w:val="TableContents"/>
              <w:bidi w:val="0"/>
              <w:spacing w:before="0" w:after="283"/>
              <w:jc w:val="left"/>
              <w:rPr/>
            </w:pPr>
            <w:r>
              <w:rPr/>
              <w:t>SISA Mexico B.V.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Netherlands</w:t>
            </w:r>
          </w:p>
        </w:tc>
      </w:tr>
      <w:tr>
        <w:trPr/>
        <w:tc>
          <w:tcPr>
            <w:tcW w:w="5138" w:type="dxa"/>
            <w:tcBorders/>
          </w:tcPr>
          <w:p>
            <w:pPr>
              <w:pStyle w:val="TableContents"/>
              <w:bidi w:val="0"/>
              <w:spacing w:before="0" w:after="283"/>
              <w:jc w:val="left"/>
              <w:rPr/>
            </w:pPr>
            <w:r>
              <w:rPr/>
              <w:t>Signode Netherlands B.V.</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Netherlands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63"/>
        <w:gridCol w:w="120"/>
        <w:gridCol w:w="4922"/>
      </w:tblGrid>
      <w:tr>
        <w:trPr/>
        <w:tc>
          <w:tcPr>
            <w:tcW w:w="5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120" w:type="dxa"/>
            <w:tcBorders/>
            <w:vAlign w:val="bottom"/>
          </w:tcPr>
          <w:p>
            <w:pPr>
              <w:pStyle w:val="TableContents"/>
              <w:bidi w:val="0"/>
              <w:spacing w:before="0" w:after="283"/>
              <w:jc w:val="left"/>
              <w:rPr/>
            </w:pPr>
            <w:r>
              <w:rPr/>
              <w:t>  </w:t>
            </w:r>
          </w:p>
        </w:tc>
        <w:tc>
          <w:tcPr>
            <w:tcW w:w="4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0205" w:type="dxa"/>
            <w:gridSpan w:val="3"/>
            <w:tcBorders/>
          </w:tcPr>
          <w:p>
            <w:pPr>
              <w:pStyle w:val="TableContents"/>
              <w:bidi w:val="0"/>
              <w:spacing w:before="0" w:after="283"/>
              <w:jc w:val="left"/>
              <w:rPr>
                <w:b/>
              </w:rPr>
            </w:pPr>
            <w:r>
              <w:rPr>
                <w:b/>
              </w:rPr>
              <w:t>Switzerland:</w:t>
            </w:r>
          </w:p>
        </w:tc>
      </w:tr>
      <w:tr>
        <w:trPr/>
        <w:tc>
          <w:tcPr>
            <w:tcW w:w="5163" w:type="dxa"/>
            <w:tcBorders/>
          </w:tcPr>
          <w:p>
            <w:pPr>
              <w:pStyle w:val="TableContents"/>
              <w:bidi w:val="0"/>
              <w:spacing w:before="0" w:after="283"/>
              <w:jc w:val="left"/>
              <w:rPr/>
            </w:pPr>
            <w:r>
              <w:rPr/>
              <w:t>Crown Packaging European Holdings GmbH</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Switzerland</w:t>
            </w:r>
          </w:p>
        </w:tc>
      </w:tr>
      <w:tr>
        <w:trPr/>
        <w:tc>
          <w:tcPr>
            <w:tcW w:w="5163" w:type="dxa"/>
            <w:tcBorders/>
          </w:tcPr>
          <w:p>
            <w:pPr>
              <w:pStyle w:val="TableContents"/>
              <w:bidi w:val="0"/>
              <w:spacing w:before="0" w:after="283"/>
              <w:jc w:val="left"/>
              <w:rPr/>
            </w:pPr>
            <w:r>
              <w:rPr/>
              <w:t>Crown Packaging European Division GmbH</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Switzerland</w:t>
            </w:r>
          </w:p>
        </w:tc>
      </w:tr>
      <w:tr>
        <w:trPr/>
        <w:tc>
          <w:tcPr>
            <w:tcW w:w="5163" w:type="dxa"/>
            <w:tcBorders/>
          </w:tcPr>
          <w:p>
            <w:pPr>
              <w:pStyle w:val="TableContents"/>
              <w:bidi w:val="0"/>
              <w:spacing w:before="0" w:after="283"/>
              <w:jc w:val="left"/>
              <w:rPr/>
            </w:pPr>
            <w:r>
              <w:rPr/>
              <w:t>Signode Switzerland GmbH</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Switzerland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England and Wales:</w:t>
            </w:r>
          </w:p>
        </w:tc>
      </w:tr>
      <w:tr>
        <w:trPr/>
        <w:tc>
          <w:tcPr>
            <w:tcW w:w="5163" w:type="dxa"/>
            <w:tcBorders/>
          </w:tcPr>
          <w:p>
            <w:pPr>
              <w:pStyle w:val="TableContents"/>
              <w:bidi w:val="0"/>
              <w:spacing w:before="0" w:after="283"/>
              <w:jc w:val="left"/>
              <w:rPr/>
            </w:pPr>
            <w:r>
              <w:rPr/>
              <w:t>Crown UK Holdings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CarnaudMetalbox Engineering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CarnaudMetalbox Group UK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CarnaudMetalbox Overseas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Crown Packaging Distribution UK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Crown Packaging Manufacturing UK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Signode UK Ltd.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CarnaudMetalbox Mec – A – Tec Services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r>
        <w:trPr/>
        <w:tc>
          <w:tcPr>
            <w:tcW w:w="5163" w:type="dxa"/>
            <w:tcBorders/>
          </w:tcPr>
          <w:p>
            <w:pPr>
              <w:pStyle w:val="TableContents"/>
              <w:bidi w:val="0"/>
              <w:spacing w:before="0" w:after="283"/>
              <w:jc w:val="left"/>
              <w:rPr/>
            </w:pPr>
            <w:r>
              <w:rPr/>
              <w:t>Crown Packaging Services EMEA Limited</w:t>
            </w:r>
          </w:p>
        </w:tc>
        <w:tc>
          <w:tcPr>
            <w:tcW w:w="120"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England and Wales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Restrictions for Offers </w:t>
      </w:r>
    </w:p>
    <w:p>
      <w:pPr>
        <w:pStyle w:val="TextBody"/>
        <w:bidi w:val="0"/>
        <w:spacing w:before="0" w:after="0"/>
        <w:jc w:val="center"/>
        <w:rPr>
          <w:rFonts w:ascii="Times New Roman" w:hAnsi="Times New Roman"/>
          <w:b/>
          <w:sz w:val="20"/>
        </w:rPr>
      </w:pPr>
      <w:r>
        <w:rPr>
          <w:rFonts w:ascii="Times New Roman" w:hAnsi="Times New Roman"/>
          <w:b/>
          <w:sz w:val="20"/>
        </w:rPr>
        <w:t xml:space="preserve">and Sales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1. (a)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 </w:t>
      </w:r>
    </w:p>
    <w:p>
      <w:pPr>
        <w:pStyle w:val="TextBody"/>
        <w:bidi w:val="0"/>
        <w:spacing w:before="120" w:after="0"/>
        <w:jc w:val="left"/>
        <w:rPr/>
      </w:pPr>
      <w:r>
        <w:rPr/>
        <w:t>“</w:t>
      </w:r>
      <w:r>
        <w:rPr>
          <w:rFonts w:ascii="Times New Roman" w:hAnsi="Times New Roman"/>
          <w:sz w:val="20"/>
        </w:rPr>
        <w:t>The Securities covered hereby have not been registered under the U.S. Securities Act of 1933 (the “</w:t>
      </w:r>
      <w:r>
        <w:rPr>
          <w:rFonts w:ascii="Times New Roman" w:hAnsi="Times New Roman"/>
          <w:sz w:val="20"/>
          <w:u w:val="single"/>
        </w:rPr>
        <w:t>Act</w:t>
      </w:r>
      <w:r>
        <w:rPr>
          <w:rFonts w:ascii="Times New Roman" w:hAnsi="Times New Roman"/>
          <w:sz w:val="20"/>
        </w:rPr>
        <w:t xml:space="preserve">”)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also represents and agrees that it has not entered and will not enter into any contractual arrangement with any distributor with respect to the distribution of the Securities, except with its Affiliates or with the prior written consent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(c) Terms used in this section have the meanings given to them by Regulation 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Each Initial Purchaser, severally and not jointly represents and warrants and agrees with the Companies that: </w:t>
      </w:r>
    </w:p>
    <w:p>
      <w:pPr>
        <w:pStyle w:val="TextBody"/>
        <w:bidi w:val="0"/>
        <w:spacing w:before="120" w:after="0"/>
        <w:jc w:val="left"/>
        <w:rPr>
          <w:rFonts w:ascii="Times New Roman" w:hAnsi="Times New Roman"/>
          <w:sz w:val="20"/>
        </w:rPr>
      </w:pPr>
      <w:r>
        <w:rPr>
          <w:rFonts w:ascii="Times New Roman" w:hAnsi="Times New Roman"/>
          <w:sz w:val="20"/>
        </w:rPr>
        <w:t>(a) it has not offered, sold or otherwise made available and will not offer, sell or otherwise make available any Notes to any retail investor in the European Economic Area. For the purposes of this provision: (a) the expression “retail investor” means a person who is one (or more) of: (i) a “retail client” as defined in point (11) of Article 4(1) of Directive 2014/65/EU (as amended, “</w:t>
      </w:r>
      <w:r>
        <w:rPr>
          <w:rFonts w:ascii="Times New Roman" w:hAnsi="Times New Roman"/>
          <w:sz w:val="20"/>
          <w:u w:val="single"/>
        </w:rPr>
        <w:t>MiFID II</w:t>
      </w:r>
      <w:r>
        <w:rPr>
          <w:rFonts w:ascii="Times New Roman" w:hAnsi="Times New Roman"/>
          <w:sz w:val="20"/>
        </w:rPr>
        <w:t xml:space="preserve">”); (ii) 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so as to enable an investor to decide to purchase or subscribe for the Notes; </w:t>
      </w:r>
    </w:p>
    <w:p>
      <w:pPr>
        <w:pStyle w:val="TextBody"/>
        <w:bidi w:val="0"/>
        <w:spacing w:before="120" w:after="0"/>
        <w:jc w:val="left"/>
        <w:rPr>
          <w:rFonts w:ascii="Times New Roman" w:hAnsi="Times New Roman"/>
          <w:sz w:val="20"/>
        </w:rPr>
      </w:pPr>
      <w:r>
        <w:rPr>
          <w:rFonts w:ascii="Times New Roman" w:hAnsi="Times New Roman"/>
          <w:sz w:val="20"/>
        </w:rPr>
        <w:t xml:space="preserve">(b)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Companies; </w:t>
      </w:r>
    </w:p>
    <w:p>
      <w:pPr>
        <w:pStyle w:val="TextBody"/>
        <w:bidi w:val="0"/>
        <w:spacing w:before="120" w:after="0"/>
        <w:jc w:val="left"/>
        <w:rPr>
          <w:rFonts w:ascii="Times New Roman" w:hAnsi="Times New Roman"/>
          <w:sz w:val="20"/>
        </w:rPr>
      </w:pPr>
      <w:r>
        <w:rPr>
          <w:rFonts w:ascii="Times New Roman" w:hAnsi="Times New Roman"/>
          <w:sz w:val="20"/>
        </w:rPr>
        <w:t xml:space="preserve">(c) it has not offered, sold or otherwise made available and will not offer, sell or otherwise make available any Notes to any retail investor in the United Kingdom. For the purposes of this provision: (a) the expression “retail investor” means a person who is one (or more) of: (i) a retail client as defined in point (8) of Article 2 of Regulation (EU) 2017/565 as it forms part of United Kingdom domestic law by virtue of the EUWA; or (ii) a customer within the meaning of the provisions of the FSMA and any rules or regulations made under the FSMA to implement Directive (EU) 2016/97, where that customer would not qualify as a professional client, as defined in point (8) of Article 2(1) of Regulation (EU) 600/2014 as it forms part of United Kingdom domestic law by virtue of the EUWA; or (iii) not a qualified investor as defined in Article 2(e) of Regulation (EU) 2017/1129 as it forms part of United Kingdom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 </w:t>
      </w:r>
    </w:p>
    <w:p>
      <w:pPr>
        <w:pStyle w:val="TextBody"/>
        <w:bidi w:val="0"/>
        <w:spacing w:before="120" w:after="0"/>
        <w:jc w:val="left"/>
        <w:rPr>
          <w:rFonts w:ascii="Times New Roman" w:hAnsi="Times New Roman"/>
          <w:sz w:val="20"/>
        </w:rPr>
      </w:pPr>
      <w:r>
        <w:rPr>
          <w:rFonts w:ascii="Times New Roman" w:hAnsi="Times New Roman"/>
          <w:sz w:val="20"/>
        </w:rPr>
        <w:t xml:space="preserve">(d) it has complied and will comply with all applicable provisions of the FSMA with respect to anything done by it in relation to the Notes in, from or otherwise involving the United Kingdom; </w:t>
      </w:r>
    </w:p>
    <w:p>
      <w:pPr>
        <w:pStyle w:val="TextBody"/>
        <w:bidi w:val="0"/>
        <w:spacing w:before="120" w:after="0"/>
        <w:jc w:val="left"/>
        <w:rPr>
          <w:rFonts w:ascii="Times New Roman" w:hAnsi="Times New Roman"/>
          <w:sz w:val="20"/>
        </w:rPr>
      </w:pPr>
      <w:r>
        <w:rPr>
          <w:rFonts w:ascii="Times New Roman" w:hAnsi="Times New Roman"/>
          <w:sz w:val="20"/>
        </w:rPr>
        <w:t>(e) with respect to offers and sales made in France, that it has not offered or sold, and will not offer or sell, directly or indirectly, Securities to the public in France (other than to qualified investors). It has only made and will only make offers, sales and distribution of the Notes in France to qualified investors (</w:t>
      </w:r>
      <w:r>
        <w:rPr>
          <w:rFonts w:ascii="Times New Roman" w:hAnsi="Times New Roman"/>
          <w:i/>
          <w:sz w:val="20"/>
        </w:rPr>
        <w:t>investisseurs qualifiés</w:t>
      </w:r>
      <w:r>
        <w:rPr>
          <w:rFonts w:ascii="Times New Roman" w:hAnsi="Times New Roman"/>
          <w:sz w:val="20"/>
        </w:rPr>
        <w:t xml:space="preserve">), as defined in point (e) of Article 2 of Regulation (EU) 2017/1129 of the European Parliament and of the Council of 14 June 2017 as amended from time to time and any applicable French law and regulation implementing the Prospectus Regulation and related regulations in France;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with respect to offers and sales made in Canada, it has only made and will only make offers, sales and distribution of the Notes in Canada to purchasers (i) purchasing, or deemed to be purchasing, as principal that are “accredited investors”, as defined in National Instrument 45-106 -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as applicable, and (ii) that are “permitted clients”, as defined in National Instrument 31-103 - </w:t>
      </w:r>
      <w:r>
        <w:rPr>
          <w:rFonts w:ascii="Times New Roman" w:hAnsi="Times New Roman"/>
          <w:i/>
          <w:sz w:val="20"/>
        </w:rPr>
        <w:t>Registration Requirements, Exemptions and Ongoing Registrant Obligations</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23242</Words>
  <Characters>124778</Characters>
  <CharactersWithSpaces>147859</CharactersWithSpaces>
  <Paragraphs>1561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