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9"/>
          <w:szCs w:val="29"/>
          <w:b w:val="1"/>
          <w:bCs w:val="1"/>
          <w:color w:val="auto"/>
        </w:rPr>
        <w:t>FORM 11-K</w:t>
      </w:r>
    </w:p>
    <w:p>
      <w:pPr>
        <w:sectPr>
          <w:pgSz w:w="11900" w:h="16838" w:orient="portrait"/>
          <w:cols w:equalWidth="0" w:num="1">
            <w:col w:w="9559"/>
          </w:cols>
          <w:pgMar w:left="900" w:top="1440" w:right="1440" w:bottom="1440" w:gutter="0" w:footer="0" w:header="0"/>
        </w:sect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 ]</w:t>
      </w:r>
    </w:p>
    <w:p>
      <w:pPr>
        <w:spacing w:after="0" w:line="20" w:lineRule="exact"/>
        <w:rPr>
          <w:sz w:val="24"/>
          <w:szCs w:val="24"/>
          <w:color w:val="auto"/>
        </w:rPr>
      </w:pPr>
      <w:r>
        <w:rPr>
          <w:sz w:val="24"/>
          <w:szCs w:val="24"/>
          <w:color w:val="auto"/>
        </w:rPr>
        <w:br w:type="column"/>
      </w: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ANNUAL REPORT PURSUANT TO SECTION 15(d)</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0" w:lineRule="exact"/>
        <w:rPr>
          <w:sz w:val="24"/>
          <w:szCs w:val="24"/>
          <w:color w:val="auto"/>
        </w:rPr>
      </w:pPr>
    </w:p>
    <w:p>
      <w:pPr>
        <w:sectPr>
          <w:pgSz w:w="11900" w:h="16838" w:orient="portrait"/>
          <w:cols w:equalWidth="0" w:num="2">
            <w:col w:w="920" w:space="720"/>
            <w:col w:w="7919"/>
          </w:cols>
          <w:pgMar w:left="900" w:top="1440" w:right="1440" w:bottom="1440" w:gutter="0" w:footer="0" w:header="0"/>
          <w:type w:val="continuous"/>
        </w:sectPr>
      </w:pPr>
    </w:p>
    <w:p>
      <w:pPr>
        <w:spacing w:after="0" w:line="34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21"/>
          <w:szCs w:val="21"/>
          <w:b w:val="1"/>
          <w:bCs w:val="1"/>
          <w:color w:val="auto"/>
        </w:rPr>
        <w:t>For the fiscal year ended December 31, 2025</w:t>
      </w:r>
    </w:p>
    <w:p>
      <w:pPr>
        <w:spacing w:after="0" w:line="299"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22"/>
          <w:szCs w:val="22"/>
          <w:b w:val="1"/>
          <w:bCs w:val="1"/>
          <w:color w:val="auto"/>
        </w:rPr>
        <w:t>Commission File Number 0-50189</w:t>
      </w:r>
    </w:p>
    <w:p>
      <w:pPr>
        <w:sectPr>
          <w:pgSz w:w="11900" w:h="16838" w:orient="portrait"/>
          <w:cols w:equalWidth="0" w:num="1">
            <w:col w:w="9559"/>
          </w:cols>
          <w:pgMar w:left="900" w:top="1440" w:right="1440"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left="2200" w:hanging="469"/>
        <w:spacing w:after="0"/>
        <w:tabs>
          <w:tab w:leader="none" w:pos="220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Full title of the plan:</w:t>
      </w:r>
    </w:p>
    <w:p>
      <w:pPr>
        <w:spacing w:after="0" w:line="287" w:lineRule="exact"/>
        <w:rPr>
          <w:rFonts w:ascii="Times New Roman" w:cs="Times New Roman" w:eastAsia="Times New Roman" w:hAnsi="Times New Roman"/>
          <w:sz w:val="22"/>
          <w:szCs w:val="22"/>
          <w:b w:val="1"/>
          <w:bCs w:val="1"/>
          <w:color w:val="auto"/>
        </w:rPr>
      </w:pPr>
    </w:p>
    <w:p>
      <w:pPr>
        <w:ind w:left="2200" w:right="4119"/>
        <w:spacing w:after="0" w:line="31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Crown Cork &amp; Seal Company, Inc. 401(k) Retirement Savings Plan</w:t>
      </w:r>
    </w:p>
    <w:p>
      <w:pPr>
        <w:spacing w:after="0" w:line="180" w:lineRule="exact"/>
        <w:rPr>
          <w:rFonts w:ascii="Times New Roman" w:cs="Times New Roman" w:eastAsia="Times New Roman" w:hAnsi="Times New Roman"/>
          <w:sz w:val="22"/>
          <w:szCs w:val="22"/>
          <w:b w:val="1"/>
          <w:bCs w:val="1"/>
          <w:color w:val="auto"/>
        </w:rPr>
      </w:pPr>
    </w:p>
    <w:p>
      <w:pPr>
        <w:ind w:left="2200" w:right="2079" w:hanging="457"/>
        <w:spacing w:after="0" w:line="287" w:lineRule="auto"/>
        <w:tabs>
          <w:tab w:leader="none" w:pos="220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 of the Securities held pursuant to the plan and the address of its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CROWN HOLDINGS, INC.</w:t>
      </w:r>
    </w:p>
    <w:p>
      <w:pPr>
        <w:spacing w:after="0" w:line="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14025 Riveredge Drive, Suite 300</w:t>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Tampa, FL 33637-2015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-375285</wp:posOffset>
            </wp:positionH>
            <wp:positionV relativeFrom="paragraph">
              <wp:posOffset>2887980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40"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401(k) Retirement Savings Plan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58"/>
        </w:trPr>
        <w:tc>
          <w:tcPr>
            <w:tcW w:w="8460" w:type="dxa"/>
            <w:vAlign w:val="bottom"/>
          </w:tcPr>
          <w:p>
            <w:pPr>
              <w:spacing w:after="0"/>
              <w:rPr>
                <w:sz w:val="22"/>
                <w:szCs w:val="22"/>
                <w:color w:val="auto"/>
              </w:rPr>
            </w:pPr>
          </w:p>
        </w:tc>
        <w:tc>
          <w:tcPr>
            <w:tcW w:w="2300" w:type="dxa"/>
            <w:vAlign w:val="bottom"/>
          </w:tcPr>
          <w:p>
            <w:pPr>
              <w:ind w:left="1700"/>
              <w:spacing w:after="0"/>
              <w:rPr>
                <w:sz w:val="20"/>
                <w:szCs w:val="20"/>
                <w:color w:val="auto"/>
              </w:rPr>
            </w:pPr>
            <w:r>
              <w:rPr>
                <w:rFonts w:ascii="Times New Roman" w:cs="Times New Roman" w:eastAsia="Times New Roman" w:hAnsi="Times New Roman"/>
                <w:sz w:val="20"/>
                <w:szCs w:val="20"/>
                <w:color w:val="auto"/>
                <w:w w:val="96"/>
              </w:rPr>
              <w:t>Page(s)</w:t>
            </w:r>
          </w:p>
        </w:tc>
      </w:tr>
      <w:tr>
        <w:trPr>
          <w:trHeight w:val="526"/>
        </w:trPr>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2300" w:type="dxa"/>
            <w:vAlign w:val="bottom"/>
          </w:tcPr>
          <w:p>
            <w:pPr>
              <w:jc w:val="center"/>
              <w:ind w:left="1621"/>
              <w:spacing w:after="0"/>
              <w:rPr>
                <w:sz w:val="20"/>
                <w:szCs w:val="20"/>
                <w:color w:val="auto"/>
              </w:rPr>
            </w:pPr>
            <w:r>
              <w:rPr>
                <w:rFonts w:ascii="Times New Roman" w:cs="Times New Roman" w:eastAsia="Times New Roman" w:hAnsi="Times New Roman"/>
                <w:sz w:val="20"/>
                <w:szCs w:val="20"/>
                <w:color w:val="auto"/>
                <w:w w:val="99"/>
              </w:rPr>
              <w:t>1</w:t>
            </w:r>
          </w:p>
        </w:tc>
      </w:tr>
      <w:tr>
        <w:trPr>
          <w:trHeight w:val="527"/>
        </w:trPr>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Financial Statements</w:t>
            </w:r>
          </w:p>
        </w:tc>
        <w:tc>
          <w:tcPr>
            <w:tcW w:w="2300" w:type="dxa"/>
            <w:vAlign w:val="bottom"/>
          </w:tcPr>
          <w:p>
            <w:pPr>
              <w:spacing w:after="0"/>
              <w:rPr>
                <w:sz w:val="24"/>
                <w:szCs w:val="24"/>
                <w:color w:val="auto"/>
              </w:rPr>
            </w:pPr>
          </w:p>
        </w:tc>
      </w:tr>
      <w:tr>
        <w:trPr>
          <w:trHeight w:val="527"/>
        </w:trPr>
        <w:tc>
          <w:tcPr>
            <w:tcW w:w="8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Statements of Net Assets Available for Benefits as of December 31, 2025 and 2024</w:t>
            </w:r>
          </w:p>
        </w:tc>
        <w:tc>
          <w:tcPr>
            <w:tcW w:w="2300" w:type="dxa"/>
            <w:vAlign w:val="bottom"/>
          </w:tcPr>
          <w:p>
            <w:pPr>
              <w:jc w:val="center"/>
              <w:ind w:left="1621"/>
              <w:spacing w:after="0"/>
              <w:rPr>
                <w:sz w:val="20"/>
                <w:szCs w:val="20"/>
                <w:color w:val="auto"/>
              </w:rPr>
            </w:pPr>
            <w:r>
              <w:rPr>
                <w:rFonts w:ascii="Times New Roman" w:cs="Times New Roman" w:eastAsia="Times New Roman" w:hAnsi="Times New Roman"/>
                <w:sz w:val="20"/>
                <w:szCs w:val="20"/>
                <w:color w:val="auto"/>
                <w:w w:val="99"/>
              </w:rPr>
              <w:t>3</w:t>
            </w:r>
          </w:p>
        </w:tc>
      </w:tr>
      <w:tr>
        <w:trPr>
          <w:trHeight w:val="471"/>
        </w:trPr>
        <w:tc>
          <w:tcPr>
            <w:tcW w:w="8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Statements of Changes in Net Assets Available for Benefits for the years ended</w:t>
            </w:r>
          </w:p>
        </w:tc>
        <w:tc>
          <w:tcPr>
            <w:tcW w:w="2300" w:type="dxa"/>
            <w:vAlign w:val="bottom"/>
          </w:tcPr>
          <w:p>
            <w:pPr>
              <w:jc w:val="center"/>
              <w:ind w:left="1621"/>
              <w:spacing w:after="0"/>
              <w:rPr>
                <w:sz w:val="20"/>
                <w:szCs w:val="20"/>
                <w:color w:val="auto"/>
              </w:rPr>
            </w:pPr>
            <w:r>
              <w:rPr>
                <w:rFonts w:ascii="Times New Roman" w:cs="Times New Roman" w:eastAsia="Times New Roman" w:hAnsi="Times New Roman"/>
                <w:sz w:val="20"/>
                <w:szCs w:val="20"/>
                <w:color w:val="auto"/>
                <w:w w:val="99"/>
              </w:rPr>
              <w:t>4</w:t>
            </w:r>
          </w:p>
        </w:tc>
      </w:tr>
      <w:tr>
        <w:trPr>
          <w:trHeight w:val="258"/>
        </w:trPr>
        <w:tc>
          <w:tcPr>
            <w:tcW w:w="8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December 31, 2025 and 2024</w:t>
            </w:r>
          </w:p>
        </w:tc>
        <w:tc>
          <w:tcPr>
            <w:tcW w:w="2300" w:type="dxa"/>
            <w:vAlign w:val="bottom"/>
          </w:tcPr>
          <w:p>
            <w:pPr>
              <w:spacing w:after="0"/>
              <w:rPr>
                <w:sz w:val="22"/>
                <w:szCs w:val="22"/>
                <w:color w:val="auto"/>
              </w:rPr>
            </w:pPr>
          </w:p>
        </w:tc>
      </w:tr>
      <w:tr>
        <w:trPr>
          <w:trHeight w:val="513"/>
        </w:trPr>
        <w:tc>
          <w:tcPr>
            <w:tcW w:w="8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Notes to Financial Statements</w:t>
            </w:r>
          </w:p>
        </w:tc>
        <w:tc>
          <w:tcPr>
            <w:tcW w:w="230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8"/>
              </w:rPr>
              <w:t>5-10</w:t>
            </w:r>
          </w:p>
        </w:tc>
      </w:tr>
      <w:tr>
        <w:trPr>
          <w:trHeight w:val="527"/>
        </w:trPr>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Supplemental Information *</w:t>
            </w:r>
          </w:p>
        </w:tc>
        <w:tc>
          <w:tcPr>
            <w:tcW w:w="2300" w:type="dxa"/>
            <w:vAlign w:val="bottom"/>
          </w:tcPr>
          <w:p>
            <w:pPr>
              <w:spacing w:after="0"/>
              <w:rPr>
                <w:sz w:val="24"/>
                <w:szCs w:val="24"/>
                <w:color w:val="auto"/>
              </w:rPr>
            </w:pPr>
          </w:p>
        </w:tc>
      </w:tr>
      <w:tr>
        <w:trPr>
          <w:trHeight w:val="527"/>
        </w:trPr>
        <w:tc>
          <w:tcPr>
            <w:tcW w:w="8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Schedule H, Line 4a – Schedule of Delinquent Participant Contributions</w:t>
            </w:r>
          </w:p>
        </w:tc>
        <w:tc>
          <w:tcPr>
            <w:tcW w:w="230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11</w:t>
            </w:r>
          </w:p>
        </w:tc>
      </w:tr>
      <w:tr>
        <w:trPr>
          <w:trHeight w:val="526"/>
        </w:trPr>
        <w:tc>
          <w:tcPr>
            <w:tcW w:w="8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Schedule H, Line 4i – Schedule of Assets (Held at End of Year)</w:t>
            </w:r>
          </w:p>
        </w:tc>
        <w:tc>
          <w:tcPr>
            <w:tcW w:w="230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12</w:t>
            </w:r>
          </w:p>
        </w:tc>
      </w:tr>
      <w:tr>
        <w:trPr>
          <w:trHeight w:val="527"/>
        </w:trPr>
        <w:tc>
          <w:tcPr>
            <w:tcW w:w="8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Exhibit Index</w:t>
            </w:r>
          </w:p>
        </w:tc>
        <w:tc>
          <w:tcPr>
            <w:tcW w:w="230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13</w:t>
            </w:r>
          </w:p>
        </w:tc>
      </w:tr>
      <w:tr>
        <w:trPr>
          <w:trHeight w:val="526"/>
        </w:trPr>
        <w:tc>
          <w:tcPr>
            <w:tcW w:w="8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Signature</w:t>
            </w:r>
          </w:p>
        </w:tc>
        <w:tc>
          <w:tcPr>
            <w:tcW w:w="230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9"/>
              </w:rPr>
              <w:t>13</w:t>
            </w: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80" w:hanging="172"/>
        <w:spacing w:after="0" w:line="282" w:lineRule="auto"/>
        <w:tabs>
          <w:tab w:leader="none" w:pos="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supplemental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00" w:lineRule="exact"/>
        <w:rPr>
          <w:sz w:val="20"/>
          <w:szCs w:val="20"/>
          <w:color w:val="auto"/>
        </w:rPr>
      </w:pPr>
    </w:p>
    <w:p>
      <w:pPr>
        <w:spacing w:after="0" w:line="29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To the Participants of Crown Cork &amp; Seal Company, Inc. 401(k) Retirement Savings Plan and Members of the Audit Committee and Benefit Plans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7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We have audited the accompanying statements of net assets available for benefits of Crown Cork &amp; Seal Company, Inc. 401(k) Retirement Savings Plan (the "Plan") as of December 31, 2025 and 2024, and the related statements of changes in net assets available for benefits for the each of the two years in the period ended December 31, 2025, and the related notes and schedules (collectively referred to as the "financial statements"). In our opinion, the financial statements present fairly, in all material respects, the net assets available for benefits of the Plan as of December 31, 2025 and 2024, and the changes in net assets available for benefits for each of the two years in the period ended December 31, 2025, in conformity with accounting principles generally accepted in the United States of America.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These financial statements are the responsibility of the Plan’s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0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3" w:name="page4"/>
    <w:bookmarkEnd w:id="3"/>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Information</w:t>
      </w:r>
    </w:p>
    <w:p>
      <w:pPr>
        <w:spacing w:after="0" w:line="27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The supplemental information in the accompanying Schedule of Assets (Held at End of Year) as of December 31, 2025, and the Schedule of Delinquent Participant Contributions for the year ended December 31, 2025, have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WithumSmith+Brown, PC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auditor of the Crown Cork &amp; Seal Company, Inc. 401(k) Retirement Savings Plan since 2024.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Whippany, New Jersey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18,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PCAOB ID Number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22"/>
          <w:szCs w:val="22"/>
          <w:b w:val="1"/>
          <w:bCs w:val="1"/>
          <w:color w:val="auto"/>
        </w:rPr>
        <w:t>CROWN CORK &amp; SEAL COMPANY, INC.</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401(k) RETIREMENT SAVINGS PLAN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Statements of Net Assets Available for Benefits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0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2880" w:type="dxa"/>
            <w:vAlign w:val="bottom"/>
            <w:tcBorders>
              <w:top w:val="single" w:sz="8" w:color="auto"/>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1240" w:type="dxa"/>
            <w:vAlign w:val="bottom"/>
            <w:tcBorders>
              <w:top w:val="single" w:sz="8" w:color="auto"/>
              <w:bottom w:val="single" w:sz="8" w:color="auto"/>
            </w:tcBorders>
          </w:tcPr>
          <w:p>
            <w:pPr>
              <w:spacing w:after="0"/>
              <w:rPr>
                <w:sz w:val="23"/>
                <w:szCs w:val="23"/>
                <w:color w:val="auto"/>
              </w:rPr>
            </w:pPr>
          </w:p>
        </w:tc>
      </w:tr>
      <w:tr>
        <w:trPr>
          <w:trHeight w:val="263"/>
        </w:trPr>
        <w:tc>
          <w:tcPr>
            <w:tcW w:w="60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4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57"/>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Investments, at fair value</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185,564,910</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263,806,407</w:t>
            </w:r>
          </w:p>
        </w:tc>
      </w:tr>
      <w:tr>
        <w:trPr>
          <w:trHeight w:val="256"/>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Collective investment trusts</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147,383,904</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32,690,815</w:t>
            </w: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Crown Holdings, Inc. Stock Fund</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15,736,605</w:t>
            </w:r>
          </w:p>
        </w:tc>
        <w:tc>
          <w:tcPr>
            <w:tcW w:w="13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14,781,046</w:t>
            </w:r>
          </w:p>
        </w:tc>
      </w:tr>
      <w:tr>
        <w:trPr>
          <w:trHeight w:val="250"/>
        </w:trPr>
        <w:tc>
          <w:tcPr>
            <w:tcW w:w="600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20"/>
                <w:szCs w:val="20"/>
                <w:b w:val="1"/>
                <w:bCs w:val="1"/>
                <w:color w:val="auto"/>
              </w:rPr>
              <w:t>Total investments, at fair value</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348,685,419</w:t>
            </w:r>
          </w:p>
        </w:tc>
        <w:tc>
          <w:tcPr>
            <w:tcW w:w="13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311,278,268</w:t>
            </w:r>
          </w:p>
        </w:tc>
      </w:tr>
      <w:tr>
        <w:trPr>
          <w:trHeight w:val="196"/>
        </w:trPr>
        <w:tc>
          <w:tcPr>
            <w:tcW w:w="6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57"/>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Receivables</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6,444,402</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5,506,332</w:t>
            </w:r>
          </w:p>
        </w:tc>
      </w:tr>
      <w:tr>
        <w:trPr>
          <w:trHeight w:val="257"/>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Employer contributions receivable</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287,818</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Participant contributions receivable</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593,503</w:t>
            </w:r>
          </w:p>
        </w:tc>
        <w:tc>
          <w:tcPr>
            <w:tcW w:w="13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600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20"/>
                <w:szCs w:val="20"/>
                <w:b w:val="1"/>
                <w:bCs w:val="1"/>
                <w:color w:val="auto"/>
              </w:rPr>
              <w:t>Total receivables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7,325,723</w:t>
            </w:r>
          </w:p>
        </w:tc>
        <w:tc>
          <w:tcPr>
            <w:tcW w:w="13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5,506,332</w:t>
            </w:r>
          </w:p>
        </w:tc>
      </w:tr>
      <w:tr>
        <w:trPr>
          <w:trHeight w:val="196"/>
        </w:trPr>
        <w:tc>
          <w:tcPr>
            <w:tcW w:w="6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57"/>
        </w:trPr>
        <w:tc>
          <w:tcPr>
            <w:tcW w:w="6000" w:type="dxa"/>
            <w:vAlign w:val="bottom"/>
          </w:tcPr>
          <w:p>
            <w:pPr>
              <w:ind w:left="84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356,011,142</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316,784,600</w:t>
            </w:r>
          </w:p>
        </w:tc>
      </w:tr>
      <w:tr>
        <w:trPr>
          <w:trHeight w:val="216"/>
        </w:trPr>
        <w:tc>
          <w:tcPr>
            <w:tcW w:w="6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57"/>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300" w:type="dxa"/>
            <w:vAlign w:val="bottom"/>
          </w:tcPr>
          <w:p>
            <w:pPr>
              <w:spacing w:after="0"/>
              <w:rPr>
                <w:sz w:val="22"/>
                <w:szCs w:val="22"/>
                <w:color w:val="auto"/>
              </w:rPr>
            </w:pPr>
          </w:p>
        </w:tc>
        <w:tc>
          <w:tcPr>
            <w:tcW w:w="2560" w:type="dxa"/>
            <w:vAlign w:val="bottom"/>
            <w:gridSpan w:val="2"/>
          </w:tcPr>
          <w:p>
            <w:pPr>
              <w:jc w:val="right"/>
              <w:ind w:right="13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16"/>
        </w:trPr>
        <w:tc>
          <w:tcPr>
            <w:tcW w:w="60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r>
      <w:tr>
        <w:trPr>
          <w:trHeight w:val="250"/>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356,011,142</w:t>
            </w:r>
          </w:p>
        </w:tc>
        <w:tc>
          <w:tcPr>
            <w:tcW w:w="1300" w:type="dxa"/>
            <w:vAlign w:val="bottom"/>
          </w:tcPr>
          <w:p>
            <w:pPr>
              <w:spacing w:after="0"/>
              <w:rPr>
                <w:sz w:val="21"/>
                <w:szCs w:val="21"/>
                <w:color w:val="auto"/>
              </w:rPr>
            </w:pP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316,784,600</w:t>
            </w:r>
          </w:p>
        </w:tc>
      </w:tr>
      <w:tr>
        <w:trPr>
          <w:trHeight w:val="20"/>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161" w:right="115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22"/>
          <w:szCs w:val="22"/>
          <w:b w:val="1"/>
          <w:bCs w:val="1"/>
          <w:color w:val="auto"/>
        </w:rPr>
        <w:t>CROWN CORK &amp; SEAL COMPANY, INC.</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401(k) RETIREMENT SAVINGS PLAN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Statements of Changes in Net Assets Available for Benefits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5780" w:type="dxa"/>
            <w:vAlign w:val="bottom"/>
            <w:tcBorders>
              <w:top w:val="single" w:sz="8" w:color="auto"/>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4180" w:type="dxa"/>
            <w:vAlign w:val="bottom"/>
            <w:tcBorders>
              <w:top w:val="single" w:sz="8" w:color="auto"/>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c>
          <w:tcPr>
            <w:tcW w:w="0" w:type="dxa"/>
            <w:vAlign w:val="bottom"/>
          </w:tcPr>
          <w:p>
            <w:pPr>
              <w:spacing w:after="0"/>
              <w:rPr>
                <w:sz w:val="1"/>
                <w:szCs w:val="1"/>
                <w:color w:val="auto"/>
              </w:rPr>
            </w:pPr>
          </w:p>
        </w:tc>
      </w:tr>
      <w:tr>
        <w:trPr>
          <w:trHeight w:val="263"/>
        </w:trPr>
        <w:tc>
          <w:tcPr>
            <w:tcW w:w="57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Additions:</w:t>
            </w: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 income:</w:t>
            </w: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Interest and dividend income</w:t>
            </w:r>
          </w:p>
        </w:tc>
        <w:tc>
          <w:tcPr>
            <w:tcW w:w="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8,478,701</w:t>
            </w:r>
          </w:p>
        </w:tc>
        <w:tc>
          <w:tcPr>
            <w:tcW w:w="126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9,894,322</w:t>
            </w:r>
          </w:p>
        </w:tc>
        <w:tc>
          <w:tcPr>
            <w:tcW w:w="0" w:type="dxa"/>
            <w:vAlign w:val="bottom"/>
          </w:tcPr>
          <w:p>
            <w:pPr>
              <w:spacing w:after="0"/>
              <w:rPr>
                <w:sz w:val="1"/>
                <w:szCs w:val="1"/>
                <w:color w:val="auto"/>
              </w:rPr>
            </w:pPr>
          </w:p>
        </w:tc>
      </w:tr>
      <w:tr>
        <w:trPr>
          <w:trHeight w:val="257"/>
        </w:trPr>
        <w:tc>
          <w:tcPr>
            <w:tcW w:w="5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20"/>
                <w:szCs w:val="20"/>
                <w:color w:val="auto"/>
              </w:rPr>
              <w:t>Net appreciation in fair value of investments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41,511,595</w:t>
            </w:r>
          </w:p>
        </w:tc>
        <w:tc>
          <w:tcPr>
            <w:tcW w:w="1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25,918,986</w:t>
            </w:r>
          </w:p>
        </w:tc>
        <w:tc>
          <w:tcPr>
            <w:tcW w:w="0" w:type="dxa"/>
            <w:vAlign w:val="bottom"/>
          </w:tcPr>
          <w:p>
            <w:pPr>
              <w:spacing w:after="0"/>
              <w:rPr>
                <w:sz w:val="1"/>
                <w:szCs w:val="1"/>
                <w:color w:val="auto"/>
              </w:rPr>
            </w:pPr>
          </w:p>
        </w:tc>
      </w:tr>
      <w:tr>
        <w:trPr>
          <w:trHeight w:val="250"/>
        </w:trPr>
        <w:tc>
          <w:tcPr>
            <w:tcW w:w="57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20"/>
                <w:szCs w:val="20"/>
                <w:b w:val="1"/>
                <w:bCs w:val="1"/>
                <w:color w:val="auto"/>
              </w:rPr>
              <w:t>Total investment income</w:t>
            </w: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49,990,296</w:t>
            </w:r>
          </w:p>
        </w:tc>
        <w:tc>
          <w:tcPr>
            <w:tcW w:w="1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35,813,308</w:t>
            </w:r>
          </w:p>
        </w:tc>
        <w:tc>
          <w:tcPr>
            <w:tcW w:w="0" w:type="dxa"/>
            <w:vAlign w:val="bottom"/>
          </w:tcPr>
          <w:p>
            <w:pPr>
              <w:spacing w:after="0"/>
              <w:rPr>
                <w:sz w:val="1"/>
                <w:szCs w:val="1"/>
                <w:color w:val="auto"/>
              </w:rPr>
            </w:pPr>
          </w:p>
        </w:tc>
      </w:tr>
      <w:tr>
        <w:trPr>
          <w:trHeight w:val="250"/>
        </w:trPr>
        <w:tc>
          <w:tcPr>
            <w:tcW w:w="5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 income, notes receivable from participants</w:t>
            </w: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495,036</w:t>
            </w:r>
          </w:p>
        </w:tc>
        <w:tc>
          <w:tcPr>
            <w:tcW w:w="1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402,236</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Contributions:</w:t>
            </w: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Employer</w:t>
            </w:r>
          </w:p>
        </w:tc>
        <w:tc>
          <w:tcPr>
            <w:tcW w:w="3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5,336,363</w:t>
            </w: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4,669,886</w:t>
            </w:r>
          </w:p>
        </w:tc>
        <w:tc>
          <w:tcPr>
            <w:tcW w:w="0" w:type="dxa"/>
            <w:vAlign w:val="bottom"/>
          </w:tcPr>
          <w:p>
            <w:pPr>
              <w:spacing w:after="0"/>
              <w:rPr>
                <w:sz w:val="1"/>
                <w:szCs w:val="1"/>
                <w:color w:val="auto"/>
              </w:rPr>
            </w:pPr>
          </w:p>
        </w:tc>
      </w:tr>
      <w:tr>
        <w:trPr>
          <w:trHeight w:val="257"/>
        </w:trPr>
        <w:tc>
          <w:tcPr>
            <w:tcW w:w="5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20"/>
                <w:szCs w:val="20"/>
                <w:color w:val="auto"/>
              </w:rPr>
              <w:t>Participant</w:t>
            </w:r>
          </w:p>
        </w:tc>
        <w:tc>
          <w:tcPr>
            <w:tcW w:w="3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19,406,559</w:t>
            </w:r>
          </w:p>
        </w:tc>
        <w:tc>
          <w:tcPr>
            <w:tcW w:w="12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16,800,119</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20"/>
                <w:szCs w:val="20"/>
                <w:b w:val="1"/>
                <w:bCs w:val="1"/>
                <w:color w:val="auto"/>
              </w:rPr>
              <w:t>Total contributions</w:t>
            </w: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24,742,922</w:t>
            </w:r>
          </w:p>
        </w:tc>
        <w:tc>
          <w:tcPr>
            <w:tcW w:w="1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21,470,005</w:t>
            </w:r>
          </w:p>
        </w:tc>
        <w:tc>
          <w:tcPr>
            <w:tcW w:w="0" w:type="dxa"/>
            <w:vAlign w:val="bottom"/>
          </w:tcPr>
          <w:p>
            <w:pPr>
              <w:spacing w:after="0"/>
              <w:rPr>
                <w:sz w:val="1"/>
                <w:szCs w:val="1"/>
                <w:color w:val="auto"/>
              </w:rPr>
            </w:pPr>
          </w:p>
        </w:tc>
      </w:tr>
      <w:tr>
        <w:trPr>
          <w:trHeight w:val="250"/>
        </w:trPr>
        <w:tc>
          <w:tcPr>
            <w:tcW w:w="57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Other additions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60,682</w:t>
            </w:r>
          </w:p>
        </w:tc>
        <w:tc>
          <w:tcPr>
            <w:tcW w:w="1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61,027</w:t>
            </w:r>
          </w:p>
        </w:tc>
        <w:tc>
          <w:tcPr>
            <w:tcW w:w="0" w:type="dxa"/>
            <w:vAlign w:val="bottom"/>
          </w:tcPr>
          <w:p>
            <w:pPr>
              <w:spacing w:after="0"/>
              <w:rPr>
                <w:sz w:val="1"/>
                <w:szCs w:val="1"/>
                <w:color w:val="auto"/>
              </w:rPr>
            </w:pPr>
          </w:p>
        </w:tc>
      </w:tr>
      <w:tr>
        <w:trPr>
          <w:trHeight w:val="250"/>
        </w:trPr>
        <w:tc>
          <w:tcPr>
            <w:tcW w:w="57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20"/>
                <w:szCs w:val="20"/>
                <w:b w:val="1"/>
                <w:bCs w:val="1"/>
                <w:color w:val="auto"/>
              </w:rPr>
              <w:t>Total additions</w:t>
            </w: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75,288,936</w:t>
            </w:r>
          </w:p>
        </w:tc>
        <w:tc>
          <w:tcPr>
            <w:tcW w:w="1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57,746,576</w:t>
            </w:r>
          </w:p>
        </w:tc>
        <w:tc>
          <w:tcPr>
            <w:tcW w:w="0" w:type="dxa"/>
            <w:vAlign w:val="bottom"/>
          </w:tcPr>
          <w:p>
            <w:pPr>
              <w:spacing w:after="0"/>
              <w:rPr>
                <w:sz w:val="1"/>
                <w:szCs w:val="1"/>
                <w:color w:val="auto"/>
              </w:rPr>
            </w:pPr>
          </w:p>
        </w:tc>
      </w:tr>
      <w:tr>
        <w:trPr>
          <w:trHeight w:val="250"/>
        </w:trPr>
        <w:tc>
          <w:tcPr>
            <w:tcW w:w="5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Deductions:</w:t>
            </w: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Benefits paid to participants</w:t>
            </w:r>
          </w:p>
        </w:tc>
        <w:tc>
          <w:tcPr>
            <w:tcW w:w="3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36,522,347</w:t>
            </w: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33,071,551</w:t>
            </w:r>
          </w:p>
        </w:tc>
        <w:tc>
          <w:tcPr>
            <w:tcW w:w="0" w:type="dxa"/>
            <w:vAlign w:val="bottom"/>
          </w:tcPr>
          <w:p>
            <w:pPr>
              <w:spacing w:after="0"/>
              <w:rPr>
                <w:sz w:val="1"/>
                <w:szCs w:val="1"/>
                <w:color w:val="auto"/>
              </w:rPr>
            </w:pPr>
          </w:p>
        </w:tc>
      </w:tr>
      <w:tr>
        <w:trPr>
          <w:trHeight w:val="257"/>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Administrative expenses</w:t>
            </w: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204,293</w:t>
            </w:r>
          </w:p>
        </w:tc>
        <w:tc>
          <w:tcPr>
            <w:tcW w:w="1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247,419</w:t>
            </w:r>
          </w:p>
        </w:tc>
        <w:tc>
          <w:tcPr>
            <w:tcW w:w="0" w:type="dxa"/>
            <w:vAlign w:val="bottom"/>
          </w:tcPr>
          <w:p>
            <w:pPr>
              <w:spacing w:after="0"/>
              <w:rPr>
                <w:sz w:val="1"/>
                <w:szCs w:val="1"/>
                <w:color w:val="auto"/>
              </w:rPr>
            </w:pPr>
          </w:p>
        </w:tc>
      </w:tr>
      <w:tr>
        <w:trPr>
          <w:trHeight w:val="256"/>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Other deductions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46,041</w:t>
            </w:r>
          </w:p>
        </w:tc>
        <w:tc>
          <w:tcPr>
            <w:tcW w:w="1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13,485</w:t>
            </w:r>
          </w:p>
        </w:tc>
        <w:tc>
          <w:tcPr>
            <w:tcW w:w="0" w:type="dxa"/>
            <w:vAlign w:val="bottom"/>
          </w:tcPr>
          <w:p>
            <w:pPr>
              <w:spacing w:after="0"/>
              <w:rPr>
                <w:sz w:val="1"/>
                <w:szCs w:val="1"/>
                <w:color w:val="auto"/>
              </w:rPr>
            </w:pPr>
          </w:p>
        </w:tc>
      </w:tr>
      <w:tr>
        <w:trPr>
          <w:trHeight w:val="250"/>
        </w:trPr>
        <w:tc>
          <w:tcPr>
            <w:tcW w:w="57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20"/>
                <w:szCs w:val="20"/>
                <w:b w:val="1"/>
                <w:bCs w:val="1"/>
                <w:color w:val="auto"/>
              </w:rPr>
              <w:t>Total deductions</w:t>
            </w: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36,772,681</w:t>
            </w:r>
          </w:p>
        </w:tc>
        <w:tc>
          <w:tcPr>
            <w:tcW w:w="1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33,332,455</w:t>
            </w:r>
          </w:p>
        </w:tc>
        <w:tc>
          <w:tcPr>
            <w:tcW w:w="0" w:type="dxa"/>
            <w:vAlign w:val="bottom"/>
          </w:tcPr>
          <w:p>
            <w:pPr>
              <w:spacing w:after="0"/>
              <w:rPr>
                <w:sz w:val="1"/>
                <w:szCs w:val="1"/>
                <w:color w:val="auto"/>
              </w:rPr>
            </w:pPr>
          </w:p>
        </w:tc>
      </w:tr>
      <w:tr>
        <w:trPr>
          <w:trHeight w:val="250"/>
        </w:trPr>
        <w:tc>
          <w:tcPr>
            <w:tcW w:w="5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increase</w:t>
            </w: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38,516,255</w:t>
            </w:r>
          </w:p>
        </w:tc>
        <w:tc>
          <w:tcPr>
            <w:tcW w:w="1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24,414,121</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578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20"/>
                <w:szCs w:val="20"/>
                <w:color w:val="auto"/>
              </w:rPr>
              <w:t>Transfers from Crown Cork &amp; Seal Company Inc.</w:t>
            </w:r>
          </w:p>
        </w:tc>
        <w:tc>
          <w:tcPr>
            <w:tcW w:w="32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736,607</w:t>
            </w: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628,315</w:t>
            </w:r>
          </w:p>
        </w:tc>
        <w:tc>
          <w:tcPr>
            <w:tcW w:w="0" w:type="dxa"/>
            <w:vAlign w:val="bottom"/>
          </w:tcPr>
          <w:p>
            <w:pPr>
              <w:spacing w:after="0"/>
              <w:rPr>
                <w:sz w:val="1"/>
                <w:szCs w:val="1"/>
                <w:color w:val="auto"/>
              </w:rPr>
            </w:pPr>
          </w:p>
        </w:tc>
      </w:tr>
      <w:tr>
        <w:trPr>
          <w:trHeight w:val="252"/>
        </w:trPr>
        <w:tc>
          <w:tcPr>
            <w:tcW w:w="5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Retirement Thrift Plan</w:t>
            </w:r>
          </w:p>
        </w:tc>
        <w:tc>
          <w:tcPr>
            <w:tcW w:w="32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578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20"/>
                <w:szCs w:val="20"/>
                <w:color w:val="auto"/>
              </w:rPr>
              <w:t>Transfers to Crown Cork &amp; Seal Company Inc.</w:t>
            </w:r>
          </w:p>
        </w:tc>
        <w:tc>
          <w:tcPr>
            <w:tcW w:w="32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(26,320)</w:t>
            </w: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(2,946)</w:t>
            </w:r>
          </w:p>
        </w:tc>
        <w:tc>
          <w:tcPr>
            <w:tcW w:w="0" w:type="dxa"/>
            <w:vAlign w:val="bottom"/>
          </w:tcPr>
          <w:p>
            <w:pPr>
              <w:spacing w:after="0"/>
              <w:rPr>
                <w:sz w:val="1"/>
                <w:szCs w:val="1"/>
                <w:color w:val="auto"/>
              </w:rPr>
            </w:pPr>
          </w:p>
        </w:tc>
      </w:tr>
      <w:tr>
        <w:trPr>
          <w:trHeight w:val="252"/>
        </w:trPr>
        <w:tc>
          <w:tcPr>
            <w:tcW w:w="5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Retirement Thrift Plan</w:t>
            </w:r>
          </w:p>
        </w:tc>
        <w:tc>
          <w:tcPr>
            <w:tcW w:w="32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20"/>
                <w:szCs w:val="20"/>
                <w:color w:val="auto"/>
              </w:rPr>
              <w:t>Beginning of year</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316,784,600</w:t>
            </w:r>
          </w:p>
        </w:tc>
        <w:tc>
          <w:tcPr>
            <w:tcW w:w="1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291,745,110</w:t>
            </w:r>
          </w:p>
        </w:tc>
        <w:tc>
          <w:tcPr>
            <w:tcW w:w="0" w:type="dxa"/>
            <w:vAlign w:val="bottom"/>
          </w:tcPr>
          <w:p>
            <w:pPr>
              <w:spacing w:after="0"/>
              <w:rPr>
                <w:sz w:val="1"/>
                <w:szCs w:val="1"/>
                <w:color w:val="auto"/>
              </w:rPr>
            </w:pPr>
          </w:p>
        </w:tc>
      </w:tr>
      <w:tr>
        <w:trPr>
          <w:trHeight w:val="275"/>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End of year</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356,011,142</w:t>
            </w:r>
          </w:p>
        </w:tc>
        <w:tc>
          <w:tcPr>
            <w:tcW w:w="12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316,784,600</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0280"/>
          </w:cols>
          <w:pgMar w:left="320" w:top="1121"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1121" w:right="12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8834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340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DESCRIPTION OF PLAN</w:t>
      </w:r>
    </w:p>
    <w:p>
      <w:pPr>
        <w:spacing w:after="0" w:line="24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following description of the Crown Cork &amp; Seal Company, Inc. 401(k) Retirement Savings Plan (the “Plan") provides only general information. Participants should refer to the Plan document for a more complete description of the Plan's provisions.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w:t>
      </w:r>
    </w:p>
    <w:p>
      <w:pPr>
        <w:spacing w:after="0" w:line="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Plan is a voluntary defined contribution plan. The purpose of the Plan is to provide a convenient method by which eligible employees of Crown Holdings, Inc. and subsidiaries (the “Company”) may save regularly through salary deferrals and through Company matching contributions. Generally, employees are eligible to participate in the Plan upon date of hire. Employees are automatically enrolled on the first of the month following 30 days of service with a before-tax contribution rate of 6% unless they affirmatively elect not to participate in the Plan or elect to contribute at a different rate. The Plan is subject to the provisions of the Employee Retirement Income Security Act of 1974 (“ERISA”).</w:t>
      </w:r>
    </w:p>
    <w:p>
      <w:pPr>
        <w:spacing w:after="0" w:line="2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Plan is administered by the Crown Cork &amp; Seal Company, Inc. Benefit Plans Committee (the “Committee”). The Committee has appointed Vanguard Fiduciary Trust Company (“VFTC”) as the trustee and recordkeeper of the Plan.</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SECURE 2.0 Act of 2022 was signed into law on December 29, 2022. This legislation includes a vast array of provisional changes to retirement plans. Plan management is adopting any mandatory provisions as they become applicable and evaluating those provisions deemed discretionary. There were no plan changes adopted in 2025 as a result of this legislation. During 2024, the automatic cash out limit was increased to $7,000 in accordance with SECURE 2.0.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Contributions</w:t>
      </w:r>
    </w:p>
    <w:p>
      <w:pPr>
        <w:spacing w:after="0" w:line="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Plan has two contribution components: a participant salary deferral 401(k) component and a Company matching contribution component. The Plan allows before-tax and Roth participant contributions of 2% to 75% of eligible compensation. The Plan also allows after-tax participant contributions of 1% to 15% of eligible compensation. Catch-up contributions are permitted by the Plan. Contributions may be matched by the Company at various rates as determined by the employer company, as defined in the Plan document. Participants direct the investment of their contributions into various investment options offered by the Plan. Company contributions are invested in accordance with participant investment directions. Contribution amounts are subject to certain Internal Revenue Service ("IRS") limitations.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Participant Accounts</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Each participant's account is credited with (a) the participant's contributions, (b) the Company's contribution and (c) Plan earnings, and charged with administrative fees. The benefit to which a participant is entitled is the benefit that can be provided from the participant's vested account.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Vesting</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Participants are immediately vested in their contributions plus actual earnings thereon. Vesting in the Company's contribution plus earnings thereon is based on years of continuous service. A participant is considered 25% vested in the Company's contributions after one year of credited service. The participant's vested interest increases at a rate of 25% for each year of service thereafter, with the participant being 100% vested after four years.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8834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340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Notes Receivable from Participants</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Participants may borrow from their account a minimum of $1,000 up to a maximum equal to the lesser of $50,000 or 50% of the participant's vested account balance. Notes receivable terms range from 1 to 5 years or up to 10 years for the purchase of a primary residence. The notes receivable are secured by the balance in the participant's account and bear interest at a rate commensurate with a prevailing commercial rate for a secured personal loan. Interest rates on notes receivable outstanding as of December 31, 2025 and 2024 range from 4.25% to 9.50%. Principal and interest are paid ratably through monthly payroll deductions. A participant may not have more than two outstanding notes receivable at any one time.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Payment of Benefits</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termination of service due to retirement, attainment of age 65, permanent plant shutdown, permanent disability, or death, the participant, or his or her beneficiary, automatically becomes fully vested in the Company contributions. For termination of service due to these or any other reasons, a participant may receive the value of the vested interest in his or her account as a lump-sum distribution. If the vested interest is $7,000 or less at the time of termination, a participant will be cashed out. An active employee may take an in-service withdrawal if he or she has attained age 59.5 or if other criteria are met as defined in the Plan document. All distributions are paid in either cash or Company stock at the participant's election.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Forfeited Accounts</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When certain terminations of participation in the Plan occur, the non-vested portion of the participant's account, as defined, represents a forfeiture. The balance of unallocated forfeitures, which will be used to reduce future Company contributions, were $6,910 and $7 at December 31, 2025 and 2024, respectively. Forfeitures used to offset Company contributions in 2025 and 2024 totaled $338,579 and $357,307, respectively.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Plan Transfers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 participant's balance may be transferred to or from the Crown Cork &amp; Seal Company, Inc. Retirement Thrift Plan due to an employee's eligibility changing as a result of a promotion or relocation.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Plan Termination</w:t>
      </w:r>
    </w:p>
    <w:p>
      <w:pPr>
        <w:spacing w:after="0" w:line="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reserves the right to retroactively amend or modify any of the provisions of the Plan in any respect in order to qualify or maintain the Plan as a plan meeting the requirements of ERISA or any other applicable legislation. Although it has not expressed any intent to do so, the Company has the right under the Plan to discontinue its contributions at any time and to terminate the Plan subject to the provisions of ERISA. In the event of Plan termination, participants will become 100% vested in their Company contributions.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Delinquent Participant Contributions</w:t>
      </w:r>
    </w:p>
    <w:p>
      <w:pPr>
        <w:spacing w:after="0" w:line="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Company did not remit certain participant contributions in 2025 to the Plan on a timely basis as defined by the Department of Labor’s Rules and Regulations for Reporting and Disclosure under ERISA. Untimely remittances identified on the Schedule of Delinquent Participant Contributions, which totaled $9,487, were corrected in 2025. Additionally, the Company compensated participants for lost earnings resulting from the delay in contributions.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2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following significant accounting policies, which conform with accounting principles generally accepted in the United States of America, have been used consistently in the preparation of the Plan's financial statements.</w:t>
      </w:r>
    </w:p>
    <w:p>
      <w:pPr>
        <w:sectPr>
          <w:pgSz w:w="11900" w:h="16838" w:orient="portrait"/>
          <w:cols w:equalWidth="0" w:num="1">
            <w:col w:w="11240"/>
          </w:cols>
          <w:pgMar w:left="320" w:top="10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8834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340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Basis of Accounting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financial statements of the Plan are prepared under the accrual basis of accounting.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Use of Estimates</w:t>
      </w:r>
    </w:p>
    <w:p>
      <w:pPr>
        <w:spacing w:after="0" w:line="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as well as reported amounts of additions and deductions during the reporting period. Actual results could differ from those estimates.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Investment Valuation and Income Recognition</w:t>
      </w:r>
    </w:p>
    <w:p>
      <w:pPr>
        <w:spacing w:after="0" w:line="2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Plan’s investments are reported at fair value. Fair value is the price that would be received to sell an asset or paid to transfer a liability in an orderly transaction between market participants at the measurement date. See Note 3 for a discussion of fair value measurements.</w:t>
      </w:r>
    </w:p>
    <w:p>
      <w:pPr>
        <w:spacing w:after="0" w:line="20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Purchases and sales of securities are recorded on the trade-date basis. Interest income is recorded on the accrual basis. Dividends are recorded on the ex-dividend date. Net appreciation includes the Plan’s gains and losses on investments bought and sold as well as held during the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Notes Receivable From Participants</w:t>
      </w:r>
    </w:p>
    <w:p>
      <w:pPr>
        <w:spacing w:after="0" w:line="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Notes receivable from participants are measured at their unpaid principal balance plus any accrued but unpaid interest. Related fees are recorded as administrative expenses and are expensed when they are incurred. Interest income is recorded on the accrual basis.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Payment of Benefits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Benefits are recorded when paid.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Expenses</w:t>
      </w:r>
    </w:p>
    <w:p>
      <w:pPr>
        <w:spacing w:after="0" w:line="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Recordkeeping expenses, investment advisory fees, and miscellaneous administrative fees are charged directly to the participant’s account and are included in administrative expenses. Investment related expenses are included in net appreciation in fair value of investments. Expenses paid by the Company are excluded from these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FAIR VALUE MEASUREMENTS</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authoritative guidance are described as follows:</w:t>
      </w:r>
    </w:p>
    <w:p>
      <w:pPr>
        <w:spacing w:after="0" w:line="214"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Level 1 - Inputs to the valuation methodology are unadjusted quoted prices for identical assets or liabilities in active markets that the Plan has the ability to access.</w:t>
      </w:r>
    </w:p>
    <w:p>
      <w:pPr>
        <w:spacing w:after="0" w:line="173" w:lineRule="exact"/>
        <w:rPr>
          <w:sz w:val="20"/>
          <w:szCs w:val="20"/>
          <w:color w:val="auto"/>
        </w:rPr>
      </w:pPr>
    </w:p>
    <w:p>
      <w:pPr>
        <w:ind w:left="660" w:hanging="419"/>
        <w:spacing w:after="0" w:line="283" w:lineRule="auto"/>
        <w:rPr>
          <w:sz w:val="20"/>
          <w:szCs w:val="20"/>
          <w:color w:val="auto"/>
        </w:rPr>
      </w:pPr>
      <w:r>
        <w:rPr>
          <w:rFonts w:ascii="Times New Roman" w:cs="Times New Roman" w:eastAsia="Times New Roman" w:hAnsi="Times New Roman"/>
          <w:sz w:val="20"/>
          <w:szCs w:val="20"/>
          <w:color w:val="auto"/>
        </w:rPr>
        <w:t>Level 2 - Inputs other than quoted prices included within Level 1 that are observable for the asset or liability, either directly or indirectly, such as:</w:t>
      </w:r>
    </w:p>
    <w:p>
      <w:pPr>
        <w:spacing w:after="0" w:line="173"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quoted prices for similar assets or liabilities in active markets;</w:t>
      </w:r>
    </w:p>
    <w:p>
      <w:pPr>
        <w:spacing w:after="0" w:line="28"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quoted prices for identical or similar assets or liabilities in inactive markets;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88340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340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other than quoted prices that are observable for the asset or liability;</w:t>
      </w:r>
    </w:p>
    <w:p>
      <w:pPr>
        <w:spacing w:after="0" w:line="28"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that are derived principally from or corroborated by observable market data by correlation or other means.</w:t>
      </w:r>
    </w:p>
    <w:p>
      <w:pPr>
        <w:spacing w:after="0" w:line="227"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If the asset or liability has a specified (contractual) term, the Level 2 input must be observable for substantially the full term of the asset or liability.</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Level 3 - Inputs to the valuation methodology are unobservable and significant to the fair value measurement.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instruments measured at fair value on a recurring basis for the Plan: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2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4000" w:type="dxa"/>
            <w:vAlign w:val="bottom"/>
            <w:tcBorders>
              <w:bottom w:val="single" w:sz="8" w:color="auto"/>
            </w:tcBorders>
            <w:gridSpan w:val="15"/>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98"/>
              </w:rPr>
              <w:t>Assets at Fair Value as of December 31, 2025</w:t>
            </w:r>
          </w:p>
        </w:tc>
        <w:tc>
          <w:tcPr>
            <w:tcW w:w="1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r>
      <w:tr>
        <w:trPr>
          <w:trHeight w:val="254"/>
        </w:trPr>
        <w:tc>
          <w:tcPr>
            <w:tcW w:w="1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37"/>
        </w:trPr>
        <w:tc>
          <w:tcPr>
            <w:tcW w:w="120" w:type="dxa"/>
            <w:vAlign w:val="bottom"/>
            <w:tcBorders>
              <w:top w:val="single" w:sz="8" w:color="CCEEFF"/>
            </w:tcBorders>
            <w:shd w:val="clear" w:color="auto" w:fill="CCEEFF"/>
          </w:tcPr>
          <w:p>
            <w:pPr>
              <w:spacing w:after="0"/>
              <w:rPr>
                <w:sz w:val="20"/>
                <w:szCs w:val="20"/>
                <w:color w:val="auto"/>
              </w:rPr>
            </w:pPr>
          </w:p>
        </w:tc>
        <w:tc>
          <w:tcPr>
            <w:tcW w:w="42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r>
      <w:tr>
        <w:trPr>
          <w:trHeight w:val="25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185,564,910</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185,564,910</w:t>
            </w:r>
          </w:p>
        </w:tc>
      </w:tr>
      <w:tr>
        <w:trPr>
          <w:trHeight w:val="25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Collective investment trusts</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CCEEFF"/>
          </w:tcPr>
          <w:p>
            <w:pPr>
              <w:spacing w:after="0"/>
              <w:rPr>
                <w:sz w:val="22"/>
                <w:szCs w:val="22"/>
                <w:color w:val="auto"/>
              </w:rPr>
            </w:pPr>
          </w:p>
        </w:tc>
        <w:tc>
          <w:tcPr>
            <w:tcW w:w="11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118,212,134</w:t>
            </w: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118,212,134</w:t>
            </w:r>
          </w:p>
        </w:tc>
      </w:tr>
      <w:tr>
        <w:trPr>
          <w:trHeight w:val="257"/>
        </w:trPr>
        <w:tc>
          <w:tcPr>
            <w:tcW w:w="4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0"/>
                <w:szCs w:val="20"/>
                <w:color w:val="auto"/>
              </w:rPr>
              <w:t>Company common stock fund</w:t>
            </w: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15,736,605</w:t>
            </w:r>
          </w:p>
        </w:tc>
        <w:tc>
          <w:tcPr>
            <w:tcW w:w="4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15,736,605</w:t>
            </w:r>
          </w:p>
        </w:tc>
      </w:tr>
      <w:tr>
        <w:trPr>
          <w:trHeight w:val="196"/>
        </w:trPr>
        <w:tc>
          <w:tcPr>
            <w:tcW w:w="120" w:type="dxa"/>
            <w:vAlign w:val="bottom"/>
            <w:shd w:val="clear" w:color="auto" w:fill="CCEEFF"/>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120" w:type="dxa"/>
            <w:vAlign w:val="bottom"/>
          </w:tcPr>
          <w:p>
            <w:pPr>
              <w:spacing w:after="0"/>
              <w:rPr>
                <w:sz w:val="22"/>
                <w:szCs w:val="22"/>
                <w:color w:val="auto"/>
              </w:rPr>
            </w:pPr>
          </w:p>
        </w:tc>
        <w:tc>
          <w:tcPr>
            <w:tcW w:w="42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assets in fair value hierarchy</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201,301,515</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118,212,134</w:t>
            </w:r>
          </w:p>
        </w:tc>
        <w:tc>
          <w:tcPr>
            <w:tcW w:w="5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319,513,649</w:t>
            </w:r>
          </w:p>
        </w:tc>
      </w:tr>
      <w:tr>
        <w:trPr>
          <w:trHeight w:val="20"/>
        </w:trPr>
        <w:tc>
          <w:tcPr>
            <w:tcW w:w="12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83"/>
        </w:trPr>
        <w:tc>
          <w:tcPr>
            <w:tcW w:w="120" w:type="dxa"/>
            <w:vAlign w:val="bottom"/>
            <w:shd w:val="clear" w:color="auto" w:fill="CCEEFF"/>
          </w:tcPr>
          <w:p>
            <w:pPr>
              <w:spacing w:after="0"/>
              <w:rPr>
                <w:sz w:val="15"/>
                <w:szCs w:val="15"/>
                <w:color w:val="auto"/>
              </w:rPr>
            </w:pPr>
          </w:p>
        </w:tc>
        <w:tc>
          <w:tcPr>
            <w:tcW w:w="4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57"/>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Investments measured at net asset value (a)</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29,171,770</w:t>
            </w:r>
          </w:p>
        </w:tc>
      </w:tr>
      <w:tr>
        <w:trPr>
          <w:trHeight w:val="216"/>
        </w:trPr>
        <w:tc>
          <w:tcPr>
            <w:tcW w:w="1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Investments at fair value</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gridSpan w:val="2"/>
          </w:tcPr>
          <w:p>
            <w:pPr>
              <w:spacing w:after="0"/>
              <w:rPr>
                <w:sz w:val="22"/>
                <w:szCs w:val="22"/>
                <w:color w:val="auto"/>
              </w:rPr>
            </w:pPr>
          </w:p>
        </w:tc>
        <w:tc>
          <w:tcPr>
            <w:tcW w:w="3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348,685,419</w:t>
            </w:r>
          </w:p>
        </w:tc>
      </w:tr>
      <w:tr>
        <w:trPr>
          <w:trHeight w:val="21"/>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449"/>
        </w:trPr>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15"/>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w w:val="99"/>
              </w:rPr>
              <w:t>Assets at Fair Value as of December 31, 2024</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4"/>
        </w:trPr>
        <w:tc>
          <w:tcPr>
            <w:tcW w:w="1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3"/>
          </w:tcPr>
          <w:p>
            <w:pPr>
              <w:ind w:left="36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00" w:type="dxa"/>
            <w:vAlign w:val="bottom"/>
          </w:tcPr>
          <w:p>
            <w:pPr>
              <w:spacing w:after="0"/>
              <w:rPr>
                <w:sz w:val="22"/>
                <w:szCs w:val="22"/>
                <w:color w:val="auto"/>
              </w:rPr>
            </w:pPr>
          </w:p>
        </w:tc>
      </w:tr>
      <w:tr>
        <w:trPr>
          <w:trHeight w:val="237"/>
        </w:trPr>
        <w:tc>
          <w:tcPr>
            <w:tcW w:w="120" w:type="dxa"/>
            <w:vAlign w:val="bottom"/>
          </w:tcPr>
          <w:p>
            <w:pPr>
              <w:spacing w:after="0"/>
              <w:rPr>
                <w:sz w:val="20"/>
                <w:szCs w:val="20"/>
                <w:color w:val="auto"/>
              </w:rPr>
            </w:pPr>
          </w:p>
        </w:tc>
        <w:tc>
          <w:tcPr>
            <w:tcW w:w="42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120" w:type="dxa"/>
            <w:vAlign w:val="bottom"/>
          </w:tcPr>
          <w:p>
            <w:pPr>
              <w:spacing w:after="0"/>
              <w:rPr>
                <w:sz w:val="22"/>
                <w:szCs w:val="22"/>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263,806,407</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2"/>
                <w:szCs w:val="22"/>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263,806,407</w:t>
            </w:r>
          </w:p>
        </w:tc>
        <w:tc>
          <w:tcPr>
            <w:tcW w:w="100" w:type="dxa"/>
            <w:vAlign w:val="bottom"/>
          </w:tcPr>
          <w:p>
            <w:pPr>
              <w:spacing w:after="0"/>
              <w:rPr>
                <w:sz w:val="22"/>
                <w:szCs w:val="22"/>
                <w:color w:val="auto"/>
              </w:rPr>
            </w:pPr>
          </w:p>
        </w:tc>
      </w:tr>
      <w:tr>
        <w:trPr>
          <w:trHeight w:val="256"/>
        </w:trPr>
        <w:tc>
          <w:tcPr>
            <w:tcW w:w="120" w:type="dxa"/>
            <w:vAlign w:val="bottom"/>
          </w:tcPr>
          <w:p>
            <w:pPr>
              <w:spacing w:after="0"/>
              <w:rPr>
                <w:sz w:val="22"/>
                <w:szCs w:val="22"/>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Company common stock fund</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14,781,046</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14,781,046</w:t>
            </w:r>
          </w:p>
        </w:tc>
        <w:tc>
          <w:tcPr>
            <w:tcW w:w="100" w:type="dxa"/>
            <w:vAlign w:val="bottom"/>
          </w:tcPr>
          <w:p>
            <w:pPr>
              <w:spacing w:after="0"/>
              <w:rPr>
                <w:sz w:val="22"/>
                <w:szCs w:val="22"/>
                <w:color w:val="auto"/>
              </w:rPr>
            </w:pPr>
          </w:p>
        </w:tc>
      </w:tr>
      <w:tr>
        <w:trPr>
          <w:trHeight w:val="196"/>
        </w:trPr>
        <w:tc>
          <w:tcPr>
            <w:tcW w:w="1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317"/>
        </w:trPr>
        <w:tc>
          <w:tcPr>
            <w:tcW w:w="120" w:type="dxa"/>
            <w:vAlign w:val="bottom"/>
          </w:tcPr>
          <w:p>
            <w:pPr>
              <w:spacing w:after="0"/>
              <w:rPr>
                <w:sz w:val="24"/>
                <w:szCs w:val="24"/>
                <w:color w:val="auto"/>
              </w:rPr>
            </w:pPr>
          </w:p>
        </w:tc>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Total assets in fair value hierarchy</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278,587,453</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278,587,453</w:t>
            </w:r>
          </w:p>
        </w:tc>
        <w:tc>
          <w:tcPr>
            <w:tcW w:w="100" w:type="dxa"/>
            <w:vAlign w:val="bottom"/>
          </w:tcPr>
          <w:p>
            <w:pPr>
              <w:spacing w:after="0"/>
              <w:rPr>
                <w:sz w:val="24"/>
                <w:szCs w:val="24"/>
                <w:color w:val="auto"/>
              </w:rPr>
            </w:pPr>
          </w:p>
        </w:tc>
      </w:tr>
      <w:tr>
        <w:trPr>
          <w:trHeight w:val="163"/>
        </w:trPr>
        <w:tc>
          <w:tcPr>
            <w:tcW w:w="120" w:type="dxa"/>
            <w:vAlign w:val="bottom"/>
          </w:tcPr>
          <w:p>
            <w:pPr>
              <w:spacing w:after="0"/>
              <w:rPr>
                <w:sz w:val="14"/>
                <w:szCs w:val="14"/>
                <w:color w:val="auto"/>
              </w:rPr>
            </w:pPr>
          </w:p>
        </w:tc>
        <w:tc>
          <w:tcPr>
            <w:tcW w:w="42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57"/>
        </w:trPr>
        <w:tc>
          <w:tcPr>
            <w:tcW w:w="120" w:type="dxa"/>
            <w:vAlign w:val="bottom"/>
          </w:tcPr>
          <w:p>
            <w:pPr>
              <w:spacing w:after="0"/>
              <w:rPr>
                <w:sz w:val="22"/>
                <w:szCs w:val="22"/>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Investments measured at net asset value (a)</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32,690,815</w:t>
            </w:r>
          </w:p>
        </w:tc>
        <w:tc>
          <w:tcPr>
            <w:tcW w:w="100" w:type="dxa"/>
            <w:vAlign w:val="bottom"/>
          </w:tcPr>
          <w:p>
            <w:pPr>
              <w:spacing w:after="0"/>
              <w:rPr>
                <w:sz w:val="22"/>
                <w:szCs w:val="22"/>
                <w:color w:val="auto"/>
              </w:rPr>
            </w:pPr>
          </w:p>
        </w:tc>
      </w:tr>
      <w:tr>
        <w:trPr>
          <w:trHeight w:val="216"/>
        </w:trPr>
        <w:tc>
          <w:tcPr>
            <w:tcW w:w="1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7"/>
        </w:trPr>
        <w:tc>
          <w:tcPr>
            <w:tcW w:w="120" w:type="dxa"/>
            <w:vAlign w:val="bottom"/>
          </w:tcPr>
          <w:p>
            <w:pPr>
              <w:spacing w:after="0"/>
              <w:rPr>
                <w:sz w:val="24"/>
                <w:szCs w:val="24"/>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Investments at fair value</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311,278,268</w:t>
            </w:r>
          </w:p>
        </w:tc>
        <w:tc>
          <w:tcPr>
            <w:tcW w:w="10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left="980" w:hanging="324"/>
        <w:spacing w:after="0" w:line="261" w:lineRule="auto"/>
        <w:tabs>
          <w:tab w:leader="none" w:pos="97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collective investment trusts that were measured at net asset value ("NAV") per share (or its equivalent) have not been classified in the fair value hierarchy. The amounts presented in this table are intended to permit reconciliation of the fair value hierarchy to the line items presented in the Statements of Net Assets Available for Benefits.</w:t>
      </w:r>
    </w:p>
    <w:p>
      <w:pPr>
        <w:spacing w:after="0" w:line="195"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following is a description of the valuation methodologies used for assets measured at fair value. There have been no transfers between levels and no changes in the methodologies used at December 31, 2025 and 2024.</w:t>
      </w:r>
    </w:p>
    <w:p>
      <w:pPr>
        <w:sectPr>
          <w:pgSz w:w="11900" w:h="16838" w:orient="portrait"/>
          <w:cols w:equalWidth="0" w:num="1">
            <w:col w:w="11240"/>
          </w:cols>
          <w:pgMar w:left="320" w:top="934"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688340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340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Registered investment companies are valued at the daily closing price as reported by the fund, which represents the NAV of shares held by the Plan at year end. Mutual funds held by the Plan are open-end mutual funds that are registered with the U.S. Securities and Exchange Commission. These funds are required to publish their daily NAV and to transact at that price. The mutual funds held by the Plan are deemed to be actively traded.</w:t>
      </w:r>
    </w:p>
    <w:p>
      <w:pPr>
        <w:spacing w:after="0" w:line="19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collective investment trusts are Vanguard Target Retirement Trusts that are valued daily. The unit values are based upon significant observable inputs, although they are not based upon quoted market prices in an active market. The trusts invest in Vanguard mutual funds using a balanced asset allocation strategy designed for investors planning to retire and leave the workforce in or within a few years of the target year. The trusts' asset allocation will become more conservative over time. The trusts hold a diversified mix of indirect bond and indirect stock holdings.</w:t>
      </w:r>
    </w:p>
    <w:p>
      <w:pPr>
        <w:spacing w:after="0" w:line="20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underlying investments of the collective investment trusts consist primarily of Level 2 inputs, consisting of inputs either directly or indirectly observable for substantially the full term of the asset through corroboration with observable market data. The collective investment trusts are not subject to any withdrawal or redemption restrictions, and there are no unfunded commitments.</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Vanguard Retirement Savings Trust III is a collective investment trust that is valued at the NAV of the units of the collective investment trust held by the Plan at year end multiplied by the respective unit value. The NAV, as provided by the trustee, is used as a practical expedient to estimate fair value. The NAV of the collective investment trust is based upon significant observable inputs, although it is not based upon quoted market prices in an active market. The collective investment trust’s investment objective is to seek the preservation of capital and to provide a competitive level of income over time that is consistent with the preservation of capital. To achieve its investment objective, the collective investment trust invests in assets (typically contracts issued by insurance companies and banks, synthetic investment contracts, and short term investments) and enters into “wrapper” contracts issued by third parties and invests in cash equivalents represented by shares in a money market fund. The collective investment trust invests solely in the Vanguard Retirement Savings Master Trust (the “VRST Master Trust”) and is allocated net investment income based on its ownership percentage in the master trust. The underlying investments of the VRST Master Trust are primarily in a pool of investment contracts that are issued by insurance companies and commercial banks and in contracts that are backed by bond funds.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fair value of the Company’s common stock fund is measured at the closing price reported on the active market on which the security held by the fund is traded.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 Measured Using NAV per Share Practical Expedient</w:t>
      </w:r>
    </w:p>
    <w:p>
      <w:pPr>
        <w:spacing w:after="0" w:line="2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following table summarizes investments for which fair value is measured using NAV per share practical expedient as of December 31, 2025 and 2024. There are no participant redemption restrictions for these investments; the redemption notice period is applicable only to the Plan.</w:t>
      </w:r>
    </w:p>
    <w:p>
      <w:pPr>
        <w:spacing w:after="0" w:line="76" w:lineRule="exact"/>
        <w:rPr>
          <w:sz w:val="20"/>
          <w:szCs w:val="20"/>
          <w:color w:val="auto"/>
        </w:rPr>
      </w:pPr>
    </w:p>
    <w:tbl>
      <w:tblPr>
        <w:tblLayout w:type="fixed"/>
        <w:tblInd w:w="420" w:type="dxa"/>
        <w:tblCellMar>
          <w:top w:w="0" w:type="dxa"/>
          <w:left w:w="0" w:type="dxa"/>
          <w:bottom w:w="0" w:type="dxa"/>
          <w:right w:w="0" w:type="dxa"/>
        </w:tblCellMar>
      </w:tblPr>
      <w:tr>
        <w:trPr>
          <w:trHeight w:val="266"/>
        </w:trPr>
        <w:tc>
          <w:tcPr>
            <w:tcW w:w="40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320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6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66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8"/>
              </w:rPr>
              <w:t>Unfunded</w:t>
            </w:r>
          </w:p>
        </w:tc>
        <w:tc>
          <w:tcPr>
            <w:tcW w:w="154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9"/>
              </w:rPr>
              <w:t>Redemption</w:t>
            </w:r>
          </w:p>
        </w:tc>
        <w:tc>
          <w:tcPr>
            <w:tcW w:w="162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9"/>
              </w:rPr>
              <w:t>Redemption</w:t>
            </w: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Commitments</w:t>
            </w: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Frequency</w:t>
            </w: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Notice Period</w:t>
            </w:r>
          </w:p>
        </w:tc>
        <w:tc>
          <w:tcPr>
            <w:tcW w:w="0" w:type="dxa"/>
            <w:vAlign w:val="bottom"/>
          </w:tcPr>
          <w:p>
            <w:pPr>
              <w:spacing w:after="0"/>
              <w:rPr>
                <w:sz w:val="1"/>
                <w:szCs w:val="1"/>
                <w:color w:val="auto"/>
              </w:rPr>
            </w:pPr>
          </w:p>
        </w:tc>
      </w:tr>
      <w:tr>
        <w:trPr>
          <w:trHeight w:val="25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Vanguard Retirement Savings Trust III</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29,171,770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Daily</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r>
        <w:trPr>
          <w:trHeight w:val="523"/>
        </w:trPr>
        <w:tc>
          <w:tcPr>
            <w:tcW w:w="4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66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8"/>
              </w:rPr>
              <w:t>Unfunded</w:t>
            </w:r>
          </w:p>
        </w:tc>
        <w:tc>
          <w:tcPr>
            <w:tcW w:w="154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9"/>
              </w:rPr>
              <w:t>Redemption</w:t>
            </w:r>
          </w:p>
        </w:tc>
        <w:tc>
          <w:tcPr>
            <w:tcW w:w="162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9"/>
              </w:rPr>
              <w:t>Redemption</w:t>
            </w:r>
          </w:p>
        </w:tc>
        <w:tc>
          <w:tcPr>
            <w:tcW w:w="0" w:type="dxa"/>
            <w:vAlign w:val="bottom"/>
          </w:tcPr>
          <w:p>
            <w:pPr>
              <w:spacing w:after="0"/>
              <w:rPr>
                <w:sz w:val="1"/>
                <w:szCs w:val="1"/>
                <w:color w:val="auto"/>
              </w:rPr>
            </w:pPr>
          </w:p>
        </w:tc>
      </w:tr>
      <w:tr>
        <w:trPr>
          <w:trHeight w:val="256"/>
        </w:trPr>
        <w:tc>
          <w:tcPr>
            <w:tcW w:w="4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Commitments</w:t>
            </w: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Frequency</w:t>
            </w: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Notice Period</w:t>
            </w: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Vanguard Retirement Savings Trust III</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32,690,815</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Daily</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26"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88340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340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RELATED PARTY TRANSACTIONS</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Plan participants invest in shares of registered investment companies and collective investment trusts managed by affiliates of VFTC. VFTC acts as trustee for investments of the Plan. Plan assets managed by affiliates of VFTC were $310,055,837 and $273,501,730 as of December 31, 2025 and 2024, respectively. Transactions in these investments qualify as party-in-interest transactions and are exempt from the prohibited transaction rules.</w:t>
      </w:r>
    </w:p>
    <w:p>
      <w:pPr>
        <w:spacing w:after="0" w:line="2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The Plan participants also invest in shares of the Company’s common stock through the Crown Holdings, Inc. Stock Fund. The Company’s common stock fund held approximately 152,827 and 178,753 shares of Crown Holdings, Inc. common stock representing 4.4% and 4.7% of Plan assets as of December 31, 2025 and 2024, respectively. For the years ended December 31, 2025 and 2024, the Company common stock fund had purchases of $1,243,426 and $2,980,703, respectively, and sales of $4,138,783 and $3,027,603, respectively. Dividend income from the Company’s common stock fund totaled $165,038 and $180,587 for the years ended December 31, 2025 and 2024, respectively. The Plan also issues loans to participants, which are secured by the balances in the respective participant accounts. Transactions in such investments and notes receivable from participants qualify as party-in-interest transactions and are exempt from the prohibited transaction rules.</w:t>
      </w:r>
    </w:p>
    <w:p>
      <w:pPr>
        <w:spacing w:after="0" w:line="20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Certain administrative functions of the Plan are performed by officers or employees of the Company. No such officer or employee receives compensation from the Plan.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TAX STATUS</w:t>
      </w:r>
    </w:p>
    <w:p>
      <w:pPr>
        <w:spacing w:after="0" w:line="2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IRS determined and informed the Company by letter dated August 19, 2015 that the Plan was qualified under Internal Revenue Code (“IRC”) Section 401(k). The Company believes the Plan is designed and is currently being operated in compliance with the applicable requirements of the IRC and therefore, believes that the Plan is qualified, and the related trust is tax exempt.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RISKS AND UNCERTAINTIES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such changes could materially affect participants’ account balances and the amounts reported in the Statements of Net Assets Available for Benefits.</w:t>
      </w:r>
    </w:p>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Plan had investments of $85,436,715 concentrated in one fund as of December 31, 2025 and $111,961,586, concentrated in two funds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Supplemental Information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Required for Form 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5536565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color w:val="auto"/>
        </w:rPr>
        <w:t>CROWN CORK &amp; SEAL COMPANY, INC. 401(k) RETIREMENT SAVINGS PLAN</w:t>
      </w:r>
    </w:p>
    <w:p>
      <w:pPr>
        <w:spacing w:after="0" w:line="21" w:lineRule="exact"/>
        <w:rPr>
          <w:sz w:val="20"/>
          <w:szCs w:val="20"/>
          <w:color w:val="auto"/>
        </w:rPr>
      </w:pPr>
    </w:p>
    <w:p>
      <w:pPr>
        <w:ind w:right="5400"/>
        <w:spacing w:after="0" w:line="246" w:lineRule="auto"/>
        <w:rPr>
          <w:sz w:val="20"/>
          <w:szCs w:val="20"/>
          <w:color w:val="auto"/>
        </w:rPr>
      </w:pPr>
      <w:r>
        <w:rPr>
          <w:rFonts w:ascii="Times New Roman" w:cs="Times New Roman" w:eastAsia="Times New Roman" w:hAnsi="Times New Roman"/>
          <w:sz w:val="20"/>
          <w:szCs w:val="20"/>
          <w:color w:val="auto"/>
        </w:rPr>
        <w:t>Schedule H, Line 4a – Schedule of Delinquent Participant Contributions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Cork &amp; Seal Company, Inc. 401(k) Retirement Savings Plan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23-1526444 Plan No. 100</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480" w:type="dxa"/>
            <w:vAlign w:val="bottom"/>
          </w:tcPr>
          <w:p>
            <w:pPr>
              <w:spacing w:after="0"/>
              <w:rPr>
                <w:sz w:val="23"/>
                <w:szCs w:val="23"/>
                <w:color w:val="auto"/>
              </w:rPr>
            </w:pPr>
          </w:p>
        </w:tc>
        <w:tc>
          <w:tcPr>
            <w:tcW w:w="2200" w:type="dxa"/>
            <w:vAlign w:val="bottom"/>
            <w:vMerge w:val="restart"/>
          </w:tcPr>
          <w:p>
            <w:pPr>
              <w:jc w:val="center"/>
              <w:ind w:left="241"/>
              <w:spacing w:after="0"/>
              <w:rPr>
                <w:sz w:val="20"/>
                <w:szCs w:val="20"/>
                <w:color w:val="auto"/>
              </w:rPr>
            </w:pPr>
            <w:r>
              <w:rPr>
                <w:rFonts w:ascii="Times New Roman" w:cs="Times New Roman" w:eastAsia="Times New Roman" w:hAnsi="Times New Roman"/>
                <w:sz w:val="20"/>
                <w:szCs w:val="20"/>
                <w:color w:val="auto"/>
                <w:w w:val="99"/>
              </w:rPr>
              <w:t>Participant</w:t>
            </w:r>
          </w:p>
        </w:tc>
        <w:tc>
          <w:tcPr>
            <w:tcW w:w="5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Total that Constitutes Nonexempt Prohibited Transactions</w:t>
            </w: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1480" w:type="dxa"/>
            <w:vAlign w:val="bottom"/>
          </w:tcPr>
          <w:p>
            <w:pPr>
              <w:spacing w:after="0"/>
              <w:rPr>
                <w:sz w:val="15"/>
                <w:szCs w:val="15"/>
                <w:color w:val="auto"/>
              </w:rPr>
            </w:pPr>
          </w:p>
        </w:tc>
        <w:tc>
          <w:tcPr>
            <w:tcW w:w="2200" w:type="dxa"/>
            <w:vAlign w:val="bottom"/>
            <w:vMerge w:val="continue"/>
          </w:tcPr>
          <w:p>
            <w:pPr>
              <w:spacing w:after="0"/>
              <w:rPr>
                <w:sz w:val="15"/>
                <w:szCs w:val="15"/>
                <w:color w:val="auto"/>
              </w:rPr>
            </w:pPr>
          </w:p>
        </w:tc>
        <w:tc>
          <w:tcPr>
            <w:tcW w:w="1860" w:type="dxa"/>
            <w:vAlign w:val="bottom"/>
          </w:tcPr>
          <w:p>
            <w:pPr>
              <w:spacing w:after="0"/>
              <w:rPr>
                <w:sz w:val="15"/>
                <w:szCs w:val="15"/>
                <w:color w:val="auto"/>
              </w:rPr>
            </w:pPr>
          </w:p>
        </w:tc>
        <w:tc>
          <w:tcPr>
            <w:tcW w:w="1780" w:type="dxa"/>
            <w:vAlign w:val="bottom"/>
            <w:vMerge w:val="restart"/>
          </w:tcPr>
          <w:p>
            <w:pPr>
              <w:jc w:val="center"/>
              <w:ind w:left="1"/>
              <w:spacing w:after="0"/>
              <w:rPr>
                <w:sz w:val="20"/>
                <w:szCs w:val="20"/>
                <w:color w:val="auto"/>
              </w:rPr>
            </w:pPr>
            <w:r>
              <w:rPr>
                <w:rFonts w:ascii="Times New Roman" w:cs="Times New Roman" w:eastAsia="Times New Roman" w:hAnsi="Times New Roman"/>
                <w:sz w:val="20"/>
                <w:szCs w:val="20"/>
                <w:color w:val="auto"/>
                <w:w w:val="98"/>
              </w:rPr>
              <w:t>Contributions</w:t>
            </w:r>
          </w:p>
        </w:tc>
        <w:tc>
          <w:tcPr>
            <w:tcW w:w="1940" w:type="dxa"/>
            <w:vAlign w:val="bottom"/>
          </w:tcPr>
          <w:p>
            <w:pPr>
              <w:spacing w:after="0"/>
              <w:rPr>
                <w:sz w:val="15"/>
                <w:szCs w:val="15"/>
                <w:color w:val="auto"/>
              </w:rPr>
            </w:pPr>
          </w:p>
        </w:tc>
        <w:tc>
          <w:tcPr>
            <w:tcW w:w="18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Total Fully Corrected</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2200" w:type="dxa"/>
            <w:vAlign w:val="bottom"/>
          </w:tcPr>
          <w:p>
            <w:pPr>
              <w:jc w:val="center"/>
              <w:ind w:left="261"/>
              <w:spacing w:after="0" w:line="203" w:lineRule="exact"/>
              <w:rPr>
                <w:sz w:val="20"/>
                <w:szCs w:val="20"/>
                <w:color w:val="auto"/>
              </w:rPr>
            </w:pPr>
            <w:r>
              <w:rPr>
                <w:rFonts w:ascii="Times New Roman" w:cs="Times New Roman" w:eastAsia="Times New Roman" w:hAnsi="Times New Roman"/>
                <w:sz w:val="20"/>
                <w:szCs w:val="20"/>
                <w:color w:val="auto"/>
                <w:w w:val="98"/>
              </w:rPr>
              <w:t>Contributions</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Contributions Not</w:t>
            </w:r>
          </w:p>
        </w:tc>
        <w:tc>
          <w:tcPr>
            <w:tcW w:w="178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2200" w:type="dxa"/>
            <w:vAlign w:val="bottom"/>
          </w:tcPr>
          <w:p>
            <w:pPr>
              <w:jc w:val="center"/>
              <w:ind w:left="241"/>
              <w:spacing w:after="0" w:line="203" w:lineRule="exact"/>
              <w:rPr>
                <w:sz w:val="20"/>
                <w:szCs w:val="20"/>
                <w:color w:val="auto"/>
              </w:rPr>
            </w:pPr>
            <w:r>
              <w:rPr>
                <w:rFonts w:ascii="Times New Roman" w:cs="Times New Roman" w:eastAsia="Times New Roman" w:hAnsi="Times New Roman"/>
                <w:sz w:val="20"/>
                <w:szCs w:val="20"/>
                <w:color w:val="auto"/>
                <w:w w:val="98"/>
              </w:rPr>
              <w:t>Transferred Late to the</w:t>
            </w:r>
          </w:p>
        </w:tc>
        <w:tc>
          <w:tcPr>
            <w:tcW w:w="1860" w:type="dxa"/>
            <w:vAlign w:val="bottom"/>
            <w:vMerge w:val="continue"/>
          </w:tcPr>
          <w:p>
            <w:pPr>
              <w:spacing w:after="0"/>
              <w:rPr>
                <w:sz w:val="17"/>
                <w:szCs w:val="17"/>
                <w:color w:val="auto"/>
              </w:rPr>
            </w:pPr>
          </w:p>
        </w:tc>
        <w:tc>
          <w:tcPr>
            <w:tcW w:w="1780" w:type="dxa"/>
            <w:vAlign w:val="bottom"/>
          </w:tcPr>
          <w:p>
            <w:pPr>
              <w:jc w:val="center"/>
              <w:ind w:left="1"/>
              <w:spacing w:after="0" w:line="203" w:lineRule="exact"/>
              <w:rPr>
                <w:sz w:val="20"/>
                <w:szCs w:val="20"/>
                <w:color w:val="auto"/>
              </w:rPr>
            </w:pPr>
            <w:r>
              <w:rPr>
                <w:rFonts w:ascii="Times New Roman" w:cs="Times New Roman" w:eastAsia="Times New Roman" w:hAnsi="Times New Roman"/>
                <w:sz w:val="20"/>
                <w:szCs w:val="20"/>
                <w:color w:val="auto"/>
                <w:w w:val="98"/>
              </w:rPr>
              <w:t>Corrected Outside</w:t>
            </w:r>
          </w:p>
        </w:tc>
        <w:tc>
          <w:tcPr>
            <w:tcW w:w="382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20"/>
                <w:szCs w:val="20"/>
                <w:color w:val="auto"/>
              </w:rPr>
              <w:t>Contributions Pending Under VFCP and PTE</w:t>
            </w: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2200" w:type="dxa"/>
            <w:vAlign w:val="bottom"/>
          </w:tcPr>
          <w:p>
            <w:pPr>
              <w:jc w:val="center"/>
              <w:ind w:left="261"/>
              <w:spacing w:after="0"/>
              <w:rPr>
                <w:sz w:val="20"/>
                <w:szCs w:val="20"/>
                <w:color w:val="auto"/>
              </w:rPr>
            </w:pPr>
            <w:r>
              <w:rPr>
                <w:rFonts w:ascii="Times New Roman" w:cs="Times New Roman" w:eastAsia="Times New Roman" w:hAnsi="Times New Roman"/>
                <w:sz w:val="20"/>
                <w:szCs w:val="20"/>
                <w:color w:val="auto"/>
              </w:rPr>
              <w:t>Plan</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Corrected</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VFCP</w:t>
            </w:r>
          </w:p>
        </w:tc>
        <w:tc>
          <w:tcPr>
            <w:tcW w:w="194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9"/>
              </w:rPr>
              <w:t>Correction in VFCP</w:t>
            </w:r>
          </w:p>
        </w:tc>
        <w:tc>
          <w:tcPr>
            <w:tcW w:w="18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auto"/>
              </w:rPr>
              <w:t>2002-51</w:t>
            </w:r>
          </w:p>
        </w:tc>
        <w:tc>
          <w:tcPr>
            <w:tcW w:w="0" w:type="dxa"/>
            <w:vAlign w:val="bottom"/>
          </w:tcPr>
          <w:p>
            <w:pPr>
              <w:spacing w:after="0"/>
              <w:rPr>
                <w:sz w:val="1"/>
                <w:szCs w:val="1"/>
                <w:color w:val="auto"/>
              </w:rPr>
            </w:pPr>
          </w:p>
        </w:tc>
      </w:tr>
      <w:tr>
        <w:trPr>
          <w:trHeight w:val="256"/>
        </w:trPr>
        <w:tc>
          <w:tcPr>
            <w:tcW w:w="148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rPr>
              <w:t>2025</w:t>
            </w:r>
          </w:p>
        </w:tc>
        <w:tc>
          <w:tcPr>
            <w:tcW w:w="2200" w:type="dxa"/>
            <w:vAlign w:val="bottom"/>
            <w:shd w:val="clear" w:color="auto" w:fill="CCEEFF"/>
          </w:tcPr>
          <w:p>
            <w:pPr>
              <w:jc w:val="center"/>
              <w:ind w:left="241"/>
              <w:spacing w:after="0"/>
              <w:rPr>
                <w:sz w:val="20"/>
                <w:szCs w:val="20"/>
                <w:color w:val="auto"/>
              </w:rPr>
            </w:pPr>
            <w:r>
              <w:rPr>
                <w:rFonts w:ascii="Times New Roman" w:cs="Times New Roman" w:eastAsia="Times New Roman" w:hAnsi="Times New Roman"/>
                <w:sz w:val="20"/>
                <w:szCs w:val="20"/>
                <w:color w:val="auto"/>
                <w:w w:val="98"/>
              </w:rPr>
              <w:t>$9,487</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88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20"/>
                <w:szCs w:val="20"/>
                <w:color w:val="auto"/>
              </w:rPr>
              <w:t>$9,487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78"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color w:val="auto"/>
        </w:rPr>
        <w:t>CROWN CORK &amp; SEAL COMPANY, INC. 401(k) RETIREMENT SAVINGS PLAN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H, Line 4i - Schedule of Assets (Held at End of Year)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68751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75145" cy="1714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Cork &amp; Seal Company, Inc. 401(k) Retirement Savings Plan</w:t>
      </w:r>
    </w:p>
    <w:p>
      <w:pPr>
        <w:spacing w:after="0"/>
        <w:rPr>
          <w:sz w:val="20"/>
          <w:szCs w:val="20"/>
          <w:color w:val="auto"/>
        </w:rPr>
      </w:pPr>
      <w:r>
        <w:rPr>
          <w:rFonts w:ascii="Times New Roman" w:cs="Times New Roman" w:eastAsia="Times New Roman" w:hAnsi="Times New Roman"/>
          <w:sz w:val="18"/>
          <w:szCs w:val="18"/>
          <w:color w:val="auto"/>
        </w:rPr>
        <w:t>EIN 23-1526444 Plan No. 100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Identity of Participant-Directed Issues</w:t>
            </w:r>
          </w:p>
        </w:tc>
        <w:tc>
          <w:tcPr>
            <w:tcW w:w="46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20"/>
                <w:szCs w:val="20"/>
                <w:b w:val="1"/>
                <w:bCs w:val="1"/>
                <w:color w:val="auto"/>
              </w:rPr>
              <w:t>Investment Type</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Current Value</w:t>
            </w:r>
          </w:p>
        </w:tc>
      </w:tr>
      <w:tr>
        <w:trPr>
          <w:trHeight w:val="23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Baird Core Plus Bond Fund</w:t>
            </w:r>
          </w:p>
        </w:tc>
        <w:tc>
          <w:tcPr>
            <w:tcW w:w="46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8,857,378</w:t>
            </w:r>
          </w:p>
        </w:tc>
      </w:tr>
      <w:tr>
        <w:trPr>
          <w:trHeight w:val="229"/>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DFA Emerging Markets Core Equity Portfolio</w:t>
            </w:r>
          </w:p>
        </w:tc>
        <w:tc>
          <w:tcPr>
            <w:tcW w:w="4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633,836</w:t>
            </w:r>
          </w:p>
        </w:tc>
      </w:tr>
      <w:tr>
        <w:trPr>
          <w:trHeight w:val="229"/>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DFA US Targeted Value Portfolio</w:t>
            </w:r>
          </w:p>
        </w:tc>
        <w:tc>
          <w:tcPr>
            <w:tcW w:w="46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1,293,387</w:t>
            </w:r>
          </w:p>
        </w:tc>
      </w:tr>
      <w:tr>
        <w:trPr>
          <w:trHeight w:val="230"/>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Fidelity Small Cap Growth Fund</w:t>
            </w:r>
          </w:p>
        </w:tc>
        <w:tc>
          <w:tcPr>
            <w:tcW w:w="4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11,680,171</w:t>
            </w:r>
          </w:p>
        </w:tc>
      </w:tr>
      <w:tr>
        <w:trPr>
          <w:trHeight w:val="229"/>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 Rowe Price International Discovery Fund</w:t>
            </w:r>
          </w:p>
        </w:tc>
        <w:tc>
          <w:tcPr>
            <w:tcW w:w="46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428,205</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 Vanguard Developed Markets Index Fund</w:t>
            </w:r>
          </w:p>
        </w:tc>
        <w:tc>
          <w:tcPr>
            <w:tcW w:w="4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16,898,900</w:t>
            </w:r>
          </w:p>
        </w:tc>
      </w:tr>
      <w:tr>
        <w:trPr>
          <w:trHeight w:val="22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International Growth Fund</w:t>
            </w:r>
          </w:p>
        </w:tc>
        <w:tc>
          <w:tcPr>
            <w:tcW w:w="46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9,289,286</w:t>
            </w: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 Vanguard Russell 1000 Growth Index Fund</w:t>
            </w:r>
          </w:p>
        </w:tc>
        <w:tc>
          <w:tcPr>
            <w:tcW w:w="4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11,637,339</w:t>
            </w:r>
          </w:p>
        </w:tc>
      </w:tr>
      <w:tr>
        <w:trPr>
          <w:trHeight w:val="23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Cash Reserve Federal Money Market Fund</w:t>
            </w:r>
          </w:p>
        </w:tc>
        <w:tc>
          <w:tcPr>
            <w:tcW w:w="46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227,159</w:t>
            </w: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 Vanguard Total Bond Market Index Fund</w:t>
            </w:r>
          </w:p>
        </w:tc>
        <w:tc>
          <w:tcPr>
            <w:tcW w:w="4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14,314,867</w:t>
            </w:r>
          </w:p>
        </w:tc>
      </w:tr>
      <w:tr>
        <w:trPr>
          <w:trHeight w:val="22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Institutional Total Stock Market Index Fund</w:t>
            </w:r>
          </w:p>
        </w:tc>
        <w:tc>
          <w:tcPr>
            <w:tcW w:w="46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85,436,715</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 Vanguard Wellington Fund</w:t>
            </w:r>
          </w:p>
        </w:tc>
        <w:tc>
          <w:tcPr>
            <w:tcW w:w="4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15,139,557</w:t>
            </w:r>
          </w:p>
        </w:tc>
      </w:tr>
      <w:tr>
        <w:trPr>
          <w:trHeight w:val="22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Windsor II Fund</w:t>
            </w:r>
          </w:p>
        </w:tc>
        <w:tc>
          <w:tcPr>
            <w:tcW w:w="46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9,728,110</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2020 Trust</w:t>
            </w:r>
          </w:p>
        </w:tc>
        <w:tc>
          <w:tcPr>
            <w:tcW w:w="4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2,676,732</w:t>
            </w:r>
          </w:p>
        </w:tc>
      </w:tr>
      <w:tr>
        <w:trPr>
          <w:trHeight w:val="22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2025 Trust</w:t>
            </w:r>
          </w:p>
        </w:tc>
        <w:tc>
          <w:tcPr>
            <w:tcW w:w="46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12,020,246</w:t>
            </w: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2030 Trust</w:t>
            </w:r>
          </w:p>
        </w:tc>
        <w:tc>
          <w:tcPr>
            <w:tcW w:w="4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16,356,026</w:t>
            </w:r>
          </w:p>
        </w:tc>
      </w:tr>
      <w:tr>
        <w:trPr>
          <w:trHeight w:val="23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2035 Trust</w:t>
            </w:r>
          </w:p>
        </w:tc>
        <w:tc>
          <w:tcPr>
            <w:tcW w:w="46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21,470,357</w:t>
            </w: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2040 Trust</w:t>
            </w:r>
          </w:p>
        </w:tc>
        <w:tc>
          <w:tcPr>
            <w:tcW w:w="4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11,679,888</w:t>
            </w:r>
          </w:p>
        </w:tc>
      </w:tr>
      <w:tr>
        <w:trPr>
          <w:trHeight w:val="23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2045 Trust</w:t>
            </w:r>
          </w:p>
        </w:tc>
        <w:tc>
          <w:tcPr>
            <w:tcW w:w="46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15,288,061</w:t>
            </w: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2050 Trust</w:t>
            </w:r>
          </w:p>
        </w:tc>
        <w:tc>
          <w:tcPr>
            <w:tcW w:w="4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12,156,685</w:t>
            </w:r>
          </w:p>
        </w:tc>
      </w:tr>
      <w:tr>
        <w:trPr>
          <w:trHeight w:val="23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2055 Trust</w:t>
            </w:r>
          </w:p>
        </w:tc>
        <w:tc>
          <w:tcPr>
            <w:tcW w:w="46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13,896,888</w:t>
            </w: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2060 Trust</w:t>
            </w:r>
          </w:p>
        </w:tc>
        <w:tc>
          <w:tcPr>
            <w:tcW w:w="4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4,198,292</w:t>
            </w:r>
          </w:p>
        </w:tc>
      </w:tr>
      <w:tr>
        <w:trPr>
          <w:trHeight w:val="23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2065 Trust</w:t>
            </w:r>
          </w:p>
        </w:tc>
        <w:tc>
          <w:tcPr>
            <w:tcW w:w="46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2,687,591</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2070 Trust</w:t>
            </w:r>
          </w:p>
        </w:tc>
        <w:tc>
          <w:tcPr>
            <w:tcW w:w="4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395,095</w:t>
            </w:r>
          </w:p>
        </w:tc>
      </w:tr>
      <w:tr>
        <w:trPr>
          <w:trHeight w:val="23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Income Trust</w:t>
            </w:r>
          </w:p>
        </w:tc>
        <w:tc>
          <w:tcPr>
            <w:tcW w:w="46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5,386,273</w:t>
            </w: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 Vanguard Retirement Savings Trust III</w:t>
            </w:r>
          </w:p>
        </w:tc>
        <w:tc>
          <w:tcPr>
            <w:tcW w:w="4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29,171,770</w:t>
            </w:r>
          </w:p>
        </w:tc>
      </w:tr>
      <w:tr>
        <w:trPr>
          <w:trHeight w:val="23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Crown Holdings, Inc. Stock Fund</w:t>
            </w:r>
          </w:p>
        </w:tc>
        <w:tc>
          <w:tcPr>
            <w:tcW w:w="46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Common Stock Fund</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15,736,605</w:t>
            </w:r>
          </w:p>
        </w:tc>
      </w:tr>
      <w:tr>
        <w:trPr>
          <w:trHeight w:val="175"/>
        </w:trPr>
        <w:tc>
          <w:tcPr>
            <w:tcW w:w="4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 Notes receivable from participants</w:t>
            </w:r>
          </w:p>
        </w:tc>
        <w:tc>
          <w:tcPr>
            <w:tcW w:w="4640" w:type="dxa"/>
            <w:vAlign w:val="bottom"/>
          </w:tcPr>
          <w:p>
            <w:pPr>
              <w:ind w:left="760"/>
              <w:spacing w:after="0" w:line="176" w:lineRule="exact"/>
              <w:rPr>
                <w:sz w:val="20"/>
                <w:szCs w:val="20"/>
                <w:color w:val="auto"/>
              </w:rPr>
            </w:pPr>
            <w:r>
              <w:rPr>
                <w:rFonts w:ascii="Times New Roman" w:cs="Times New Roman" w:eastAsia="Times New Roman" w:hAnsi="Times New Roman"/>
                <w:sz w:val="18"/>
                <w:szCs w:val="18"/>
                <w:color w:val="auto"/>
              </w:rPr>
              <w:t>Interest rates: 4.25% - 9.50%, maturing</w:t>
            </w:r>
          </w:p>
        </w:tc>
        <w:tc>
          <w:tcPr>
            <w:tcW w:w="24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6,444,402</w:t>
            </w:r>
          </w:p>
        </w:tc>
      </w:tr>
      <w:tr>
        <w:trPr>
          <w:trHeight w:val="239"/>
        </w:trPr>
        <w:tc>
          <w:tcPr>
            <w:tcW w:w="4860" w:type="dxa"/>
            <w:vAlign w:val="bottom"/>
            <w:tcBorders>
              <w:bottom w:val="single" w:sz="8" w:color="CCEEFF"/>
            </w:tcBorders>
          </w:tcPr>
          <w:p>
            <w:pPr>
              <w:spacing w:after="0"/>
              <w:rPr>
                <w:sz w:val="20"/>
                <w:szCs w:val="20"/>
                <w:color w:val="auto"/>
              </w:rPr>
            </w:pPr>
          </w:p>
        </w:tc>
        <w:tc>
          <w:tcPr>
            <w:tcW w:w="464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8"/>
                <w:szCs w:val="18"/>
                <w:color w:val="auto"/>
              </w:rPr>
              <w:t>through May 1, 2034</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52"/>
        </w:trPr>
        <w:tc>
          <w:tcPr>
            <w:tcW w:w="4860" w:type="dxa"/>
            <w:vAlign w:val="bottom"/>
            <w:tcBorders>
              <w:bottom w:val="single" w:sz="8" w:color="CCEEFF"/>
            </w:tcBorders>
            <w:shd w:val="clear" w:color="auto" w:fill="CCEEFF"/>
          </w:tcPr>
          <w:p>
            <w:pPr>
              <w:ind w:left="180"/>
              <w:spacing w:after="0" w:line="228" w:lineRule="exact"/>
              <w:rPr>
                <w:sz w:val="20"/>
                <w:szCs w:val="20"/>
                <w:color w:val="auto"/>
              </w:rPr>
            </w:pPr>
            <w:r>
              <w:rPr>
                <w:rFonts w:ascii="Times New Roman" w:cs="Times New Roman" w:eastAsia="Times New Roman" w:hAnsi="Times New Roman"/>
                <w:sz w:val="20"/>
                <w:szCs w:val="20"/>
                <w:b w:val="1"/>
                <w:bCs w:val="1"/>
                <w:color w:val="auto"/>
              </w:rPr>
              <w:t>Total Assets (Held at End of Year)</w:t>
            </w:r>
          </w:p>
        </w:tc>
        <w:tc>
          <w:tcPr>
            <w:tcW w:w="4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355,129,821</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Party-in-Interest as defined by ERISA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column not required to be reported as all investments are participant directed.</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540" w:top="567" w:right="5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86"/>
        </w:trPr>
        <w:tc>
          <w:tcPr>
            <w:tcW w:w="22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EXHIBITS</w:t>
            </w:r>
          </w:p>
        </w:tc>
        <w:tc>
          <w:tcPr>
            <w:tcW w:w="19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68"/>
        </w:trPr>
        <w:tc>
          <w:tcPr>
            <w:tcW w:w="4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Number</w:t>
            </w:r>
          </w:p>
        </w:tc>
        <w:tc>
          <w:tcPr>
            <w:tcW w:w="5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23</w:t>
            </w:r>
          </w:p>
        </w:tc>
        <w:tc>
          <w:tcPr>
            <w:tcW w:w="780" w:type="dxa"/>
            <w:vAlign w:val="bottom"/>
          </w:tcPr>
          <w:p>
            <w:pPr>
              <w:spacing w:after="0"/>
              <w:rPr>
                <w:sz w:val="21"/>
                <w:szCs w:val="21"/>
                <w:color w:val="auto"/>
              </w:rPr>
            </w:pPr>
          </w:p>
        </w:tc>
        <w:tc>
          <w:tcPr>
            <w:tcW w:w="5180" w:type="dxa"/>
            <w:vAlign w:val="bottom"/>
            <w:tcBorders>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7"/>
              </w:rPr>
              <w:t>Consent of Independent Registered Public Accounting Firm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Benefit Plans Investment Committee has duly caused this annual report to be signed on its behalf by the undersigned hereto duly authorized.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Crown Cork &amp; Seal Company, Inc.</w:t>
      </w:r>
    </w:p>
    <w:p>
      <w:pPr>
        <w:spacing w:after="0" w:line="2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401(k) Retirement Savings Plan</w:t>
      </w:r>
    </w:p>
    <w:p>
      <w:pPr>
        <w:spacing w:after="0" w:line="200" w:lineRule="exact"/>
        <w:rPr>
          <w:sz w:val="20"/>
          <w:szCs w:val="20"/>
          <w:color w:val="auto"/>
        </w:rPr>
      </w:pPr>
    </w:p>
    <w:p>
      <w:pPr>
        <w:spacing w:after="0" w:line="345" w:lineRule="exact"/>
        <w:rPr>
          <w:sz w:val="20"/>
          <w:szCs w:val="20"/>
          <w:color w:val="auto"/>
        </w:rPr>
      </w:pPr>
    </w:p>
    <w:p>
      <w:pPr>
        <w:ind w:left="5460"/>
        <w:spacing w:after="0"/>
        <w:tabs>
          <w:tab w:leader="none" w:pos="60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Kevin B. Garry</w:t>
      </w:r>
    </w:p>
    <w:p>
      <w:pPr>
        <w:spacing w:after="0" w:line="2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Kevin B. Garry</w:t>
      </w:r>
    </w:p>
    <w:p>
      <w:pPr>
        <w:spacing w:after="0" w:line="1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Vice President and Corporate Controller</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June 18, 2026</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891" w:right="339" w:bottom="1440" w:gutter="0" w:footer="0" w:header="0"/>
          <w:type w:val="continuous"/>
        </w:sectPr>
      </w:pPr>
    </w:p>
    <w:bookmarkStart w:id="16" w:name="page17"/>
    <w:bookmarkEnd w:id="16"/>
    <w:p>
      <w:pPr>
        <w:jc w:val="right"/>
        <w:spacing w:after="0"/>
        <w:rPr>
          <w:sz w:val="20"/>
          <w:szCs w:val="20"/>
          <w:color w:val="auto"/>
        </w:rPr>
      </w:pPr>
      <w:r>
        <w:rPr>
          <w:rFonts w:ascii="Times New Roman" w:cs="Times New Roman" w:eastAsia="Times New Roman" w:hAnsi="Times New Roman"/>
          <w:sz w:val="25"/>
          <w:szCs w:val="2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consent to the incorporation by reference in the Registration Statement (No. 333-140991) on Form S-8 of our report dated June 18, 2026, relating to the financial statements and supplemental schedules, appearing in this Annual Report on Form 11-K of the Crown Cork &amp; Seal Company, Inc. 401(k) Retirement Savings Plan for the year ended December 31, 2025.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Whippany, New Jersey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18, 2026</w:t>
      </w:r>
    </w:p>
    <w:sectPr>
      <w:pgSz w:w="11900" w:h="16838" w:orient="portrait"/>
      <w:cols w:equalWidth="0" w:num="1">
        <w:col w:w="11240"/>
      </w:cols>
      <w:pgMar w:left="320" w:top="1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2026-06-18T10:52:47Z</dcterms:created>
  <dcterms:modified xsi:type="dcterms:W3CDTF">2026-06-18T10:52:47Z</dcterms:modified>
</cp:coreProperties>
</file>