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904" w:type="dxa"/>
        <w:tblCellMar>
          <w:top w:w="0" w:type="dxa"/>
          <w:left w:w="0" w:type="dxa"/>
          <w:bottom w:w="0" w:type="dxa"/>
          <w:right w:w="0" w:type="dxa"/>
        </w:tblCellMar>
      </w:tblPr>
      <w:tr>
        <w:trPr>
          <w:trHeight w:val="214"/>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001-41550</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48"/>
        </w:trPr>
        <w:tc>
          <w:tcPr>
            <w:tcW w:w="312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1/2% Debentures Due 2096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Crown Americas LLC and Crown Americas Capital Corp. VI (the “</w:t>
      </w:r>
      <w:r>
        <w:rPr>
          <w:rFonts w:ascii="Times New Roman" w:cs="Times New Roman" w:eastAsia="Times New Roman" w:hAnsi="Times New Roman"/>
          <w:sz w:val="18"/>
          <w:szCs w:val="18"/>
          <w:u w:val="single" w:color="auto"/>
          <w:color w:val="auto"/>
        </w:rPr>
        <w:t>2026 Note Issuers</w:t>
      </w:r>
      <w:r>
        <w:rPr>
          <w:rFonts w:ascii="Times New Roman" w:cs="Times New Roman" w:eastAsia="Times New Roman" w:hAnsi="Times New Roman"/>
          <w:sz w:val="18"/>
          <w:szCs w:val="18"/>
          <w:color w:val="auto"/>
        </w:rPr>
        <w:t>”), each a wholly-owned subsidiary of Crown Holdings, Inc., a Pennsylvania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issued a conditional notice of redemption to redeem all of the 2026 Note Issuers’ outstanding 4.750% Senior Notes due 2026 (the “</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with an initial aggregate principal amount outstanding of $875 million. The 2026 Notes will be redeemed on June 15, 2025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at the redemption price equal to 100% of the principal amount thereof, plus accrued and unpaid interest, if any, from and including the most recent Interest Payment Date, February 1, 2025, to the Redemption Date.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redemption of the 2026 Notes is conditioned upon the issuance of Crown Americas LLC $700 million aggregate principal amount of 5.875% Senior Notes due 2033 pursuant to that certain Purchase Agreement, dated May 12, 2025, by and among Crown Holdings Inc., Crown Americas LLC, BofA Securities, Inc., as representative of the Initial Purchasers named in Schedule I thereto and the Guarantors (as defined therein), prior to the Redemption Date. There can be no assurance that the Issuers will satisfy this condition and, if the condition is not satisfied, the Issuers will not be obligated to redeem the Notes on the Redemption Date.</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2025-05-16T15:58:20Z</dcterms:created>
  <dcterms:modified xsi:type="dcterms:W3CDTF">2025-05-16T15:58:20Z</dcterms:modified>
</cp:coreProperties>
</file>