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50" w:lineRule="exact"/>
        <w:rPr>
          <w:sz w:val="24"/>
          <w:szCs w:val="24"/>
          <w:color w:val="auto"/>
        </w:rPr>
      </w:pPr>
    </w:p>
    <w:p>
      <w:pPr>
        <w:ind w:left="440" w:right="1660" w:hanging="414"/>
        <w:spacing w:after="0" w:line="239" w:lineRule="auto"/>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Pennsylvania</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75-3099507</w:t>
            </w:r>
          </w:p>
        </w:tc>
      </w:tr>
      <w:tr>
        <w:trPr>
          <w:trHeight w:val="16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1"/>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14025 Riveredge Drive, Suite 300</w:t>
            </w:r>
          </w:p>
        </w:tc>
        <w:tc>
          <w:tcPr>
            <w:tcW w:w="20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Tampa</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w:t>
            </w: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33637-2015</w:t>
            </w:r>
          </w:p>
        </w:tc>
      </w:tr>
      <w:tr>
        <w:trPr>
          <w:trHeight w:val="20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3660" w:type="dxa"/>
            <w:vAlign w:val="bottom"/>
          </w:tcPr>
          <w:p>
            <w:pPr>
              <w:spacing w:after="0"/>
              <w:rPr>
                <w:sz w:val="23"/>
                <w:szCs w:val="23"/>
                <w:color w:val="auto"/>
              </w:rPr>
            </w:pPr>
          </w:p>
        </w:tc>
        <w:tc>
          <w:tcPr>
            <w:tcW w:w="7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Registrant’s telephone number, including area code: 215-698-5100</w:t>
            </w:r>
          </w:p>
        </w:tc>
      </w:tr>
      <w:tr>
        <w:trPr>
          <w:trHeight w:val="188"/>
        </w:trPr>
        <w:tc>
          <w:tcPr>
            <w:tcW w:w="3660" w:type="dxa"/>
            <w:vAlign w:val="bottom"/>
          </w:tcPr>
          <w:p>
            <w:pPr>
              <w:spacing w:after="0"/>
              <w:rPr>
                <w:sz w:val="16"/>
                <w:szCs w:val="16"/>
                <w:color w:val="auto"/>
              </w:rPr>
            </w:pPr>
          </w:p>
        </w:tc>
        <w:tc>
          <w:tcPr>
            <w:tcW w:w="28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____________________</w:t>
            </w:r>
          </w:p>
        </w:tc>
        <w:tc>
          <w:tcPr>
            <w:tcW w:w="4700" w:type="dxa"/>
            <w:vAlign w:val="bottom"/>
          </w:tcPr>
          <w:p>
            <w:pPr>
              <w:spacing w:after="0"/>
              <w:rPr>
                <w:sz w:val="16"/>
                <w:szCs w:val="16"/>
                <w:color w:val="auto"/>
              </w:rPr>
            </w:pPr>
          </w:p>
        </w:tc>
      </w:tr>
      <w:tr>
        <w:trPr>
          <w:trHeight w:val="288"/>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4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8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w:t>
            </w:r>
          </w:p>
        </w:tc>
        <w:tc>
          <w:tcPr>
            <w:tcW w:w="820" w:type="dxa"/>
            <w:vAlign w:val="bottom"/>
          </w:tcPr>
          <w:p>
            <w:pPr>
              <w:spacing w:after="0"/>
              <w:rPr>
                <w:sz w:val="17"/>
                <w:szCs w:val="17"/>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CCK26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CCK96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1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07"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2"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8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As of June 30, 2024 120,867,675 shares of the Registrant’s Common Stock, excluding shares held in Treasury, were issued and outstanding, and the aggregate market value of such shares held by non-affiliates of the Registrant on such date was $8,940,581,920 based on the New York Stock Exchange closing price for such shares on that date.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117,552,541 shares of the Registrant’s Common Stock were issued and outstanding.</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2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2"/>
        </w:trPr>
        <w:tc>
          <w:tcPr>
            <w:tcW w:w="340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Document</w:t>
            </w:r>
          </w:p>
        </w:tc>
        <w:tc>
          <w:tcPr>
            <w:tcW w:w="3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Parts Into Which Incorporated</w:t>
            </w:r>
          </w:p>
        </w:tc>
      </w:tr>
      <w:tr>
        <w:trPr>
          <w:trHeight w:val="20"/>
        </w:trPr>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3"/>
        </w:trPr>
        <w:tc>
          <w:tcPr>
            <w:tcW w:w="76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Proxy Statement for the Annual Meeting of Shareholders to be held May 1, 2025</w:t>
            </w:r>
          </w:p>
        </w:tc>
        <w:tc>
          <w:tcPr>
            <w:tcW w:w="3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Part III to the extent described therein</w:t>
            </w:r>
          </w:p>
        </w:tc>
      </w:tr>
      <w:tr>
        <w:trPr>
          <w:trHeight w:val="233"/>
        </w:trPr>
        <w:tc>
          <w:tcPr>
            <w:tcW w:w="3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6"/>
        </w:trPr>
        <w:tc>
          <w:tcPr>
            <w:tcW w:w="3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695"/>
        </w:trPr>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906"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2024 FORM 10-K ANNUAL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PART I</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Business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 Cybersecurity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Properties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90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PART II</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 [Reserved]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Summary of Significant Accounting Policies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 Acquisitions and Divestitures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 Receivables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 Inventories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 Goodwill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 Intangible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 Property, Plant and Equipment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 Leases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 Other Non-Current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 Accrued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 Supplier Finance Program Obligations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 Restructuring and Other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 Debt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 Derivative and Other Financial Instruments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 Asbestos-Related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 Commitments and Contingent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 Other Non-Current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Pension and Other Postretirement Benefits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 Income Taxes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 Capital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 Accumulated Other Comprehensive Loss Attributable to Crown Holdings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 Revenue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 Stock-Based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 Earnings Per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 Segment Information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885"/>
        </w:trPr>
        <w:tc>
          <w:tcPr>
            <w:tcW w:w="9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433"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8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80" w:type="dxa"/>
            <w:vAlign w:val="bottom"/>
          </w:tcPr>
          <w:p>
            <w:pPr>
              <w:spacing w:after="0"/>
              <w:rPr>
                <w:sz w:val="20"/>
                <w:szCs w:val="20"/>
                <w:color w:val="auto"/>
              </w:rPr>
            </w:pPr>
          </w:p>
        </w:tc>
      </w:tr>
      <w:tr>
        <w:trPr>
          <w:trHeight w:val="702"/>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760" w:type="dxa"/>
            <w:vAlign w:val="bottom"/>
          </w:tcPr>
          <w:p>
            <w:pPr>
              <w:spacing w:after="0"/>
              <w:rPr>
                <w:sz w:val="23"/>
                <w:szCs w:val="23"/>
                <w:color w:val="auto"/>
              </w:rPr>
            </w:pPr>
          </w:p>
        </w:tc>
        <w:tc>
          <w:tcPr>
            <w:tcW w:w="88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PART III</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760" w:type="dxa"/>
            <w:vAlign w:val="bottom"/>
          </w:tcPr>
          <w:p>
            <w:pPr>
              <w:spacing w:after="0"/>
              <w:rPr>
                <w:sz w:val="23"/>
                <w:szCs w:val="23"/>
                <w:color w:val="auto"/>
              </w:rPr>
            </w:pPr>
          </w:p>
        </w:tc>
        <w:tc>
          <w:tcPr>
            <w:tcW w:w="88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PART IV</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769"/>
        </w:trPr>
        <w:tc>
          <w:tcPr>
            <w:tcW w:w="760" w:type="dxa"/>
            <w:vAlign w:val="bottom"/>
          </w:tcPr>
          <w:p>
            <w:pPr>
              <w:spacing w:after="0"/>
              <w:rPr>
                <w:sz w:val="24"/>
                <w:szCs w:val="24"/>
                <w:color w:val="auto"/>
              </w:rPr>
            </w:pPr>
          </w:p>
        </w:tc>
        <w:tc>
          <w:tcPr>
            <w:tcW w:w="88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8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Business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founded in 1892 and is a leading global diversified packaging business that manufactures metal cans and ends (aluminum and steel) for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beverage, food and aerosol industries and a wide range of transit packaging products and solutions from multiple substrates including steel, paper, and plastic. The Company's transit packaging products include automation and equipment technologies, protective packaging solutions and steel and plastic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consumables which are sold into the metals, food and beverage, construction, agricultural, corrugated, and general industries.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Company operated 189 plants along with sales and service facilities throughout 39 countries and had approximately 23,000 employees. In 2024, consolidated net sales for the Company were $11.8 billion with 63% derived from operations outside the United States ("U.S.")</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Approximately 72% of the Company's consolidated net sales were derived from the Company's global beverage can business. Over the last several years, the Company has deployed capital to expand production capacity in its global beverage can operations to support growing customer demand in both the alcoholic and non-alcoholic drink categories serving local, regional and global customers. The beverage can continues to disproportionately be the package of choice for new beverage product introductions. The Company continues to drive innovation by increasing its ability to offer multiple specialty can sizes, including slim and sleek cans, to help customers differentiate their products. It also continues to deliver new printing and decorating capabilities, as well as services that aid customers throughout the entire production cycle, from consultation and development to line implementation and quality assurance.</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Company is guided by commitments to its stakeholders and its own goals to foster a resilient business with longevity, which requires an emphasis on financial performance and sustainability. 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color w:val="auto"/>
        </w:rPr>
        <w:t xml:space="preserve"> program, which is a comprehensive sustainability strategy that outlines twenty measurable goals to be achieved by 2030, has accelerated critical initiatives and progress around carbon footprint management and efficient use of resources, among other issues.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continues to leverage the inherent eco-friendly benefits of its primary product, metal packaging, to advance toward its targets. Both aluminum and steel cans are infinitely recyclable. Aluminum beverage cans remain the world’s most recycled beverage packaging, exemplify sustainability and are a strong contributor to the circular economy. The Company is working in conjunction with industry partners to drive higher recycling rates and increase recycled content to ensure infinitely recycled metal packaging is available for generations of future use. Additionally, Transit Packaging uses recycled materials in its paper, cardboard and strapping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REPORTABLE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reportable segments are: Americas Beverage, European Beverage, Asia Pacific and Transit Packaging. Operations are managed regionally to best serve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Americas Beverage segment manufactures infinitely recyclable aluminum beverage cans and ends, glass bottles, steel crowns and aluminum caps. Manufacturing facilities are located in the U.S., Brazil, Canada, Colombia and Mexico. Americas Beverage had net sales in 2024 of $5.2 billion and segment income (as defined under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to the consolidated financial statements) of $987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European Beverage segment manufactures infinitely recyclable aluminum beverage cans and ends in Europe, the Middle East and North Africa. European Beverage had net sales in 2024 of $2.1 billion and segment income (as defined under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to the consolidated financial statements) of $276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Asia Pacific segment manufactures infinitely recyclable beverage cans and ends, food cans and specialty packaging in Cambodia, China, Indonesia, Malaysia, Myanmar, Thailand and Vietnam.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Asia Pacific segment had net sales in 2024 of $1.2 billion and segment income (as defined under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to the consolidated financial statements) of $195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 The automation and equipment business along with our product offering allow the Company to offer a comprehensive solution to pack, wrap, strap, secure and store products all over the world.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Transit Packaging segment had net sales in 2024 of $2.1 billion and segment income (as defined under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to the consolidated financial statements) of $270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segments ("Other") include the Company's food can, aerosol can and closures businesses in North America, and beverage tooling and equipment operations in the U.S. and the United Kingdom ("U.K."). The Company manufactures a variety of food and aerosol cans and ends and closures in assorted shapes and sizes. The Company’s customers include manufacturers of food, including pet food, personal care, household and industrial products.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Additional financial information concerning the Company’s reportable segments is set forth within “Management’s Discussion and Analysis of Financial Condition and Results of Operations” of this Annual Report and under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marketers qualify suppliers on the basis of their ability to provide quality service, innovation and technologies in a cost-effective manner. With its global reach, the Company primarily markets and sells products to customers through its own sales and marketing staff.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the use of working capital. The Company schedules its production to meet customer requirements. Because the production time for the Company’s rigid packaging products is short, any backlog of customer orders in relation to overall sales is not significant. The standard backlog in Transit Packaging’s automation, equipment and tools business is typically not significant, however, supply chain constraints may increase the backlog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Metal Packaging, Ball Corporation, Can-Pack S.A., Metal Container Corporation, Silgan Holdings Inc., Sonoco, and Trivium Packaging.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Transit Packaging also faces substantial competition from many regional and local competitors of various sizes in the manufacture, distribution and sale of its products. Transit Packaging differentiates itself from the competition by leveraging its global scale, broad product portfolio and established brand reputation. Transit Packaging products compete, to some extent, with various other packaging materials, including other products made of paper, plastics, wood and various types of metal.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largest beverage can customers consist of many of the leading manufacturers and marketers of packaged consumer products in the world, including Anheuser-Busch InBev, Coca-Cola, Heineken, Keurig Dr Pepper, Molson Coors, Pepsi-Cola and Refresco, among others. In addition to sales to Coca-Cola and Pepsi-Cola, the Company also supplies independent licensees of Coca-Cola and Pepsi-Cola. Consolidation trends among beverage marketers have led to a concentrated customer base. The Company’s top ten global customers represented in the aggregate approximately 48% of its 2024 consolidated net sales.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two customers each accounted for 12% of the Company's consolidated net sales. For the years ended December 31, 2023 and 2022, these two customers each accounted for 12% and 11%, of the Company's consolidated net sales. These customers are global beverage companies served by the Company's beverage operations in the Americas, Europe and Asia.</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reportable segment, with the exception of Transit Packaging, has major customers and the loss of one or more of these major customers could have a material adverse effect on an individual segment or the Company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MATERIALS AND SUPPLIERS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various raw materials, primarily aluminum and steel, in its manufacturing operations. Transit Packaging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consumption of aluminum and steel represented 46% and 7%, respectively,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including tariffs, trade restrictions or retaliatory trade measures,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aluminum contracts typically multi-year in duration with fluctuating prices based on aluminum ingot costs and steel contracts typically one year in duration with fixed prices or set repricing dates.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attempts to mitigate its aluminum and steel price risk by matching its purchase obligations with its sales agreements; however, there can be no assurance that the Company will be able to fully mitigate that risk. The Company also uses commodity and foreign currency forwards in an attempt to manage its exposure to aluminum price volatility.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aluminum and steel for a significant period of time, its operations would be disrupted, and if the Company were unable to fully recover the higher cost of aluminum and steel, its financial results may be adversely affected.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continuing global supply and demand pressures, other commodity-related costs affecting the Company’s business may increase as well, including utility and freight-related costs. The Company attempts to increase prices on its products accordingly in order to recover these costs. Certain of the Company's sales contracts contain non-metal pass-through provisions that include annual selling price adjustments based on a producer price index. In certain years the referenced index may be negative, requiring the Company to reduce its selling price while its actual costs may have increased.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impossible to obtain on acceptable terms due to external factors, which could increase the Company’s costs or interrupt its business.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mitigating risks around pricing, the Company maintains its commitment to upholding and evolving standards for ethics and compliance as it sources materials. Regular engagement with suppliers is ongoing to manage materials and the impact on environments and communities. The Company strives to ensure partners meet standards for responsible supply as noted in the formal Code of Business Conduct and Ethics. Through the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the Company has committed to sourcing standards that by 2030 require 100% of core raw materials and service suppliers, by spend, to be assessed and comply with Crown Responsible and Ethical Sourcing policies and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Sustainability remains a core focus of the Company’s business strategy and commitments. The Company recognizes the role of corporate social responsibility and the impact of sustainability performance on economic opportunity and stakeholder relationships, including customers and employees. As a major manufacturer with operations worldwide, the Company can significantly impact industry progress by supporting important sustainability initiatives and adopting practices that create change both within the organization and within partner relationships.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setting 20 measurable goals to be reached by 2030 or sooner. These objectives encompass all aspects of sustainability and reflect areas considered material to the Company’s business as well as areas where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Corporate Environmental Sustainability Policy; a Human Rights Policy; a Responsible and Ethical Sourcing Policy; a Conflict Minerals Policy; and an Environmental, Health and Safety Policy. These policies serve as guidelines for all employees to adhere to as the Company works to advance its sustainability strategy.</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Across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pillars, the Company works toward continuous improvement in product design and manufacturing practices to provide the best outcome for the environment, communities, employees and consumers, both now and in the future.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Aluminum and steel contribute to these improvements as, by nature, they are infinitely recyclable without loss of properties. This means they can be used repeatedly to form new consumer packaging with no degradation in performance, quality or safety. Recycling these metals offers significant savings in energy and water consumption, as well as carbon dioxide emissions. As such, the Company is collaborating with industry partners to improve consumer recycling rates and increasing the use of recycled content. In addition, the Company is making strides in its energy and water usage on a global level, working to implement more renewable energy, minimize water usage and execute water replenishment programs.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efforts in 2024 to be a more proactive sustainability leader:</w:t>
      </w:r>
    </w:p>
    <w:p>
      <w:pPr>
        <w:spacing w:after="0" w:line="25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additional water replenishment projects to replenish water used in high water stress regions. The Company now has projects commissioned in: Brazil, Greece, Spain and Tunisia;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Can Manufacturer’s Institute and the International Aluminium Institute, participated in the second global aluminum can summit to drive further industry movement toward shared sustainability agenda items such as recycled content and climate change mitigation.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Socially, the Company is continuing to elevate its commitments to community engagement through volunteer opportunities and a charitable giving program, which donates to various non-profit organizations across the regions in which it operates. Within its own workforce, the Company is prioritizing employee welfare and striving to more regularly engage its professionals to foster a more connected global team dedicated to individual and collective improvement as an organization.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its collective efforts, the Company has recently received the following recognitions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#1 publicly traded spot within the Containers and Packaging industry category by ESG ratings provider Sustainalytics for managing ESG risk within the Containers and Packaging industry category. This marks the fifth year in a row the Company landed in the top 3% in the "Containers and Packaging" category.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named as one of “America’s Climate Leaders” by USA TODAY and Statista.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recognized within the U.S. Environmental Protection Agency’s ("EPA") Top 30 Green Power Partners from the Fortune 500 list.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There can be no assurance that current or future environmental laws or liabilities will not have a material effect on the Company’s consolidated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approximately 23,000 employees worldwide, with approximately 6,000 employed by the Americas Beverage segment, 3,500 employed by the European Beverage segment, 4,000 employed by the Asia Pacific segment, 7,500 employed by the Transit Packaging segment and 2,000 employed by Other.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Collective bargaining agreements with varying terms and expiration dates cover approximately 10,000 employees. The Company did not experience any significant union-initiated work stoppages during the 2024 fiscal year and believes that its employee relations remain good. The Company does not expect that renegotiation of any collective bargaining agreements expiring in 2025 will have a material adverse effect on its consolidated results of operations, financial position or cash flow.</w:t>
      </w:r>
    </w:p>
    <w:p>
      <w:pPr>
        <w:spacing w:after="0" w:line="20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 believes that its employees are key to achieving the Company’s business goals and growth strategy. Attracting, developing and retaining the most skilled and engaged people globally is crucial to all aspects of the Company’s activities. To this end, the Company has cultivated a senior management team with extensive industry experience and highly complementary skill sets and has consistently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invested in necessary resources to effectively staff and efficiently support its businesses. It continues to fill corporate and plant roles worldwide with individuals who possess material, design and manufacturing expertise and can cultivate lasting customer relationships. To aid retention, the Company aspires to offer market rate competitive compensation packages to all its staff and it provides professional development opportunities that both contribute to the Company’s success and maximize employees' potential. It also aims to implement a positive and inclusive work environment that prioritizes employee safety, fosters an inclusive atmosphere and creates a fulfilling career.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supports the well-being of its employees and their families with a variety of physical, mental and social wellness programs, as well as rigorous on-the-job safety programs. Physical health and wellness programs differ by region, but include Company-sponsored or subsidized medical insurance over and above government provisions, annual medical, cancer and audiometry screenings, and voluntary health fairs. The Company offers employee mental health assistance programs. The Company has built a total safety culture that provides the framework for all health and safety initiatives across the Company and empowers employees to take a proactive role in their safety and that of their fellow employees. The Company’s focus is on behaviors and attitudes and achieving success in incident, injury and near-miss reductions.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that a diverse and inclusive workforce is part of its future business success. It has integrated Diversity &amp; Inclusion (D&amp;I) as a dimension of its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program, aiming to embed D&amp;I awareness in its organizational culture. The Company believes different backgrounds, experiences and perspectives generate powerful new ideas and foster sound and sustainable decision making. The Company’s approach includes deployment of D&amp;I training initiatives, such as psychological safety and unconscious bias trainings, and improvement of its recruitment and onboarding processes. Recruitment programs to attract diverse talent into the organization include an accelerated manufacturing program, first focused on engineering skills, which includes assignments in various businesses and countries to encourage a flexible mindset. This program provides an opportunity for diverse candidates to progress quickly to higher functions within the organization.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continues to focus on improving gender and cultural diversity in the organization, including developing and empowering minorities and women through greater career opportunity and recognition.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give every employee the opportunity to feel heard, supported and valued and to continue building its inclusive culture, the Company implemented a new employee engagement survey globally. The Company aims to better understand what the employee experience looks like at Crown, what works well and what can be improved.</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places a high value on skills management and lifelong learning opportunities that benefit both the individual employee and the whole Company. The Company provides a variety of educational opportunities, including a mix of mandatory and voluntary training programs that occur in classrooms, online and on the job. The Company also recognizes the importance of multifunctional teams and as such, management training includes international exposure and cross-divisional activity to develop common approaches and values. Talent development programs vary by region, but include leadership programs designed to support operations leadership, lean manufacturing operations and employee performance management.</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updating its Human Rights policy based on the latest legal developments, the company has developed a comprehensive Human Rights training program translated into the predominant local languages used within our organization. This program is designed to improve our employees’ understanding, awareness and commitment to human rights principles within our organization.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written Code of Business Conduct and Ethics which describes its policies with respect to, among other things, anti-corruption, protection of confidential information, and environmental, health and safety matters, as well as the Company’s commitment to ensuring that all employees are treated with respect and dignity and are able to work in an environment free from all forms of unlawful employment discrimination. The Company’s compliance teams are responsible for implementing these policies. The Company's compliance program includes a mechanism for employees to report suspected violations of Company policies on a confidential basis, including anonymous reporting where permitted by local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global Research, Development &amp; Engineering ("RD&amp;E") Center for packaging products for consumer goods is located in Wantage, U.K.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 corporate RD&amp;E Center is also applying technical expertise to advance product design and manufacturing capabilities for the Company's beverage equipment operations and its Transit Packaging segment, supplementing the group's existing product developments.</w:t>
      </w:r>
    </w:p>
    <w:p>
      <w:pPr>
        <w:spacing w:after="0" w:line="20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and can shaping have been licensed in Europe, Australia, Japan, and Africa to provide customers with global access to Crown's brand building innovations. In addition to package components, the Company maintains a legacy of innovation that features numerous industry-firsts, including launching new interactive inks, decorative and shaping techniques, new package sizes and styles and new canmaking technologies. Recent examples include the Company’s Accents™ variable printing technology, which facilitates up to 24 different beverage can designs in a single run, and its Quantum™ debossing technology, which implements unique textures on food cans that replace can wall beading with proprietary debossed patterns, such as hexagonal or oval arrays, to prevent counterfeiting and reduce material usage by up to 13%. The RD&amp;E team has also expanded efforts to advance innovations through strategic partnerships with suppliers and through the use of Open Innovation to access new technologies. These efforts are aimed at enhancing the Company's products for our customers by developing improved coatings with enhanced barriers, new decoration technology (such as digital printing), and improved container functionality (such as enhanced resealability).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Transit Packaging is also well known throughout its markets for its ability to drive product innovation and leadership in new technologies. Transit Packaging focuses on market driven innovation and has a long history of creating product and service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solutions that solve problems and create value for its customers. Transit Packaging has grown its global patent portfolio to nearly 360 U.S. issued patents or pending patent applications and over 980 foreign issued patents or pending patent applications. The portfolio broadly covers over 350 customized technologies and spans diverse business platforms, as well as the different countries in which it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spent $32 million in 2024, $33 million in 2023, and $34 million in 2022 in its RD&amp;E activities.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WORKING CAPITAL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historically uses cash during the first nine months of the year to finance seasonal working capital needs. Beverage products are generally consumed in greater amounts during the warmer months and the food packaging business is somewhat seasonal with the first quarter tending to be the slowest period as the autumn packaging period in the Northern Hemisphere has ended and new crops are not yet planted. The Company’s working capital requirements are funded by cash flows from operations, revolving credit facilities and receivables securitization and factoring programs.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website address is </w:t>
      </w:r>
      <w:r>
        <w:rPr>
          <w:rFonts w:ascii="Times New Roman" w:cs="Times New Roman" w:eastAsia="Times New Roman" w:hAnsi="Times New Roman"/>
          <w:sz w:val="18"/>
          <w:szCs w:val="18"/>
          <w:u w:val="single" w:color="auto"/>
          <w:color w:val="auto"/>
        </w:rPr>
        <w:t>www.crowncork.com</w:t>
      </w:r>
      <w:r>
        <w:rPr>
          <w:rFonts w:ascii="Times New Roman" w:cs="Times New Roman" w:eastAsia="Times New Roman" w:hAnsi="Times New Roman"/>
          <w:sz w:val="18"/>
          <w:szCs w:val="18"/>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Sustainability Report,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Business and Industry</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various raw materials, such as aluminum, steel, tin, and materials derived from crude oil and natural gas, such as polyethylene and polypropylene resin, and also water, natural gas, electricity and other processed energy, in its manufacturing activities. Sufficient quantities of these raw materials may not be available in the future or may be available only at increased prices. In 2024, consumption of aluminum and steel represented 46% and 7% of the Company's consolidated cost of products sold, excluding depreciation and amortization. The Company's raw material supply contracts vary as to terms and duration, with aluminum contracts typically multi-year in duration with fluctuating prices based on aluminum ingot costs and steel contracts typically one year in duration with fixed prices. The availability of various raw materials and their prices depend on global and local supply and demand forces, governmental regulations and trade policies (including tariffs and duties), level of production, resource availability, transportation, and other factors, including natural disasters such as floods and earthquakes, and pandemics (including possible reemergence of the COVID 19 pandemic). The U.S. has recently signaled its intention to change U.S. trade policy, including potentially renegotiating or terminating existing trade agreements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tariffs. In February 2025, the U.S. imposed additional tariffs on aluminum and steel as well as on imports from China and announced and subsequently paused implementation of tariffs from Canada and Mexico. These additional tariffs, as well as potential retaliation by another government against such tariffs or policies could significantly affect the price of steel, aluminum and other raw materials used by the Company, which may adversely affect the Company's profits and financial results.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consolidation of steel suppliers, shortage of raw materials affecting the production of steel and the increased global demand for steel, have contributed to an overall tighter supply for steel, resulting in increased steel prices and, in some cases, special surcharges and allocated cut backs of products by steel suppliers.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of certain raw materials used by the Company, such as aluminum, steel and energy, have historically been subject to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volatility. The Company continues to manage the challenges of supply chain disruptions and fluctuating costs for raw materials and energy. While certain, but not all, of the Company's contracts pass through raw material costs to customers, the Company may be unable to increase its prices to offset increases in raw material costs without suffering reductions in unit volume, revenue and operating income. The Company also uses commodity forward contracts to manage its exposure to these raw material costs. The ability to mitigate inflationary risks through these measures varies by region and the impact on the results of the Company's segments for the year-ended December 31, 2024 is discussed, as applicable in "Management's Discussion and Analysis of Financial Condition and Results of Operations - Results of Operations."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purchase aluminum, steel,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with respect to pricing and product volumes.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principal markets may be subject to overcapacity and intense competition, which could reduce the Company's net sales and net income.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Beverage and food cans are standardized products, allowing for relatively little differentiation among competitors. This could lead to overcapacity and price competition among beverage and food can producers if capacity growth outpaced the growth in demand for beverage and food cans and overall manufacturing capacity exceeded demand. These market conditions could reduce product prices and contribute to declining revenue and net income.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substantial competition from producers of alternative packaging made from glass, paper, flexible materials and plastic. The Company's sales depend heavily on the volumes of sales by the Company's customers in the beverage and food markets. Changes in preferences for products and packaging by consumers of beverage cans and prepackaged food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creates excess capacity, the Company experiences relatively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 capacity utilization rates in its operations, which can lead to reduced margins and can have an adverse effect on the Company's business.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developing markets and areas, such as the Middle East, South America, Eastern Europe and Asia. Failure to deliver quality products that meet customer needs ahead of competitors could have a significant adverse effect on the Company's business.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 or cost-effective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seasonal and weather conditions could reduce the Company's net sales.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manufactures metal and glass packaging primarily for the beverage and food can market. Its sales can be affected by weather conditions. Due principally to the seasonal nature of the soft drink, brewing, iced tea and other beverage industries, in which demand is stronger during the summer months, sales of the Company's products are expected to vary by quarter and by region. Unseasonably cool weather can reduce consumer demand for certain beverages packaged in the Company's containers. In addition, poor weather conditions that reduce crop yields of packaged foods can decrease customer demand for its food containers.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of the Company's goodwill would require a write down of goodwill, which would reduce the Company's net income in the period of any such write down. At December 31, 2024, the carrying value of the Company's goodwill was $3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and a prolonged work stoppage or strike at any facility with unionized employees could increase costs and prevent the Company from supplying its customers. In addition, upon the expiration of existing collective bargaining agreements, the Company may not reach new agreements without union or works council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or works council representation in the future.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Company's intellectual property rights may negatively impact its ability to compete.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unable to maintain the proprietary nature of its technologies, its competitors may use its technologies to compete with it. The Company has a number of patents covering various aspects of its products, including its SuperEnd® beverage can end, whose primary patent expired in 2016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at the Company’s facilities could adversely impact the Company’s operations and financial results.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depend heavily on the uninterrupted performance of our manufacturing facilities. Any significant disruption, whether due to natural disasters (such as earthquakes, fires, floods, or hurricanes), equipment failures, power outages, labor disputes, cyberattacks, supply chain breakdowns, or public health crises could materially impair our ability to produce and deliver products on schedule. Such events could lead to increased costs from repairs, lost production, or contractual penalties, as well as damage to customer relationships if we fail to meet demand. We carry insurance for certain interruptions, but coverage may not extend to all scenarios, may involve significant deductibles, or may be insufficient to offset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International Operations</w:t>
      </w:r>
    </w:p>
    <w:p>
      <w:pPr>
        <w:spacing w:after="0" w:line="2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international operations, which generated approximately 63% of its consolidated net sales in 2024, are subject to various risks that may lead to decreases in its financial results, particularly in the case of the Company's operations in emerging markets.</w:t>
      </w:r>
    </w:p>
    <w:p>
      <w:pPr>
        <w:spacing w:after="0" w:line="17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Company is an international company, and the risks associated with operating in non-U.S. jurisdictions, and with operating and seeking to expand business in a number of different regions and countries generally, exposes the Company to potentially conflicting cultural practices, business practices and legal and regulatory requirements and may have a negative impact on the Company’s liquidity and net income. The Company's international operations generated approximately 63% of its consolidated net sales in the years ended 2024, 2023 and 2022. In addition, the Company’s business strategy includes continued expansion of international activities, including within developing markets and areas, such as the Middle East, South America, Eastern Europe and Asia, that may pose political and economic volatility and instability, greater vulnerability to infrastructure and labor disruptions and differing local customer product preferences and requirements than the Company’s other markets. The Company’s expansion efforts may also use capital and other resources of the Company that could be invested in other areas. Further, if a downturn in economic conditions ultimately leads to a significant devaluation of a foreign currency such as the euro, the value of any financial assets that are denominated in that currency may be reduced when translated to U.S. dollars for financial reporting purposes. Any of these conditions could ultimately harm the Company’s overall business, prospects, operating results, financial condition and cash flows.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Emerging markets are a focus of the Company’s international growth strategy, and the Company’s success in developing market share and operating profitably in these markets is critical to the Company’s growth. The developing nature of these markets and the nature of the Company’s international operations generally are subject to various risks, including:</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restrictive trade policies;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regulation (including with respect to product labelling, privacy, data protection and advanced technologies) and policy changes by foreign agencies or governments;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or government royalties, including the imposition or increase of withholding and other taxes on remittances and other payments by non-U.S.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import/export control and other trade compliance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risks and exchange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international accounts receivable and potentially longer payment cycles;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 maintaining international manufacturing and marketing efforts;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non-tariff barriers and higher duty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expatriating or repatriating cash generated or held abroad in a tax-efficient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obligations and intellectual property rights and difficulties in protecting intellectual property or sensitive commercial and operations data or information technology systems generally;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regional labor strikes and work stoppages;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language and cultural differences between personnel in different areas of the world;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social benefit costs for labor, including costs associated with restructurings;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or political, social, legal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boycotts, including with respect to the products of the Company's multi-national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supplier, and investor concerns regarding operations in areas such as the Middle East;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of property by nationalization or expropriation without fair compensation;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limitations on conversions of foreign currencies into dollars or payment of dividends and other payments by non-U.S. subsidiaries;</w:t>
      </w:r>
    </w:p>
    <w:p>
      <w:pPr>
        <w:spacing w:after="0" w:line="6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hyperinflation and currency devaluation in any country where such currency devaluation could affect the amount of cash generated by operations in that country and thereby affect the Company's ability to satisfy its obligations;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geographical concentration of the Company’s factories and operations and regional shifts in its customer base;</w:t>
      </w:r>
    </w:p>
    <w:p>
      <w:pPr>
        <w:spacing w:after="0" w:line="35" w:lineRule="exact"/>
        <w:rPr>
          <w:rFonts w:ascii="Arial" w:cs="Arial" w:eastAsia="Arial" w:hAnsi="Arial"/>
          <w:sz w:val="22"/>
          <w:szCs w:val="22"/>
          <w:color w:val="auto"/>
        </w:rPr>
      </w:pPr>
    </w:p>
    <w:p>
      <w:pPr>
        <w:ind w:left="660" w:right="18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(such as the ongoing military conflict between Russia and Ukraine, and the Israel - Hamas conflict, and other hostilities in the Middle-East), civil disturbance, global or regional catastrophic events, natural disasters, and acts of terrorism;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and other disease outbreaks and health crises (such as the possible reemergence of the COVID-19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managing global operations; and</w:t>
      </w:r>
    </w:p>
    <w:p>
      <w:pPr>
        <w:spacing w:after="0" w:line="49" w:lineRule="exact"/>
        <w:rPr>
          <w:rFonts w:ascii="Times New Roman" w:cs="Times New Roman" w:eastAsia="Times New Roman" w:hAnsi="Times New Roman"/>
          <w:sz w:val="18"/>
          <w:szCs w:val="18"/>
          <w:color w:val="auto"/>
        </w:rPr>
      </w:pPr>
    </w:p>
    <w:p>
      <w:pPr>
        <w:ind w:left="660" w:right="24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applicable anti-corruption, anti-bribery laws and anti-money laundering laws and sanctions; and continuing legal, political and economic uncertainty following Brexit.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 Furthermore, the continuing and accelerating globalization of businesses in emerging markets and elsewhere could significantly change the dynamics of the Company’s competition, customer base and product offerings, which could adversely affect the Company’s financial position.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the effects of fluctuations in foreign exchange rates, which may reduce its net sales and cash flow.</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63% of its consolidated net sales in the years ended 2024, 2023 and 2022. Volatility in exchange rates may increase the costs of the Company's products, impair the purchasing power of its customers in different markets, result in significant competitive benefit to certain of its competitors who incur a material part of their costs in other currencies than it does, increase its hedging costs, and limit its ability to hedge exchange rate exposure.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year-ended 2024, the Company was primarily impacted by changes in the Mexican peso, the euro, the Chinese yuan and the Thai baht. Additionally, the Company's Transit Packaging segment is a global business and is also impacted by changes in the Indian rupee, the Japanese yen and the Brazilian real. For the year-ended December 31, 2024, a 10% movement in the average foreign exchange rates used to translate income and expense items during the year would have decreased net income by approximately $11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Indebtedness and Liquidity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substantial indebtedness of the Company could prevent it from fulfilling its obligations under its debt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2024, the Company and its subsidiaries had approximately $6.2 billion of indebtedness, excluding unamortized discounts and debt issuance costs.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current sources of liquidity includes a securitization facility with a program limit up to a maximum of $800 million that expires in July 2025 and securitization facilities with program limits of $230 million and $160 million that expire in November 2025. Additional sources of the Company's liquidity include borrowings under its $1,650 million revolving credit facilities that mature in August 2027.</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indebtedness includes its $875 million 4.75% senior notes due in February 2026; its €500 million ($518 million at December 31, 2024) 2.875% senior notes due in February 2026; its $400 million 4.25% senior notes due in September 2026; its $350 million 7.375% senior notes due in December 2026; its €500 million ($518 million at December 31, 2024) 5.00% senior notes due in May 2028; its €500 million ($518 million at December 31, 2024) 4.75% senior notes due in March 2029; its €600 million ($621 million at December 31, 2024) 4.50% senior notes due in January 2030; its $500 million 5.25% senior notes due in April 2030; its $40 million 7.50% senior notes due in December 2096; and its $118 million of other indebtedness in various currencies due at various dates through 2027. In addition, the Company’s term loan facilities mature as follows: $21 million in 2025, $28 million in 2026, $1,664 million in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indebtedness of the Company could:</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 including rising interest rates;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Company from making strategic acquisitions or exploiting business opportunities, including any planned expansion in emerging markets;</w:t>
      </w:r>
    </w:p>
    <w:p>
      <w:pPr>
        <w:spacing w:after="0" w:line="19"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under the Company's debt agreements, the Company's ability to obtain additional financing, dispose of assets or pay cash dividends;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sell assets used in its business;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cost of borrowing;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the industry in which it operates;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compared to its competitors that have less debt.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approximately $1.8 billion of the Company's $6.2 billion of total indebtedness and $1.1 billion of securitization and factoring programs were subject to floating interest rates. Changes in economic conditions could result in higher interest rates, thereby increasing the Company's interest expense and reducing funds available for operations or other purposes. The Company's annual interest expense was $452 million, $436 million and $284 million for 2024, 2023 and 2022, respectively. Based on the amount of variable rate debt outstanding and securitization and factoring at December 31, 2024, a 0.25% increase in variable interest rates would increase its annual interest expense by approximately $7 million before tax. Accordingly, the Company may experience economic losses and a negative impact on earnings as a result of interest rate fluctuation. The actual effect of a 0.25% increase in these floating interest rates could be more than $7 million as the Company’s average borrowings on its variable rate debt and securitization and factoring may be higher during the year than the amount at December 31, 2024.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debt agreements governing the Company's current or future indebtedness could restrict the Company's operating flexibility.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repurchase capital stock, repurchase subordinated debt and make certain investments or loans;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 engage in sale and leaseback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and other amounts to the Company from subsidiaries;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accounting treatment and reporting practices;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acquire assets, enter into leaseback transactions and merge or consolidate with or into other companies;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the Company or the failure by the Company to maintain any of these ratios or meet any of these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and the covenants in agreements it may enter into in the future can be affected by events beyond its control and, therefore, it may be unable to satisfy its obligations under its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sponsors various pension plans worldwide, with the largest funded plans in the U.S. and Canada. In 2024, 2023 and 2022, the Company contributed $122 million, $19 million, and $24 million to its pension plans. The 2024 contributions included approximately $100 million to its U.S. pension plan in advance of a partial settlement of the plan's obligations. Pension expense was $562 million, including settlement charges of $47 million and $469 million for the Canadian and U.S. pension plans and is expected to be $32 million in 2025, using foreign currency exchange rates in effect at December 31, 2024. A 0.50% change in the 2025 expected rate of return assumptions would change 2025 pension expense by approximately $2 million. A 0.50% change in the discount rates assumptions as of December 31, 2024 would change 2025 pension expense by approximately $4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assumptions, the Company expects to make pension contributions of $20 million in 2025, $29 million in 2026, $27 million in 2027, $51 million in 2028 and $28 million in 2029.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certain of the Company's pension and postretirement plans are unfunded.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Company's outstanding notes. In addition, as of December 31, 2024, the unfunded accumulated postretirement benefit obligation, as calculated in accordance with U.S. generally accepted accounting principles, for retiree medical benefits was approximately $96 million, based on assumptions set forth under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Company's audited consolidated financial statements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Litigation and Regulatory Matters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litigation risks which could negatively impact its operations and net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7, 2021, the French </w:t>
      </w:r>
      <w:r>
        <w:rPr>
          <w:rFonts w:ascii="Times New Roman" w:cs="Times New Roman" w:eastAsia="Times New Roman" w:hAnsi="Times New Roman"/>
          <w:sz w:val="18"/>
          <w:szCs w:val="18"/>
          <w:i w:val="1"/>
          <w:iCs w:val="1"/>
          <w:color w:val="auto"/>
        </w:rPr>
        <w:t>Autorité de la concurrence</w:t>
      </w:r>
      <w:r>
        <w:rPr>
          <w:rFonts w:ascii="Times New Roman" w:cs="Times New Roman" w:eastAsia="Times New Roman" w:hAnsi="Times New Roman"/>
          <w:sz w:val="18"/>
          <w:szCs w:val="18"/>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 and L.420-1 of the French Commercial Code. The statement of objections alleges, among other things, anti-competitive behavior in connection with the removal of bisphenol-A from metal packaging in France. The removal of bisphenol-A was mandated by French legislation that went into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 in 2015. On December 29, 2023, the FCA issued a decision imposing a fine of €4 million on the Company. The Company intends to appeal the decision of the FCA and there can be no assurance regarding the outcome of such appeal.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a wholly-owned subsidiary of the Company, is one of many defendants in a substantial number of lawsuits filed throughout the U.S.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Crown Cork's accrual for pending and future asbestos-related claims and related legal costs was $185 million, including $141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Crown Cork received approximately 1,400 new claims, settled or dismissed approximately 600 claims, and had approximately 59,300 claims outstanding at the end of the period. Of the Company's outstanding claims, approximately 18,000 claims relate to claimants alleging first exposure to asbestos after 1964 and approximately 41,300 relate to claimants alleging first exposure to asbestos before or during 1964, of which approximately 13,000 were filed in Texas, 1,300 were filed in Pennsylvania, 6,000 were filed in other states that have enacted asbestos legislation and 21,000 were filed in other states.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 arising from these defenses will not increase materially.</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made cash payments of $15 million, $17 million and $21 million in 2024, 2023 and 2022 to settle asbestos claims and pay related legal and defense costs. These payments and any such future payments will reduce the cash flow available to Crown Cork for its business operations and debt payments.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 Further information regarding Crown's Cork's asbestos-related liabilities is presented within “Management's Discussion and Analysis of Financial Condition and Results of Operations” under the headings, “Provision for Asbestos” and “Critical Accounting Policies and Estimates” and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Company's audited consolidated financial statements included in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costs and liabilities related to stringent environmental and health and safety standards.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The EU and Canada have banned the use of bisphenol-A in baby bottles, and the U.S. Environmental Protection Agency ("EPA") has considered adding bisphenol-A, which it has described as a potential reproductive, developmental,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systemic toxicant, to the chemical concern list and using its Design for the Environment program to encourage reductions in bisphenol-A manufacturing and use. Certain other nations, including Denmark, Belgium, the Netherlands, Canada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 recommended that the tolerable daily intake of bisphenol-A be lowered. Domestic and international, federal, state, municipal or other regulatory authorities could further restrict or prohibit the use of bisphenol-A in the future. In addition,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U.S. and abroad, must comply with these laws and regulations. In addition, a number of governmental authorities in the U.S.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of both climate change and climate change regulation is uncertain.</w:t>
      </w:r>
    </w:p>
    <w:p>
      <w:pPr>
        <w:spacing w:after="0" w:line="21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evolving laws, regulations and market trends in response to climate change could adversely affect the business and operations of the Company.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incur significant costs and experience operational disruptions as a result of increases in the frequency, severity or duration of severe weather events caused by climate change (including thunderstorms, hurricanes, blizzards, wildfires, flooding, typhoons and tornados), and may incur additional costs to prepare for, respond to and mitigate the effects of climate change. Furthermore, in the event that severe weather events, temperature shifts, or coastline changes resulting from climate change adversely impact crop yields for fruits and vegetables, our customers’ demand for our products may be reduced due to customers’ inability to make products that require packaging in the first instance. The Company is not able to accurately predict the materiality of any potential losses or costs associated with the effects of climate change. The impact of climate change may also vary by geographic location and other circumstances, including weather patterns and any impact to natural resources such as water.</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governmental authorities both in the U.S. and abroad also have enacted, or are considering, legal requirements relating to environmental conservation and sustainability, energy efficiency deforestation, greenhouse gas emissions, climate change and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and/or energy drinks have been enacted in France, the U.K., Poland, Portugal, Hungary, India and Saudi Arabia. Some state and local governments are also considering similar taxes, and several U.S. cities, including in California, Pennsylvania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manufactures and sells metal and glass packaging primarily for the beverage and food can market. As a result, many of the Company's products come into direct contact with beverages and food. Accordingly, the Company's products must comply with various laws and regulations for beverages and food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taxation requirements and other law could negatively affect the Company's financial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Company's products are subject to import and excise duties and/or sales or value-added taxes in many jurisdictions in which it operates.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indirect taxes could affect the Company's products' affordability and therefore reduce demand for its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 major customer and/or customer consolidation could reduce the Company's net sales and profitability.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 In addition, customer concentration could expose the Company to increased credit risk if large customers were unable to fulfill their payment obligations to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sales are to companies that have leading market positions in the sale of beverages, packaged food and household products to consumers.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Transit Packaging, is noncontractual, and as a result its customers may unilaterally reduce their purchases of its products.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growth requires significant capital expenditures and may divert financial resources from other projects, such as 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dispositions or investments that the Company is considering, has pursued or may pursue could be unsuccessful, consume significant resources and require the incurrence of additional indebtedness.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completed and may consider acquisitions and investments that complement its existing business or dispositions of portions of its existing business. The actual or potential acquisitions, dispositions and investments, such as the Company's divestiture of its European Tinplate business in August 2021, involve or may involve significant cash expenditures, debt incurrence (including the incurrence of additional indebtedness under the Company's senior secured revolving credit facilities or other secured or unsecured debt), operating losses and expenses and the diversion of management's attention that could have a material effect on the Company's financial condition and operating results.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if the Company incurs additional debt in order to finance an acquisition, the Company's liquidity and financial stability could be impaired as a result of using a significant portion of available cash or borrowing capacity.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dispositions involve numerous other risks, including:</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and personnel of the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complexities that may arise due to unfamiliarity with new assets, businesses or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ongoing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of fair value made in the accounting for acquisitions and amortization of acquired intangible assets which would reduce future reported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financing for the new acquisition or investment opportunities and the Company's existing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or obligation to divest portions of an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successfully bifurcating operations that involve both remaining and departing personnel in divestiture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new geographic regions or discontinued operations in legacy regions;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contractual relationships, suppliers or customers of the acquired businesses or of the Company;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anti-trust and other regulatory approvals.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 fails to retain key management and personnel, the Company may be unable to implement its business plan.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members of senior management are entitled to lump sum payments upon retirement or other termination of employment and a lump sum death benefit of five times the annual retirement benefit, which could result in unexpected increased costs to the Company for a particular period.</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its information technology, and potential cyber-attack, data breach or other failure or disruption of its information technology could disrupt its operations and adversely affect its results of operations.</w:t>
      </w:r>
    </w:p>
    <w:p>
      <w:pPr>
        <w:spacing w:after="0" w:line="1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telecommunication failures, user errors or catastrophic events. In addition, cybersecurity related risks including security breaches and cyber-attacks such as computer viruses, denial-of-service attacks, malicious code (including ransomware), social-engineering attacks (including phishing attacks) or other</w:t>
      </w:r>
    </w:p>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security breaches could result in unauthorized disclosure or misappropriation of the Company’s confidential information. These threats also may be further enhanced in frequency or effectiveness through threat actors’ use of artificial intelligence.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or physical property through security breach, and reputational harm, as well as potential litigation, civil liability and fines under various laws and regulatory regimes of jurisdictions in which the Company does business. While the Company has security measures in place designed to protect the integrity of customer information and prevent data loss, misappropriation, and other security breaches, the Company's information technology systems could nevertheless be penetrated by outside parties intent on extracting information, corrupting information or disrupting business processes (including for purposes of ransom demands or other forms of blackmail), particularly if the Company's information security training and compliance programs prove to be inadequate. In addition, if the Company's information technology systems suffer severe damage, disruption or shutdown and the Company's business continuity plans do not effectively resolve the issues in a timely manner, the Company may lose customers and suppliers and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and it may suffer indirect economic loss if its existing insurance policies and coverage related to information security risks prove to be insufficient. Failure or disruption of the Company's information technology systems, or the back-up systems, for any reason could disrupt the Company's operations and negatively impact the Company's cash flows or financial condition.</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Sentiment towards climate change, sustainability and other ESG matters could adversely affect the Company’s business, financial condition or results of operations.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announced sustainability goals for its next phase of Sustainability as part of its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Execution of this program and the achievements of the Company’s sustainability goals is subject to risk and uncertainties, many of which are out of the Company’s control. Failure to achieve these sustainability goals within the currently projected costs and expected timeframes could damage the Company’s reputation, customer and investor relationships, or ability to access capital on favorable terms, particularly given investors’ increased focus on ESG matters in recent years, and in turn could adversely affect the Company’s business, financial condition or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Unresolved Staff Comments</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1C. Cybersecurity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Management &amp; Strategy</w:t>
      </w:r>
    </w:p>
    <w:p>
      <w:pPr>
        <w:spacing w:after="0" w:line="3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integrated into the Company’s overall risk management program. The Company has established a cyber risk management program that identifies and manages risks to our information assets that could be affected by a cyberattack. The Company leverages both internal and external threat detection and response capabilities, combined with a people-centric approach to employee awareness and engagement. The Company considers risks related to people, processes, and technology including those associated with our third-party service providers and allocates resources to maintain and enhance our cybersecurity measures.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engages external third-party security assessment vendors, both on a recurring basis and as needed, to perform realistic adversarial threat attacks (penetration testing) on our internal and external environments leveraging the International Organization for Standardization (ISO) cybersecurity frameworks. These third-party experts provide impartial, objective, and strategic evaluations of our cybersecurity posture, identifying critical vulnerabilities and recommending improvements.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through the date of this filing, we are not aware of any cybersecurity incidents that have materially impacted the Company, we cannot eliminate all risks from cybersecurity threats. We describe whether and how risks related to cybersecurity threats are reasonably likely to materially affect us, including our business strategy, results of operations, or financial condition, in Item 1A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Cybersecurity Governance</w:t>
      </w:r>
    </w:p>
    <w:p>
      <w:pPr>
        <w:spacing w:after="0" w:line="3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senior leadership has top-level responsibility for management of information security risk. The Company has established a dedicated, globally focused cybersecurity team led by its Chief Information Security Officer (CISO), who brings over 20 years of experience in the field of cybersecurity and IT operations. The CISO is responsible for overseeing the entire global cybersecurity program, which encompasses cyber risk management, operations, strategic planning, and compliance with cybersecurity policies and regulations. Crown's cybersecurity team maintains collaboration with other cross functional teams to assess and manage cybersecurity risks. This approach enables the Company to align cybersecurity efforts with broader business objectives and respond to emerging threats. Additionally, Crown’s Board of Directors, along with the Crown Chief Executive Officer, Chief Operating Officer, Chief Financial Officer, and General Counsel oversee the identification, assessment, and management of cybersecurity risks.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of a cyber incident with significant or material impact, the CISO would escalate to senior leadership and depending upon the severity and scope of any cyber incident, the Company will invoke its Corporate Crisis management plan.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regular reporting schedule, the CISO provides updates on cybersecurity risk and mitigation efforts to senior leadership, board, and members of the Audit Committee. The Audit Committee, which is tasked with oversight of certain risk issues, including information security risk, receives two to four reports annually from the Company’s senior leadership, including the CISO, that includes an information security dashboard and discussion of emerging risks and trends. The Audit Committee then briefs the Board on these matters.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Properties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operated 189 facilities in 39 countries. The principal manufacturing facilities at December 31, 2024 are listed below and are grouped by segment. 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 The Company leased 66 of its manufacturing facilities at December 31,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productivity improvements and cost reduction efforts in recent years have focused on upgrading and modernizing facilities to reduce costs, improve efficiency and productivity. The Company has also opened new facilities to meet increases in market demand for its products. These actions reflect the Company’s continued commitment to align manufacturing facilities to maintain its competitive position in its markets.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Americas, Transit Packaging and Corporate headquarters are in Tampa, Florida. Its European headquarters is in Baar, Switzerland and its Asia Pacific headquarters is in Singapore. The Company maintains a research facility in Wantage, England.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Americas Beverage</w:t>
            </w:r>
          </w:p>
        </w:tc>
        <w:tc>
          <w:tcPr>
            <w:tcW w:w="1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European Beverage</w:t>
            </w:r>
          </w:p>
        </w:tc>
        <w:tc>
          <w:tcPr>
            <w:tcW w:w="222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3680" w:type="dxa"/>
            <w:vAlign w:val="bottom"/>
            <w:tcBorders>
              <w:top w:val="single" w:sz="8" w:color="auto"/>
              <w:bottom w:val="single" w:sz="8" w:color="auto"/>
              <w:right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Transit Packaging</w:t>
            </w:r>
          </w:p>
        </w:tc>
        <w:tc>
          <w:tcPr>
            <w:tcW w:w="184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182"/>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Kankakee, IL</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Custines, France</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Phnom Penh, Cambodia (2)</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Rainbow City, AL</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Toluca, Mexico</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Norwalk, CT (T)</w:t>
            </w:r>
          </w:p>
        </w:tc>
      </w:tr>
      <w:tr>
        <w:trPr>
          <w:trHeight w:val="19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Bowling Green, KY</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Saarlouis, Germany</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Sihanoukville, Cambodia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Benton, AR</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Virton, Belgium</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Dubuque, IA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Mankato, MN</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Korinthos, Greece</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Hangzhou, China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Fordyce, AR</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Kardjali, Bulgaria</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Alsip, IL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Mesquite, NV</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Parma, Italy</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Henan, China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Sheridan, AR</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Noerresundby, Denmark</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Belcamp, MD (S)</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Nichols, NY</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Amman, Jordan</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Heshan, China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Phoenix, AZ</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Soenderborg, Denmark</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Faribault, MN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Dayton, OH</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Dammam, Saudi Arabia</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Huizhou, China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Point, CA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Liljendal, Finland</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Owatonna, MN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Cheraw, SC</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Jeddah, Saudi Arabia</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Qingdao Chengyan, China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Stockton, CA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Masku, Finland</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Massillon,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Conroe, TX</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Kosice, Slovakia</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Shanghai, China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Carrollton, GA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Castelsarrasin, France</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Mill Park,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Fort Bend, TX</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Agoncillo, Spain</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Tianjin, China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Douglasville, GA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Fontaine les Luxeuil,</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Connellsville,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Martinsville, VA</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Sevilla, Spain</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Ziyang, China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LaGrange, GA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France</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Hanover,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Winchester, VA</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Valencia, Spain</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Karawang, Indonesia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Macon, GA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Manneville sur Risle,</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Effingham, SC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Olympia, WA</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 Agba, Tunisia</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Bangi, Malaysia</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Bridgeview, IL</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France</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Trevose, PA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 Crosse, WI</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Izmit, Turkey</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Yangon, Myanmar</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Dixmoor, IL</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Dinslaken,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Spartanburg, SC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Worland, WY</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Osmaniye, Turkey</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 (S)</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Kankakee, IL (2)</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Goldkronach,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Chippewa Falls, WI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Cabreuva, Brazil</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Dubai, UAE</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Bangpoo, Thailand (F)</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Roselle, IL</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Hilden,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Oshkosh, WI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Teresina, Brazil</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Botcherby, U.K.</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Hat Yai, Thailand (F)</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Elkhart, IN</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Neunkirchen,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Kingston, Jamaica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Estancia, Brazil</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Peterborough, U.K.</w:t>
            </w: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Nakhon Pathom, Thailand (F)</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Gary, IN</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Nurnberg,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Barbados, West Indies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Manaus, Brazil</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Nong Khae, Thailand (2)</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Florence, KY</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Weischlitz, Germany</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Shipley, U.K.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Ponta Grossa, Brazil</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Samrong, Thailand (F)</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Monroe, LA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Gorey, Ireland</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Wortley, U.K.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Rio Verde, Brazil</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Songkhla, Thailand (F)</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Brighton, MI</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Waterford, Ireland</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Wisbech, U.K.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Uberaba, Brazil</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Danang, Vietnam</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Eden, NC</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Nairobi, Kenya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Calgary, Canada</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Dong Nai, Vietnam (2)</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Salisbury, NC</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Heerlen, Netherlands</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Ontario, Canada</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Hanoi, Vietnam</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Newark, NJ</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Nuenen, Netherlands</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Santafe de Bogota,</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Vung Tau, Vietnam</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Cleveland, OH</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Zwijndrecht, Netherlands</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Colombia</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Loveland, OH</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Kosice, Slovakia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Acayucan,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Chester, OH</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Burseryd, Sweden</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Chihuahua,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Elizabethtown, PA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Hjo, Sweden</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Ensenada,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Hazleton, PA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Sandared, Sweden</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Guadalajara,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Imperial, PA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Dietikon, Switzerland (2)</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Monterrey, Mexico (2)</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Canaan, PA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Merenschwand, Switzerland</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Orizaba,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Providence, RI (2)</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Izmir, Turkey</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Toluca, Mexico</w:t>
            </w: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Darlington, SC</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Kocaeli, Turkey</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Greer, SC</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Dudley, U.K.</w:t>
            </w:r>
          </w:p>
        </w:tc>
        <w:tc>
          <w:tcPr>
            <w:tcW w:w="1840" w:type="dxa"/>
            <w:vAlign w:val="bottom"/>
            <w:tcBorders>
              <w:right w:val="single" w:sz="8" w:color="auto"/>
            </w:tcBorders>
          </w:tcPr>
          <w:p>
            <w:pPr>
              <w:spacing w:after="0"/>
              <w:rPr>
                <w:sz w:val="17"/>
                <w:szCs w:val="17"/>
                <w:color w:val="auto"/>
              </w:rPr>
            </w:pPr>
          </w:p>
        </w:tc>
      </w:tr>
      <w:tr>
        <w:trPr>
          <w:trHeight w:val="202"/>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Latta, SC</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Derrimut, Australia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Orange, TX</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Kurri Kurri, Australia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 Antonio, TX</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Bangalore, India (4)</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Danville, VA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Dahej, India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Forest, VA (2)</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Rudrapur, India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Martinsville, VA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Rudraram, India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Woodland, WA</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Silvassa, India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Cabreuva, Brazil</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Pohang, South Korea</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Halton Hills,</w:t>
            </w:r>
          </w:p>
        </w:tc>
        <w:tc>
          <w:tcPr>
            <w:tcW w:w="2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Sriracha, Thailand (2)</w:t>
            </w: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 (2)</w:t>
            </w:r>
          </w:p>
        </w:tc>
        <w:tc>
          <w:tcPr>
            <w:tcW w:w="21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Amatlan de los Reyes,</w:t>
            </w:r>
          </w:p>
        </w:tc>
        <w:tc>
          <w:tcPr>
            <w:tcW w:w="21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Cienega de Flores,</w:t>
            </w:r>
          </w:p>
        </w:tc>
        <w:tc>
          <w:tcPr>
            <w:tcW w:w="21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r>
      <w:tr>
        <w:trPr>
          <w:trHeight w:val="239"/>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properties above, with the exception of Transit Packaging, are beverage facilities unless otherwise indicated by the following: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Aerosol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Food and closure</w:t>
      </w:r>
    </w:p>
    <w:p>
      <w:pPr>
        <w:spacing w:after="0" w:line="1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Promotional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Specialty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Tooling and equipment</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2024, the accrual for pending and future asbestos claims and related legal costs that are probable and estimable was $185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identified by the EPA as a potentially responsible party (along with others, in most cases) at a number of sites.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to the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OUR EXECUTIVE OFFICERS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the principal executive officers of the Company, including their ages and positions, is set forth in “Directors, Executive Officers and Corporate Governance” of this Annual Report.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Market for Registrant's Common Equity, Related Stockholder Matters and Issuer Purchases of Equity Securities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Registrant’s common stock is listed on the New York Stock Exchange under ticker symbol CCK. On February 28, 2025 there were 3,270 registered shareholders of the Registrant’s common stock, including 844 participants in the Company's Employee Stock Purchase Plan. Details regarding the Company’s policy as to payment of cash dividends and repurchase of shares are set forth under </w:t>
      </w:r>
      <w:r>
        <w:rPr>
          <w:rFonts w:ascii="Times New Roman" w:cs="Times New Roman" w:eastAsia="Times New Roman" w:hAnsi="Times New Roman"/>
          <w:sz w:val="18"/>
          <w:szCs w:val="18"/>
          <w:u w:val="single" w:color="auto"/>
          <w:color w:val="0000FF"/>
        </w:rPr>
        <w:t>Note U</w:t>
      </w:r>
      <w:r>
        <w:rPr>
          <w:rFonts w:ascii="Times New Roman" w:cs="Times New Roman" w:eastAsia="Times New Roman" w:hAnsi="Times New Roman"/>
          <w:sz w:val="18"/>
          <w:szCs w:val="18"/>
          <w:color w:val="auto"/>
        </w:rPr>
        <w:t xml:space="preserve"> 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2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ending December 31, 2024. The table excludes 38 of the Company's shares surrendered to cover taxes on the vesting of restricted stock.</w:t>
      </w:r>
    </w:p>
    <w:tbl>
      <w:tblPr>
        <w:tblLayout w:type="fixed"/>
        <w:tblInd w:w="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Approximate dollar value of shares that</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yet be purchased under the programs</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color w:val="auto"/>
                <w:w w:val="98"/>
              </w:rPr>
              <w:t>Average price</w:t>
            </w: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as of the end of the period</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per share</w:t>
            </w:r>
          </w:p>
        </w:tc>
        <w:tc>
          <w:tcPr>
            <w:tcW w:w="22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7"/>
              </w:rPr>
              <w:t>announced programs</w:t>
            </w:r>
            <w:r>
              <w:rPr>
                <w:rFonts w:ascii="Times New Roman" w:cs="Times New Roman" w:eastAsia="Times New Roman" w:hAnsi="Times New Roman"/>
                <w:sz w:val="23"/>
                <w:szCs w:val="23"/>
                <w:color w:val="auto"/>
                <w:w w:val="97"/>
                <w:vertAlign w:val="superscript"/>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(millions of dollars)</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1,126,419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32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1,126,419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1,126,419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660" w:hanging="4"/>
        <w:spacing w:after="0" w:line="266" w:lineRule="auto"/>
        <w:tabs>
          <w:tab w:leader="none" w:pos="9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COMPARATIVE STOCK PERFORMANCE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Comparison of Five-Year Cumulative Total Return (b)</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160020</wp:posOffset>
            </wp:positionV>
            <wp:extent cx="5863590" cy="2948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U.S. Containers &amp; Packaging Index</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line="353" w:lineRule="exact"/>
        <w:rPr>
          <w:sz w:val="20"/>
          <w:szCs w:val="20"/>
          <w:color w:val="auto"/>
        </w:rPr>
      </w:pPr>
    </w:p>
    <w:p>
      <w:pPr>
        <w:jc w:val="both"/>
        <w:ind w:left="540" w:hanging="329"/>
        <w:spacing w:after="0" w:line="272" w:lineRule="auto"/>
        <w:tabs>
          <w:tab w:leader="none" w:pos="5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197" w:lineRule="exact"/>
        <w:rPr>
          <w:rFonts w:ascii="Times New Roman" w:cs="Times New Roman" w:eastAsia="Times New Roman" w:hAnsi="Times New Roman"/>
          <w:sz w:val="16"/>
          <w:szCs w:val="16"/>
          <w:color w:val="auto"/>
        </w:rPr>
      </w:pPr>
    </w:p>
    <w:p>
      <w:pPr>
        <w:ind w:left="540" w:hanging="329"/>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value of the investment in Crown Holdings common stock and each index was $100 on December 31, 2019 and that all dividends were reinvested.</w:t>
      </w:r>
    </w:p>
    <w:p>
      <w:pPr>
        <w:spacing w:after="0" w:line="261" w:lineRule="exact"/>
        <w:rPr>
          <w:rFonts w:ascii="Times New Roman" w:cs="Times New Roman" w:eastAsia="Times New Roman" w:hAnsi="Times New Roman"/>
          <w:sz w:val="16"/>
          <w:szCs w:val="16"/>
          <w:color w:val="auto"/>
        </w:rPr>
      </w:pPr>
    </w:p>
    <w:p>
      <w:pPr>
        <w:ind w:left="540" w:hanging="329"/>
        <w:spacing w:after="0" w:line="280" w:lineRule="auto"/>
        <w:tabs>
          <w:tab w:leader="none" w:pos="43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index is weighted by market capitalization and, as of December 31, 2024, was composed of Crown Holdings, Amcor, AptarGroup, Avery Dennison, Ball, Berry Global, Graphic Packaging, International Paper, Packaging Corp. of America, Sealed Air, Silgan, Smurfit Westrock and Sonoco.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Management's Discussion and Analysis of Financial Condition and Results of Operations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millions, except per share, average settlement cost per asbestos claim, employee, shareholder and statistical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results of operations and financial condition of Crown Holdings, Inc. (the "Company") as of and during the three-year period ended December 31, 2024. This discussion should be read in conjunction with the consolidated financial statements included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STRATEGY AND TRENDS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2019. Based on current market conditions, the Company expects to have the ability to meet expected demand growth with its current installed capital base and expects capital spending to be approximately $450 in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value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Company garnered recognition for their commitment to integrate sustainability into all aspects of the organization, including the top spot within the Sustainalytics "Container and Packaging" industry category.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Additionally, tariffs, retaliatory trade measures and further trade restrictions could result in higher raw material costs.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in the Company's European Beverage segment and the Chinese yuan and the Thai baht in the Company's Asia Pacific segment. The Company's Transit Packaging segment is a global business and the foreign currency translation impacts referred to in the discussion below are primarily related to the euro, the Indian rupee, the Japanese yen, the Mexican peso and the Brazilian real.</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SEGMENT INCOME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3040" w:type="dxa"/>
            <w:vAlign w:val="bottom"/>
            <w:tcBorders>
              <w:top w:val="single" w:sz="8" w:color="auto"/>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$11,801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$12,010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$12,943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$196 from the pass-through of lower aluminum, steel and other commodity costs, unfavorable foreign currency translation of $23, and lower volumes in Transit Packaging, Asia Pacific and Other segments, partially offset by 7% higher beverage can volumes in both Americas and European Beverage.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$720 from the pass-through of lower aluminum, steel and other commodity costs and lower overall volumes in European Beverage, Asia Pacific, Transit Packaging and Other segments, partially offset by higher beverage can volumes in the Americas Beverage segment and favorable foreign currency translation of $77.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packaging.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meet volume requirements in these markets, the Company added additional line capacity in Monterrey, Mexico (2022) and new greenfield facilities in Uberaba, Brazil (2022), Martinsville, Virginia (2022) and Mesquite, Nevada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higher beverage can volumes, 7% in North America and 10% in Brazil, partially offset by $59 pass-through of lower aluminum costs and unfavorable foreign currency translation of $15.</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volumes, improved manufacturing performance, including lower start-up costs compared to 2023 and $18 lower depreciation expense primarily driven by the useful life change effective January 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contractual pass-through mechanisms put in place to recover inflation, 4% higher volumes and favorable foreign currency translation of $56, partially offset by the pass-through of $375 lower aluminum costs.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contractual pass-through mechanisms put in place to recover prior costs net of current year expenses and higher volumes and customer mix, partially offset by $19 higher depreciation associated with recent capacity expansions.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 To meet volume requirements, in 2023 the Company added additional line capacity in Agoncillo, Spain, a new greenfield facility in Peterborough, U.K. and acquired Helvetia Packaging AG, a beverage can and end manufacturing facility in Saarlouis, Germany.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7% higher beverage can volumes.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volumes and improved manufacturing performance, including savings realized as part of prior year restructuring actions and lower start-up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9% lower volumes and the pass-through of lower aluminum costs of $120, partially offset by the contractual recovery of prior years' inflationary cost increases and favorable foreign currency of $24.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contractual pass-through mechanisms put in place to recover prior costs net of current year expenses, partially offset by lower volumes and customer mix and $7 of higher depreciation associated with recent capacity expansions.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 To meet volume requirements in Southeast Asia, the Company added additional line capacity in Phnom Penh, Cambodia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volume softness was noted across each country in the Asia Pacific segment as the region continues to struggle with the effects of higher inflation and interest rates. In the fourth quarter of 2023, the Company announced the closure of its beverage can facilities in Ho Chi Minh City, Vietnam and Singapore with capacity relocated to the Company's Vung Tau, Vietnam facility and in the fourth quarter of 2024, the Company announced the closure of its beverage can facility in Sihanoukville, Cambodia.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$6 for the year-ended December 31, 2024. Property, plant and equipment in Myanmar as of December 31, 2024 was $49, including $24 of land and buildings and $25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7% lower beverage can volumes, $8 pass-through of lower aluminum costs and $6 from the impact of unfavorable foreign currency translation.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improved manufacturing performance, including savings realized as part of prior year restructuring actions, and $16 lower depreciation expense driven by the useful life change effective January 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14% lower volumes, the pass-through of lower aluminum costs and $8 from the impact of unfavorable foreign currency translation.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lower volumes. Additionally, 2022 segment income was unfavorably impacted by the mismatch in contractual aluminum pass-through provisions whereby higher cost inventory was sold at lower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$71 lower material costs, $60 lower volumes across most product lines and $14 unfavorable foreign currency translation.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related to lower volumes across most product lines and margin compression due to lower selling prices, partially offset by improved cost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$219 from lower volumes, mainly protective solutions and steel and plastic consumables, and the pass-through of lower raw material prices.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approximately $50 of cost savings from headcount reductions across the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added a third two-piece food can line to its Owatonna, Minnesota plant in 2022 and a pet food can line to its Dubuque, Iowa plant in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right-sized the beverage can equipment operations in the U.K. to reflect the expected significant reduction in orders from global beverage can manufactures. Additionally, in the fourth quarter of 2023, the Company announced the closure of its Decatur, IL aerosol can plant in response to lower aerosol can demand.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closed its food can plant in La Villa, Mexico and entered into an agreement to sell equipment for $30 to be paid in three annual installments, with the first $10 installment received during 2024. The Company recorded a gain of $22 for the sale of the equipment in the third quarter of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lower volumes in the equipment, aerosol can and Mexico food can business and $46 from the pass-through of lower steel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decreased primarily due to lower volumes.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primarily due to lower food and aerosol volumes of 7% and 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a steel repricing gain of $48 in 2022 as compared to a repricing loss of $12 in 2023, volume declines and customer mix and costs and expenses in excess of contractual pass-through mechanisms.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costs increased from 2023 primarily due to higher incentive compensation, including 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costs increased from 2022 primarily due to higher property insurance costs and incentive compensation costs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engaged a third-party appraiser to assist in this review and, as a result, increased the estimated useful lives of buildings up to 50 years and machinery and equipment up to 23 years effective January 1, 2024. The change in accounting estimate was applied on a prospective basis. The change in useful lives resulted in a net reduction in depreciation expense of $64 for the year ended December 31, 2024 as compared to the amount of depreciation expense that would have been recorded by utilizing the prior depreciable lives.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 NET</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In 2024, the $75 charge from restructuring and other, net primarily included asset impairments in the Asia Pacific segment and severance and other exit costs related to current and prior year restructuring actions. See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2023, the $114 charge from restructuring and other, net, included asset impairments, termination benefits and other exit costs primarily related to plant closures in the Americas Beverage, Asia Pacific and Other segments. See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additional details. These actions reduced headcount by approximately 650 employees and annual savings were approximately $35.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benefit from restructuring and other, net, included a $113 gain from the sale of the Transit Packaging segment's Kiwiplan business and $29 of charges related to an overhead cost reduction program initiated by the Transit Packaging segment in the second quarter of 2022 that reduced headcount by approximately 600 employees. The annual savings were approximately $60.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identify cost reduction initiatives in its businesses and it is possible that the Company may record additional restructuring charges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PENSION AND POSTRETIREMENT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2024 other pension and postretirement expense included settlement charges of $513 related to the transfer of portions of the Company's Canadian and primary U.S. defined benefit pension liabilities through the purchase of group annuity insurance contracts.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for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pension and postretirement was an expense of $49 in 2023 as compared to a benefit of $16 in 2022 due to higher post-retirement expense as unamortized gains from prior year plan amendments are now fully amortized and higher pension expense due to higher interest rates and lower expected return on plan assets. Additionally, 2023 included $6 for a one-time pension termination charge related to business reorganization activities in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EQUITY METHOD INVESTMENT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2024, the Company recorded a gain of $275 in conjunction with the sale of Eviosys, a European tinplate equity method investment.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AND INTEREST INCOME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expense increased from $436 in 2023 to $452 in 2024 and interest income increased from $53 in 2023 to $82 in 2024 primarily due to lower net debt balances throughout 2024 as compared to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from $284 in 2022 to $436 in 2023 and interest income increased from $15 in 2022 to $53 in 2023 primarily due to higher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TAXES ON INCOME</w:t>
            </w: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16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in 2024 compared to 2023, was primarily due to income tax benefits of $127 related to the pension settlement charges and $25 related to the release of valuation allowances resulting from improved profitability in Switzerland partially offset by a tax charge of $64 in the U.S. on the distribution from the sale of Eviosys.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the effective tax rate in 2023 compared to 2022, was primarily due to the geographic distribution of the Company's world-wide earnings in higher-tax jurisdictions. In 2022, the effective tax rate included an income tax charge of $11 for the sale of the Company's Transit Packaging segment's Kiwiplan business. See </w:t>
      </w:r>
      <w:r>
        <w:rPr>
          <w:rFonts w:ascii="Times New Roman" w:cs="Times New Roman" w:eastAsia="Times New Roman" w:hAnsi="Times New Roman"/>
          <w:sz w:val="18"/>
          <w:szCs w:val="18"/>
          <w:u w:val="single" w:color="auto"/>
          <w:color w:val="0000FF"/>
        </w:rPr>
        <w:t>Note T</w:t>
      </w:r>
      <w:r>
        <w:rPr>
          <w:rFonts w:ascii="Times New Roman" w:cs="Times New Roman" w:eastAsia="Times New Roman" w:hAnsi="Times New Roman"/>
          <w:sz w:val="18"/>
          <w:szCs w:val="18"/>
          <w:color w:val="auto"/>
        </w:rPr>
        <w:t xml:space="preserve"> to the consolidated financial statements for further details of taxes on income.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record a tax benefit of approximately $22 in 2025 after an internal reorganization which will result in the release of deferred tax liabilities related to the foreign currency impact of certain inter-company debt instruments that were designated as hedges of the Company's net investment in a euro-based subsidiary.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EARNINGS OF AFFILIATES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in earnings of affiliates decreased from $14 in 2023 to $0 in 2024 primarily due to lower earnings from Eviosys, the European tinplate equity method investment, which was sold in the fourth quarter of 2024. After the sale, the Company does not expect equity earnings to be material to the Company's results of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Cash provided by operating activities decreased from $1,453 in 2023 to $1,192 primarily due to higher cash taxes paid, primarily related to the gain on the distribution from the Eviosys sale and higher pension contributions, primarily related to the settlement of a portion of the U.S. pension plan in 2024.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more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decreased from $1,719 at December 31, 2023 to $1,656 at December 31, 2024 primarily due to unfavorable foreign currency translation. Days sales outstanding for trade receivables, excluding the impact of unbilled receivables, was 34 at December 31, 2023 compared to 32 at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decreased from $1,613 at December 31, 2023 to $1,440 at December 31, 2024 primarily due to efforts to reduce inventory levels across most businesses and unfavorable foreign currency translation. Inventory turnover decreased from 67 days at December 31, 2023 to 59 days at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decreased from $2,459 at December 31, 2023 to $2,425 at December 31, 2024 primarily due to unfavorable foreign currency translation.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outstanding for trade payables increased from 89 days at December 31, 2023 to 91 days at December 31,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Cash used for investing activities decreased from $804 in 2023 to $12 in 2024 primarily due to lower capital expenditures and the $338 proceeds received from the distribution related to the sale of Eviosys. Additionally, 2023 included the purchase of Helvetia Packaging AG for $126 and a distribution from Eviosys of $68.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2025 to be approximately $450.</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approximately $48 of capital commitments primarily related to its Americas Beverage and European Beverage segments. The Company expects to fund these commitments primarily through cash generated from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provided cash of $116 in 2023 and used cash for $1,526 in 2024.</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issued €600 principal amount of 4.50% senior unsecured notes due 2030 and used the proceeds to pay down the €600 principal amount of 2.625% senior unsecured notes due September 2024. Additionally, in December 2024, the Company redeemed the €600 principal amount of 3.375% senior unsecured notes due May 2025 and $400 principal amount of the U.S. dollar term loan facility. During 2024, the Company also repurchased $217 of common stock.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the Company issued €500 principal amount of 5.0% senior unsecured notes due 2028. Additionally, in December 2023, the Company issued €500 principal amount of 4.75% senior unsecured notes due 2029 and used a portion of the proceeds to pay down the U.S. dollar term loan facility. The Company also repaid revolver borrowings of $329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$676 of the Company's $918 in cash and cash equivalents was located outside the U.S. The Company is not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$304 was held by subsidiaries for which earnings are considered indefinitely reinvested.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December 31, 2024, the Company had available capacity of $1,614. The Company could have borrowed this amount at December 31, 2024 and still have been in compliance with its leverage ratio covenant.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2.6 to 1.0 at December 31, 2024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current sources of liquidity also include a securitization facility with a program limit up to a maximum of $800 that expires in July 2025 and securitization facilities with program limits of $230 and $160 that expire in November 2025. The Company accounts for transfers under these facilities as either sales or secured borrowings based on whether it has transferred control over the factored receivables as further discussed in </w:t>
      </w:r>
      <w:r>
        <w:rPr>
          <w:rFonts w:ascii="Times New Roman" w:cs="Times New Roman" w:eastAsia="Times New Roman" w:hAnsi="Times New Roman"/>
          <w:sz w:val="18"/>
          <w:szCs w:val="18"/>
          <w:u w:val="single" w:color="auto"/>
          <w:color w:val="0000FF"/>
        </w:rPr>
        <w:t>Note D</w:t>
      </w:r>
      <w:r>
        <w:rPr>
          <w:rFonts w:ascii="Times New Roman" w:cs="Times New Roman" w:eastAsia="Times New Roman" w:hAnsi="Times New Roman"/>
          <w:sz w:val="18"/>
          <w:szCs w:val="18"/>
          <w:color w:val="auto"/>
        </w:rPr>
        <w:t xml:space="preserve"> to the 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-285115</wp:posOffset>
            </wp:positionV>
            <wp:extent cx="33464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645" cy="128905"/>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managed its various pension plan liabilities through opportunistic purchases of annuity insurance contracts for portions of outstanding defined pension obligations using plan assets for further information on the group annuity insurance contracts purchased to transfer portions of the Company's Canadian and primary U.S. defined benefit pension liabilities in </w:t>
      </w:r>
      <w:r>
        <w:rPr>
          <w:rFonts w:ascii="Times New Roman" w:cs="Times New Roman" w:eastAsia="Times New Roman" w:hAnsi="Times New Roman"/>
          <w:sz w:val="18"/>
          <w:szCs w:val="18"/>
          <w:u w:val="single" w:color="auto"/>
          <w:color w:val="3051F2"/>
        </w:rPr>
        <w:t>N</w:t>
      </w:r>
      <w:r>
        <w:rPr>
          <w:rFonts w:ascii="Times New Roman" w:cs="Times New Roman" w:eastAsia="Times New Roman" w:hAnsi="Times New Roman"/>
          <w:sz w:val="18"/>
          <w:szCs w:val="18"/>
          <w:u w:val="single" w:color="auto"/>
          <w:color w:val="0000FF"/>
        </w:rPr>
        <w:t>ote 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payments required for purchase obligations and projected pension contributions in effect at December 31, 2024, are summarized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Payments Due by Period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8"/>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50"/>
              <w:spacing w:after="0" w:line="177" w:lineRule="exact"/>
              <w:rPr>
                <w:sz w:val="20"/>
                <w:szCs w:val="20"/>
                <w:color w:val="auto"/>
              </w:rPr>
            </w:pPr>
            <w:r>
              <w:rPr>
                <w:rFonts w:ascii="Times New Roman" w:cs="Times New Roman" w:eastAsia="Times New Roman" w:hAnsi="Times New Roman"/>
                <w:sz w:val="18"/>
                <w:szCs w:val="18"/>
                <w:color w:val="auto"/>
              </w:rPr>
              <w:t>2030 &amp;</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after</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pension contributions (2)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amounts due in foreign currencies are translated at exchange rates as of December 31, 2024.</w:t>
      </w:r>
    </w:p>
    <w:p>
      <w:pPr>
        <w:spacing w:after="0" w:line="27" w:lineRule="exact"/>
        <w:rPr>
          <w:sz w:val="20"/>
          <w:szCs w:val="20"/>
          <w:color w:val="auto"/>
        </w:rPr>
      </w:pPr>
    </w:p>
    <w:p>
      <w:pPr>
        <w:ind w:right="2540" w:firstLine="8"/>
        <w:spacing w:after="0" w:line="254"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purchase commitments specify significant terms, including fixed or minimum quantities to be purchased; fixed, minimum or variable pricing provisions; and the approximate timing of transactions.</w:t>
      </w:r>
    </w:p>
    <w:p>
      <w:pPr>
        <w:ind w:left="180" w:right="2220" w:hanging="172"/>
        <w:spacing w:after="0" w:line="278" w:lineRule="auto"/>
        <w:tabs>
          <w:tab w:leader="none" w:pos="22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projections require the use of numerous estimates and assumptions such as discount rates, rates of return on plan assets, compensation increases, health care cost increases, mortality and employee turnover and therefore projected contributions been provided for only five years.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Long term debt obligations, including fixed and variable rate debt, are further discussed in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Long-term debt payments due in February 2026 include the Company's $875 4.75% senior notes and €500 ($518) 2.875% senior notes. The Company</w:t>
      </w:r>
    </w:p>
    <w:p>
      <w:pPr>
        <w:jc w:val="both"/>
        <w:spacing w:after="0" w:line="255" w:lineRule="auto"/>
        <w:rPr>
          <w:sz w:val="20"/>
          <w:szCs w:val="20"/>
          <w:color w:val="auto"/>
        </w:rPr>
      </w:pPr>
      <w:r>
        <w:rPr>
          <w:rFonts w:ascii="Times New Roman" w:cs="Times New Roman" w:eastAsia="Times New Roman" w:hAnsi="Times New Roman"/>
          <w:sz w:val="18"/>
          <w:szCs w:val="18"/>
          <w:color w:val="auto"/>
        </w:rPr>
        <w:t>expects to refinance or repay these notes at maturity The Company currently expects interest payments on debt and securitization and factoring in 2025 to be approximately $340. This estimate is based on projected interest rates as of December 31, 2024, long-term debt balances, average borrowings under the revolving credit facility and securitization and factoring estimates.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certain guarantees and indemnification agreements that could require the payment of cash upon the occurrence of certain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guarantees and agreements are further discussed under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and guarantees are senior unsecured obligations of the issuers and the guarantors, and are:</w:t>
      </w:r>
    </w:p>
    <w:p>
      <w:pPr>
        <w:spacing w:after="0" w:line="27" w:lineRule="exact"/>
        <w:rPr>
          <w:sz w:val="20"/>
          <w:szCs w:val="20"/>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 in right of payment to any existing or future senior indebtedness of the issuers and the guarantors;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all existing and future subordinated indebtedness of the issuers and the guarantors.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provide a guarantee under the applicable indenture.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77"/>
        </w:trPr>
        <w:tc>
          <w:tcPr>
            <w:tcW w:w="2020" w:type="dxa"/>
            <w:vAlign w:val="bottom"/>
            <w:tcBorders>
              <w:top w:val="single" w:sz="8" w:color="auto"/>
              <w:bottom w:val="single" w:sz="8" w:color="CCEEFF"/>
            </w:tcBorders>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$55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40" w:type="dxa"/>
            <w:vAlign w:val="bottom"/>
            <w:gridSpan w:val="3"/>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234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4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9"/>
                <w:szCs w:val="19"/>
                <w:color w:val="auto"/>
              </w:rPr>
            </w:pPr>
          </w:p>
        </w:tc>
      </w:tr>
      <w:tr>
        <w:trPr>
          <w:trHeight w:val="30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0" w:type="dxa"/>
            <w:vAlign w:val="bottom"/>
          </w:tcPr>
          <w:p>
            <w:pPr>
              <w:spacing w:after="0"/>
              <w:rPr>
                <w:sz w:val="24"/>
                <w:szCs w:val="24"/>
                <w:color w:val="auto"/>
              </w:rPr>
            </w:pPr>
          </w:p>
        </w:tc>
      </w:tr>
      <w:tr>
        <w:trPr>
          <w:trHeight w:val="18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payables of $5,905 due to non-guarantor subsidiaries</w:t>
            </w:r>
          </w:p>
        </w:tc>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34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3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4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0" w:type="dxa"/>
            <w:vAlign w:val="bottom"/>
          </w:tcPr>
          <w:p>
            <w:pPr>
              <w:spacing w:after="0"/>
              <w:rPr>
                <w:sz w:val="19"/>
                <w:szCs w:val="19"/>
                <w:color w:val="auto"/>
              </w:rPr>
            </w:pPr>
          </w:p>
        </w:tc>
      </w:tr>
      <w:tr>
        <w:trPr>
          <w:trHeight w:val="230"/>
        </w:trPr>
        <w:tc>
          <w:tcPr>
            <w:tcW w:w="4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9"/>
                <w:szCs w:val="19"/>
                <w:color w:val="auto"/>
              </w:rPr>
            </w:pPr>
          </w:p>
        </w:tc>
      </w:tr>
      <w:tr>
        <w:trPr>
          <w:trHeight w:val="230"/>
        </w:trPr>
        <w:tc>
          <w:tcPr>
            <w:tcW w:w="4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from continuing operations</w:t>
            </w:r>
            <w:r>
              <w:rPr>
                <w:rFonts w:ascii="Times New Roman" w:cs="Times New Roman" w:eastAsia="Times New Roman" w:hAnsi="Times New Roman"/>
                <w:sz w:val="23"/>
                <w:szCs w:val="23"/>
                <w:color w:val="auto"/>
                <w:vertAlign w:val="superscript"/>
              </w:rPr>
              <w:t>3</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9"/>
                <w:szCs w:val="19"/>
                <w:color w:val="auto"/>
              </w:rPr>
            </w:pPr>
          </w:p>
        </w:tc>
      </w:tr>
    </w:tbl>
    <w:p>
      <w:pPr>
        <w:spacing w:after="0" w:line="72"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$433 of sales to non-guarantor subsidiaries</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 of gross profit related to sales to non-guarantor subsidiaries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 of expense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9"/>
        </w:trPr>
        <w:tc>
          <w:tcPr>
            <w:tcW w:w="8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29"/>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30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r>
    </w:tbl>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$32 due from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$167 due from non-guarantor subsidiaries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$20 due to non-guarantor subsidiaries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$2,242 due to non-guarantor subsidiaries</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2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Company’s or such guarantor’s remaining assets constituted unreasonably small capital;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in U.S. dollars as of December 31, 2024 about the Company’s forward currency exchange contracts. The contracts primarily hedge anticipated transactions, trade payables and receivables, unrecognized firm commitments and intercompany debt. The contracts with no amounts in the fair value column have a fair value of less than $1. The contract with no amount in the average contractual exchange rate has an exchange rate less than $.01.</w:t>
      </w: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Contract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250"/>
              <w:spacing w:after="0" w:line="184" w:lineRule="exact"/>
              <w:rPr>
                <w:sz w:val="20"/>
                <w:szCs w:val="20"/>
                <w:color w:val="auto"/>
              </w:rPr>
            </w:pPr>
            <w:r>
              <w:rPr>
                <w:rFonts w:ascii="Times New Roman" w:cs="Times New Roman" w:eastAsia="Times New Roman" w:hAnsi="Times New Roman"/>
                <w:sz w:val="18"/>
                <w:szCs w:val="18"/>
                <w:color w:val="auto"/>
                <w:w w:val="99"/>
              </w:rPr>
              <w:t>Contract</w:t>
            </w:r>
          </w:p>
        </w:tc>
        <w:tc>
          <w:tcPr>
            <w:tcW w:w="340" w:type="dxa"/>
            <w:vAlign w:val="bottom"/>
          </w:tcPr>
          <w:p>
            <w:pPr>
              <w:spacing w:after="0"/>
              <w:rPr>
                <w:sz w:val="16"/>
                <w:szCs w:val="16"/>
                <w:color w:val="auto"/>
              </w:rPr>
            </w:pPr>
          </w:p>
        </w:tc>
        <w:tc>
          <w:tcPr>
            <w:tcW w:w="176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spacing w:after="0"/>
              <w:rPr>
                <w:sz w:val="15"/>
                <w:szCs w:val="15"/>
                <w:color w:val="auto"/>
              </w:rPr>
            </w:pPr>
          </w:p>
        </w:tc>
        <w:tc>
          <w:tcPr>
            <w:tcW w:w="176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Buy/Sell</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gain/(loss)</w:t>
            </w:r>
          </w:p>
        </w:tc>
        <w:tc>
          <w:tcPr>
            <w:tcW w:w="340" w:type="dxa"/>
            <w:vAlign w:val="bottom"/>
          </w:tcPr>
          <w:p>
            <w:pPr>
              <w:spacing w:after="0"/>
              <w:rPr>
                <w:sz w:val="21"/>
                <w:szCs w:val="21"/>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exchange rate</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Euro/Sterling</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Sterling/Euro</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Euro/Swiss franc</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dollars/Brazilian real</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Euro/U.S. dollars</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dollars/U.S.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Euro/Danish krone</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Euro/Swedish krona</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dollars/Thai baht</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dollars/U.S.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dollars/Turkish lira</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Turkish lira/U.S.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Euro/Australian dollars</w:t>
            </w: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additional contracts with an aggregate notional value of $15 to purchase or sell other currencies, primarily Asian currencies, including the Chinese yuan, Indonesian rupiah, Malaysian ringgit, Singapore dollar and Thai baht; European currencies, including the Polish zloty and the New Zealand dollar. The aggregate fair value of these contracts was a loss of $2.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cross-currency swaps with an aggregate notional values of $875. The swaps are designated as hedges of the Company's net investment in a euro-based subsidiary and mature in 2026. The fair value of these contracts at December 31, 2024 was a net gain of $86.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future payments of long-term debt obligations at December 31, 2024 include $3,448 of U.S. dollar-denominated debt, $2,713 of euro-denominated debt and $10 of debt denominated in other currencies.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 As of December 31, 2024, the Company had $1.8 billion principal floating interest rate debt and $1.1 billion of securitization and factoring. A change of 0.25% in these floating interest rates would change annual interest expense by approximately $7 million before tax. The actual effect of a 0.25% increase in these floating interest rates could be more than $7 million as the Company’s average borrowings on its variable rate debt and securitization and factoring may be higher during the year than the amount at December 31, 2024.</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uses various raw materials, such as aluminum and steel in its manufacturing operations, which expose it to risk from adverse fluctuations in commodity prices. In 2024, consumption of aluminum and steel represented 46% and 7% of the Company’s consolidated cost of products sold, excluding depreciation and amortization. The Company primarily manages its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risk to adverse commodity price fluctuations and surcharges through contracts that pass through raw material costs to customers. The company also uses commodity forward contracts to manage its exposure to these raw material costs.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2024, the Company had forward commodity contracts to hedge aluminum price fluctuations with a notional value of $73 and a net gain of $7. The maturities of the commodity contracts closely correlate to the anticipated purchases of those commodities.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manufacturing facilities are dependent, to varying degrees, upon the availability of water and processed energy, such as natural gas and electricity.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consolidated financial statements for further information on the Company’s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MATTERS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to the consolidated financial statements for additional information on environmental matters including the Company's accrual for environmental remediation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AND ESTIMATES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Liabilities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potential liability for asbestos cases is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 for additional information regarding the provision for asbestos-related costs.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relate to serious diseases and are therefore valued at higher dollar amounts. As of December 31, 2024, approximately 60% of the projected future claims in the Company’s accrual calculation relate to claims alleging serious diseases such as mesothelioma.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five year average settlement cost per claim was $14,300 in 2022, $15,800 in 2023 and $17,700 in 2024.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2024 by $18. A 10% increase in these two factors at the same time would increase the estimated liability at December 31, 2024 by $39. A 10% decrease in these two factors at the same time would decrease the estimated liability at December 31, 2024 by $35.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utilizes significant assumptions relating to EBITDA and revenue multiples used in recent similar transactions, if any, and EBITDA and revenue multiples of similar type and size public companies. The appropriate multiple is applied to the respective financial results of the reporting unit to obtain an estimated fair value.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its annual review for 2024 and determined that no adjustments to the carrying value of goodwill were necessary. Although no goodwill impairment was recorded, there can be no assurances that future goodwill impairments will not occur.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Impairment</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an impairment review of its long-lived assets, including 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technological changes that may affect the future useful lives of the assets. These estimates may differ from actual cash flows or useful lives.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Valuation Allowance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Should the Company change its estimate of the amount of deferred tax assets that it would be able to realize, an adjustment to the valuation allowance would result in an increase or decrease in tax expense in the period such a change in estimate was made. See </w:t>
      </w:r>
      <w:r>
        <w:rPr>
          <w:rFonts w:ascii="Times New Roman" w:cs="Times New Roman" w:eastAsia="Times New Roman" w:hAnsi="Times New Roman"/>
          <w:sz w:val="18"/>
          <w:szCs w:val="18"/>
          <w:u w:val="single" w:color="auto"/>
          <w:color w:val="0000FF"/>
        </w:rPr>
        <w:t>Note T</w:t>
      </w:r>
      <w:r>
        <w:rPr>
          <w:rFonts w:ascii="Times New Roman" w:cs="Times New Roman" w:eastAsia="Times New Roman" w:hAnsi="Times New Roman"/>
          <w:sz w:val="18"/>
          <w:szCs w:val="18"/>
          <w:color w:val="auto"/>
        </w:rPr>
        <w:t xml:space="preserve"> to the consolidated financial statements for additional information on the Company’s valuation allowances.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and Postretirement Benefits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$562 in 2024, including charges of $516 related to the partial settlements of the Company's defined benefit pension plan obligations in the U.S. and Canada. The Company currently projects its 2025 pension expense to be $32, using foreign currency exchange rates in effect at December 31, 2024.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plan’s assumed rate of return was 7.15% in 2024. A 0.50% change in the expected rates of return would change 2025 pension expense by approximately $2.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Discount rates were selected using a method that matches projected payouts from the plans to an actuarial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0.50% change in the discount rates from those used at December 31, 2024 would change 2025 pension expense by approximately $4 and postretirement expense by less than $1. A 0.50% change in the discount rates from those used at December 31, 2024 would have changed the pension benefit obligation by approximately $30 and the postretirement benefit obligation by approximately $3 as of December 31, 2024.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consolidated financial statements for additional information on pension and postretirement benefit obligations and assumptions.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a pre-tax unrecognized net loss in accumulated other comprehensive income of $109 related to its pension plans and a pre-tax unrecognized net gain in accumulated other comprehensive income of $5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2024 included charges of $34 for the amortization of accumulated net losses, and the Company estimates charges of $10 in 2025. Amortizable losses are being recognized over either the average expected life of inactive employees or the remaining service life of active participants depending on the status of the individual plans. The weighted average amortization periods range between 8 - 16 years. An increase or decrease of 10% in the number of years used to amortize unrecognized losses in each plan would change estimated charges for 2025 by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GUIDANCE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of adopting this standard on its disclosures.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for information on recently adopted accounting guidance.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Statements in this Annual Report, including those in “Management’s Discussion and Analysis of Financial Condition and Results of Operations,” in the discussions of the provision for asbestos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and other contingencies under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(vii) the Company's progress on sustainability and environmental matters and (viii) the expected outcome of contingencies, including with respect to asbestos-related litigation and pension and postretirement liabilities.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performance of the Company’s pension plans; costs and difficulties related to the acquisition of a business and integration of acquired businesses; the impact of any actual or potential dispositions, acquisitions or other strategic realignments (such as the Company's recently completed divestiture of its European Tinplate business),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tariffs and potential limits on steel supply in the U.S. from certain foreign countries; and changes in the Company’s strategic areas of focus, which may impact the Company’s operations, financial profile or levels of indebtedness.</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Annual Report and prior Company filings with the SEC, including within Part I,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Annual Report. In addition, other factors have been or may be discussed from time to time in the Company’s SEC filings.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7A. Quantitative and Qualitative Disclosures About Market Risk</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Financial Statements and Supplementary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its assessment, management has concluded that, as of December 31, 2024,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based on those criteria.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Crown Holdings,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Crown Holdings, Inc. and its subsidiaries (the "Company") as of December 31, 2024 and 2023, and the related consolidated statements of operations, of comprehensive income, of changes in shareholders'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Assessments – Certain Reporting Units in the Transit Packaging and Other Segments</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described in Notes A and F to the consolidated financial statements, the Company’s consolidated goodwill balance was $3 billion as of December 31, 2024, a portion of which relates to certain reporting units in the Transit Packaging and Other segments. Management performs a goodwill impairment review in the fourth quarter of each year or when facts and circumstances indicate goodwill may be impaired. Management determines the estimated fair value of the reporting unit based on an average of the estimated fair values using an income and a market approach. The income approach utilizes significant assumptions relating to revenue and Adjusted EBITDA (defined by the Company as net customer sales, less cost of products sold excluding depreciation and amortization, less selling and administrative expenses) margin growth rates, and discount rates. As disclosed by management, under the market approach, management utilizes significant assumptions relating to EBITDA and revenue multiples used in recent similar transactions, if any, and EBITDA and revenue multiples of similar type and size public companies.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assessments of certain reporting units in the Transit Packaging and Other segments is a critical audit matter are (i) the significant judgment by management when developing the fair value estimate of the reporting units; (ii) a high degree of auditor judgment, subjectivity, and effort in performing procedures and evaluating management’s significant assumptions related to revenue and Adjusted EBITDA margin growth rates, discount rate, and EBITDA and revenue multiples for the reporting unit in the Transit Packaging segment and revenue and Adjusted EBITDA margin growth rates and the EBITDA multiple for the reporting unit in the Other segment; and (iii) the audit effort involved the use of professionals with specialized skill and knowledge.</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certain reporting units in the Transit Packaging and Other segments. These procedures also included, among others (i) testing management’s process for developing the fair value estimate of the reporting units; (ii) evaluating the appropriateness of the income and market approaches used by management; (iii) testing the completeness and accuracy of the underlying data used in the income and market approaches; and (iv) evaluating the reasonableness of the significant assumptions used by management related to revenue and Adjusted EBITDA margin growth rates, discount rate, and EBITDA and revenue multiples for the reporting unit in the Transit Packaging segment and related to revenue and Adjusted EBITDA margin growth rates and the EBITDA multiple for the reporting unit in the Other segment. Evaluating management’s assumptions related to revenue and Adjusted EBITDA margin growth rates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revenue growth rate, discount rate and EBITDA and revenue multiples assumptions for the reporting unit in the Transit Packaging segment and the EBITDA multiple for the reporting unit in the Other segment.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 equity in net earnings of affiliates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4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w:t>
            </w:r>
          </w:p>
        </w:tc>
        <w:tc>
          <w:tcPr>
            <w:tcW w:w="5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44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6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other postretirement benefits attributable to noncontrolling interests</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660" w:top="117" w:right="1159" w:bottom="1440" w:gutter="0" w:footer="0" w:header="0"/>
        </w:sectPr>
      </w:pPr>
    </w:p>
    <w:bookmarkStart w:id="49" w:name="page50"/>
    <w:bookmarkEnd w:id="49"/>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23"/>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706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7060" w:type="dxa"/>
            <w:vAlign w:val="bottom"/>
            <w:tcBorders>
              <w:bottom w:val="single" w:sz="8" w:color="CCEEFF"/>
            </w:tcBorders>
            <w:gridSpan w:val="7"/>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3"/>
        </w:trPr>
        <w:tc>
          <w:tcPr>
            <w:tcW w:w="7060" w:type="dxa"/>
            <w:vAlign w:val="bottom"/>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189"/>
        </w:trPr>
        <w:tc>
          <w:tcPr>
            <w:tcW w:w="70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color w:val="0000FF"/>
              </w:rPr>
              <w:t>(Note Q)</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0"/>
        </w:trPr>
        <w:tc>
          <w:tcPr>
            <w:tcW w:w="1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89"/>
        </w:trPr>
        <w:tc>
          <w:tcPr>
            <w:tcW w:w="70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Preferred stock, authorized: 30,000,000; none issued </w:t>
            </w:r>
            <w:r>
              <w:rPr>
                <w:rFonts w:ascii="Times New Roman" w:cs="Times New Roman" w:eastAsia="Times New Roman" w:hAnsi="Times New Roman"/>
                <w:sz w:val="18"/>
                <w:szCs w:val="18"/>
                <w:color w:val="0000FF"/>
              </w:rPr>
              <w:t>(Note U)</w:t>
            </w:r>
          </w:p>
        </w:tc>
        <w:tc>
          <w:tcPr>
            <w:tcW w:w="3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 par value: $5.00; 500,000,000 shares authorized;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7060" w:type="dxa"/>
            <w:vAlign w:val="bottom"/>
            <w:gridSpan w:val="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185,744,072 shares issued; 118,503,631 and 120,644,313 shares outstanding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7060" w:type="dxa"/>
            <w:vAlign w:val="bottom"/>
            <w:gridSpan w:val="7"/>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in 2024 and 2023 (</w:t>
            </w:r>
            <w:r>
              <w:rPr>
                <w:rFonts w:ascii="Times New Roman" w:cs="Times New Roman" w:eastAsia="Times New Roman" w:hAnsi="Times New Roman"/>
                <w:sz w:val="18"/>
                <w:szCs w:val="18"/>
                <w:color w:val="0000FF"/>
              </w:rPr>
              <w:t>Note U</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594</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604</w:t>
            </w: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30"/>
        </w:trPr>
        <w:tc>
          <w:tcPr>
            <w:tcW w:w="70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23"/>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48"/>
        </w:trPr>
        <w:tc>
          <w:tcPr>
            <w:tcW w:w="7060" w:type="dxa"/>
            <w:vAlign w:val="bottom"/>
            <w:tcBorders>
              <w:bottom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For the Years Ended December 31</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Asbestos payments</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businesses, net of cash</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hedges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from equity method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43"/>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for) /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January 1</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1" w:name="page52"/>
    <w:bookmarkEnd w:id="51"/>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4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per share, employee and statistical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Summary of Significant Accounting Policies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and Principles of Consolidation</w:t>
      </w:r>
      <w:r>
        <w:rPr>
          <w:rFonts w:ascii="Times New Roman" w:cs="Times New Roman" w:eastAsia="Times New Roman" w:hAnsi="Times New Roman"/>
          <w:sz w:val="18"/>
          <w:szCs w:val="18"/>
          <w:color w:val="auto"/>
        </w:rPr>
        <w:t>. The consolidated financial statements include the accounts of Crown Holdings, Inc.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subsidiary companies (where the context requires, the “Company” shall include reference to the Company and its consolidated subsidiary companies).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subsidiaries, is a leading global, diversified packaging business that manufactures metal cans and ends (aluminum and steel) for the beverage, food and aerosol industries and a wide range of transit packaging products and solutions from multiple substrates including steel, paper, and plastic. The Company's transit packaging products include automation and equipment technologies, protective packaging solutions and steel and plastic consumables which are sold into the metals, food and beverage, construction, agricultural, corrugated, and general industries.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were prepared in conformity with accounting principles generally accepted in the United States of America ("GAAP")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in companies over which the Company does not have control, but has the ability to exercise significant influence over operating and financial policies, are accounted for by the equity method. The proportionate share of the net income resulting from these investments is reported in Equity in net earnings of affiliates in the Consolidated Statements of Operations. The carrying values of the Company's equity method investments are reported in Other non-current assets in the Consolidated Balance Sheets. Equity method investments are reported at cost and adjusted each period for the Company's share of the investee's income or loss and dividends paid, if any. The Company classifies distributions received from equity method investees using the cumulative earnings approach. The Company assesses investments for impairment whenever events or changes in circumstances indicate that the carrying value of an investment may not be recoverable.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 non-U.S. subsidiaries which operate in a local currency environment, assets and liabilities are translated into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majority of the Company’s revenues from metal packaging products are derived from multi-year requirement contracts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Transit Packaging are generally derived from individual purchase orders which may include multiple goods and services which are separate performance obligations because they are distinct and separately identifiable.</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including beverage ends and three-piece products, which includes food cans and ends and aerosol cans and ends, may vary as these products may be printed or customized depending upon customer preferences. Revenue that is recognized over time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net in the Consolidated Balance Sheet with a corresponding decrease to inventory.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 Contract assets are included in prepaid and other current assets in the Consolidated Balance Sheet.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 For awards with a service or market condition, compensation expense is recognized over the vesting period on a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 Cash equivalents represent highly liquid investments with maturities of three months or less from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purchase 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Trade accounts receivable are recorded at the invoiced amount and do not bear interest.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of expected credit losses is based on past events, including historical experience, current conditions and forecasts that affect the collectability of accounts receivable.</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 Inventories are stated at the lower of cost or net realizable value, with cost principally determined under the first-in, first-out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(“FIFO”) or average cost method.</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 Property, plant and equipment (“PP&amp;E”) is carried at cost less accumulated depreciation and includes expenditures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line overhauls, are expensed as incurred. When PP&amp;E is retired or otherwise disposed, the net carrying amount is eliminated with any gain or loss on disposition recognized in earnings at that time.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is provided on a straight-line basis over the estimated useful lives of the assets described below (in years). During the first quarter of 2024, the Company completed a review of the useful lives of its beverage machinery and equipment and buildings based on the Company’s experience with the duration over which equipment and buildings of its aluminum beverage can business can be utilized. The Company engaged a third-party appraiser to assist in this review and, as a result, effective January 1, 2024, the Company revised the estimated useful lives of its buildings up to 50 years, and machinery and equipment up to 23 years. The change in useful lives resulted in a net reduction in depreciation expense of approximately $64 or $0.40 per diluted share for the year ended December 31, 2024, respectively, as compared to the amount of depreciation expense that would have been recorded by utilizing the prior depreciable lives.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w:t>
            </w: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Goodwill and Intangible Assets</w:t>
      </w:r>
      <w:r>
        <w:rPr>
          <w:rFonts w:ascii="Times New Roman" w:cs="Times New Roman" w:eastAsia="Times New Roman" w:hAnsi="Times New Roman"/>
          <w:sz w:val="18"/>
          <w:szCs w:val="18"/>
          <w:color w:val="auto"/>
        </w:rPr>
        <w:t>. Assets and liabilities of acquired businesses are recorded under the acquisition method of accounting at their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is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(a non-GAAP item defined by the Company as net customer sales, less cost of products sold excluding depreciation and amortization, less selling and administrative expenses) margin growth rates and discount rate. If the carrying value of a reporting unit exceeds its fair value, any impairment loss is measured by comparing the carrying value of the reporting unit to its fair value, not to exceed the carrying amount of goodwill.</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carried at cost less accumulated amortization. Finite-lived intangibles are amortized on a straight-line basis over their estimated useful lives described below (in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6 - 8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supply contracts</w:t>
            </w:r>
          </w:p>
        </w:tc>
        <w:tc>
          <w:tcPr>
            <w:tcW w:w="4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Impairment or Disposal of Long-Lived Assets</w:t>
      </w:r>
      <w:r>
        <w:rPr>
          <w:rFonts w:ascii="Times New Roman" w:cs="Times New Roman" w:eastAsia="Times New Roman" w:hAnsi="Times New Roman"/>
          <w:sz w:val="18"/>
          <w:szCs w:val="18"/>
          <w:color w:val="auto"/>
        </w:rPr>
        <w:t>. In the event that facts and circumstances indicate that the carrying value of long-lived assets,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PP&amp;E and finite-lived intangible assets, may be impaired, the Company performs a recoverability evaluation. If the evaluation indicates that the carrying value of an asset group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and finance leases for land and buildings related to certain manufacturing facilities, warehouses and corporate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The provision for income taxes is determined using the asset and liability approach. Deferred taxes represent the future expected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differences between the financial reporting and tax bases of assets and liabilities based upon enacted tax rates and laws. The Company has made an accounting policy election to treat taxes due on future U.S. inclusions of certain intangible income of foreign subsidiaries as a current period expense when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Derivatives and Hedging</w:t>
      </w:r>
      <w:r>
        <w:rPr>
          <w:rFonts w:ascii="Times New Roman" w:cs="Times New Roman" w:eastAsia="Times New Roman" w:hAnsi="Times New Roman"/>
          <w:sz w:val="18"/>
          <w:szCs w:val="18"/>
          <w:color w:val="auto"/>
        </w:rPr>
        <w:t>. All outstanding derivative financial instruments are recognized in the balance sheet at their fair values. The impact 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forecasted transactions become probable of not occurring.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development and engineering costs of $32 in 2024, $33 in 2023 and $34 in 2022, were expensed as incurred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Reclassifications and Revisions. </w:t>
      </w:r>
      <w:r>
        <w:rPr>
          <w:rFonts w:ascii="Times New Roman" w:cs="Times New Roman" w:eastAsia="Times New Roman" w:hAnsi="Times New Roman"/>
          <w:sz w:val="18"/>
          <w:szCs w:val="18"/>
          <w:color w:val="auto"/>
        </w:rPr>
        <w:t>Certain reclassifications of prior years’ data have been made to conform to the current year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corrected its presentation of certain borrowings and repayments of short-term debt that did not qualify for net presentation in our previously issued Consolidated Statements of Cash Flows. The Company now presents these borrowings and repayments of short-term debt on a gross basis within cash flows from financing activities. The Company determined that the corrections, which had no impact to cash flows (used for) provided by financing activities, were not material to any prior annual or interim periods and therefore, amendments of previously filed reports are not required.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the revisions on each of the impacted financial statement line items within the Company's Consolidated Statements of Cash Flows for the years ended December 31,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7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10"/>
        </w:trPr>
        <w:tc>
          <w:tcPr>
            <w:tcW w:w="4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2023</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As Previously</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4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95"/>
        </w:trPr>
        <w:tc>
          <w:tcPr>
            <w:tcW w:w="4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2022</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As Previously</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4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and Reporting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maker ("CODM") and included within each reported measure of profit or loss. The title and position of the CODM and how the reported measure of segment profit or loss is used by the CODM to assess segment performance and allocate resources is also required to be disclosed. The standard also permits disclosure of additional measures of segment profit. The Company adopted the new guidance for the year ended December 31, 2024.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Z</w:t>
      </w:r>
      <w:r>
        <w:rPr>
          <w:rFonts w:ascii="Times New Roman" w:cs="Times New Roman" w:eastAsia="Times New Roman" w:hAnsi="Times New Roman"/>
          <w:sz w:val="18"/>
          <w:szCs w:val="18"/>
          <w:color w:val="000000"/>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of adopting this standard on its disclosures.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Acquisitions and Divestitures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KPS Capital Partners LP completed the sale of Eviosys, including the Company's approximate 20% ownership share. The Company received pre-tax proceeds of $338 and recorded a gain of $275 in the fourth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share of Eviosys net earnings was a loss of $3 for the year ended December 31, 2024 and income of $9 and $34 for years ended December 31, 2023 and 2022 and is reported in Equity in net earnings of affiliates in the Consolidated Statements of Operations. The Company received distributions of $83 and $26 in the years ended December 31, 2023 and 2022.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the Company completed its acquisition of Helvetia Packaging AG ("Helvetia"), a beverage can and end manufacturing facility in Saarlouis, Germany for $126. The addition of Helvetia expanded the Company's European Beverage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into Germany, adding capacity to serve growing demand for beverage cans. Assets acquired primarily included property, plant and equipment of $70 and customer relationship intangible assets of $14, with goodwill acquired of $44.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Company completed the sale of the Transit Packaging segment's Kiwiplan business and received pre-tax proceeds of $180. The Company recorded a pre-tax gain of $113 on the sale, which is reported in Restructuring and other, net in the Consolidated Statements of Operations. The transaction did not represent a strategic shift that had a major effect on the Company's operations and financial results, and therefore did not qualify for reporting as a discontinued operation.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Cash, Cash Equivalents, and Restricted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Statements of Cash Flows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Receivables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receivables securitization and factoring facilities in the normal course of business as part of managing its cash flows. The Company accounts for transfers under these facilities as either sales or secured borrowings based on whether it has transferred control over the factored receivables. The Company’s continuing involvement in factored receivables accounted for as sales is limited to servicing the receivables. The Company receives adequate compensation for servicing the receivables and no servicing asset or liability is recorded.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derecognized receivables of $1,119 and $1,104 related to securitization and factoring facilities accounted for as sales. The Company also has $50 of factored receivables accounted for as secured borrowings as of December 31, 2024. The Company recorded expenses of $76, $82, and $41 for the years ended December 31, 2024, 2023, and 2022 as interest expense.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Inventories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December 31, 2024 and 2023 were as follows: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acquired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Transfers and adjustments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European</w:t>
            </w:r>
          </w:p>
        </w:tc>
        <w:tc>
          <w:tcPr>
            <w:tcW w:w="18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Transit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Beverage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Beverage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Packaging</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30"/>
        </w:trPr>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8"/>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-1079500</wp:posOffset>
            </wp:positionV>
            <wp:extent cx="701230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-779145</wp:posOffset>
            </wp:positionV>
            <wp:extent cx="701230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-479425</wp:posOffset>
            </wp:positionV>
            <wp:extent cx="701230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01230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00"/>
          </w:cols>
          <w:pgMar w:left="320" w:top="117" w:right="37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year-ended December 31, 2023, goodwill acquired was from the acquisition of Helvetia Packaging AG.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 December 31, 2024 and 2023 was net of the following accumulated impairments: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7"/>
                <w:szCs w:val="17"/>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European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3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40" w:type="dxa"/>
            <w:vAlign w:val="bottom"/>
          </w:tcPr>
          <w:p>
            <w:pPr>
              <w:spacing w:after="0"/>
              <w:rPr>
                <w:sz w:val="21"/>
                <w:szCs w:val="21"/>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78"/>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Gross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of customer relationship intangible assets were acquired from the 2023 acquisition of Helvetia Packaging AG.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$151, $163 and $159.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amortization expense is estimated to be $147 for 2025, $138 for 2026, $135 for 2027, $134 for 2028 and $122 for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60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7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 Property, Plant and Equipment</w:t>
            </w: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418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418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48"/>
        </w:trPr>
        <w:tc>
          <w:tcPr>
            <w:tcW w:w="41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interest related to construction in progress was $22 and $39 for the years ended December 31,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2023 and 2022 were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operating lease cost was $4, $5, and $4 for the years ended December 31, 2024, 2023, and 2022. Interest on finance lease liabilities was less than $1 for each of the years ended December 31, 2024, 2023, and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5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spacing w:after="0"/>
              <w:rPr>
                <w:sz w:val="19"/>
                <w:szCs w:val="19"/>
                <w:color w:val="auto"/>
              </w:rPr>
            </w:pPr>
          </w:p>
        </w:tc>
        <w:tc>
          <w:tcPr>
            <w:tcW w:w="11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8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finance leases was as follows: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5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for each year were as follows:</w:t>
      </w:r>
    </w:p>
    <w:p>
      <w:pPr>
        <w:spacing w:after="0" w:line="50" w:lineRule="exact"/>
        <w:rPr>
          <w:sz w:val="20"/>
          <w:szCs w:val="20"/>
          <w:color w:val="auto"/>
        </w:rPr>
      </w:pPr>
    </w:p>
    <w:p>
      <w:pPr>
        <w:ind w:left="7960"/>
        <w:spacing w:after="0"/>
        <w:tabs>
          <w:tab w:leader="none" w:pos="102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Pr>
          <w:p>
            <w:pPr>
              <w:spacing w:after="0"/>
              <w:rPr>
                <w:sz w:val="20"/>
                <w:szCs w:val="20"/>
                <w:color w:val="auto"/>
              </w:rPr>
            </w:pPr>
          </w:p>
        </w:tc>
      </w:tr>
      <w:tr>
        <w:trPr>
          <w:trHeight w:val="481"/>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20" w:type="dxa"/>
            <w:vAlign w:val="bottom"/>
          </w:tcPr>
          <w:p>
            <w:pPr>
              <w:spacing w:after="0"/>
              <w:rPr>
                <w:sz w:val="19"/>
                <w:szCs w:val="19"/>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did not have material lease commitments that had not commenced.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Other Non-Current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assets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a customer in the Company's Americas Beverage segment filed for bankruptcy. A bankruptcy plan that extended the payment terms of pre-bankruptcy receivables was approved in October 2023. As of December 31, 2024 and 2023, long-term receivables of $52 and $66, respectively, are included in Other above, related to this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74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7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 Accrued Liabilities</w:t>
            </w: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3760" w:type="dxa"/>
            <w:vAlign w:val="bottom"/>
          </w:tcPr>
          <w:p>
            <w:pPr>
              <w:spacing w:after="0"/>
              <w:rPr>
                <w:sz w:val="22"/>
                <w:szCs w:val="22"/>
                <w:color w:val="auto"/>
              </w:rPr>
            </w:pPr>
          </w:p>
        </w:tc>
        <w:tc>
          <w:tcPr>
            <w:tcW w:w="4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6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 than on income</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3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
        </w:trPr>
        <w:tc>
          <w:tcPr>
            <w:tcW w:w="3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Supplier Finance Program Obligations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Changes in the confirmed obligations outstanding under these supplier finance programs, included in Accounts Payable for the year ended December 31, 2024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 Restructuring and Other</w:t>
            </w:r>
          </w:p>
        </w:tc>
        <w:tc>
          <w:tcPr>
            <w:tcW w:w="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 and sales</w:t>
            </w:r>
          </w:p>
        </w:tc>
        <w:tc>
          <w:tcPr>
            <w:tcW w:w="96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96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Activity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charges of $49 primarily relates to other exit costs related to previously announced plant closures in the U.S, including the Batesville, Mississippi beverage can facility and the Decatur, Illinois aerosol plant and line consolidations and business reorganization activities in European Beverage.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closed its food can plant in La Villa, Mexico and entered into an agreement to sell equipment for $30 to be paid in three annual installments, the first of which was received in 2024. The Company recognized a gain of $22 from sale of the equipment, included in asset impairments and sales above and recorded severance and other exit costs of $6 related to the plant closure, included in restructuring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 impairments and sales also includes $20 for the planned closure of the Sihanoukville, Cambodia beverage can plant and $11 related to line consolidations at the Dong Nai, Vietnam beverage can plant.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for more information on the Company's provision for asbestos.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-119380</wp:posOffset>
            </wp:positionV>
            <wp:extent cx="290576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05760" cy="12890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2023 Activity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made the decision to close various production facilities across various segments. Asset impairments and sales primarily includes, $19 for the planned closure of the Batesville, Mississippi beverage can plant, $8 related to a shift in capacity from beverage can plants in Ho Chi Minh City, Vietnam and Singapore to Vung Tau, Vietnam and $5 for the planned closure of the Decatur, Illinois aerosol plant. Asset impairments and sales also includes $19 related to line consolidation and modernization at the Dong Nai, Vietnam beverage can plant.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included termination benefits and other exit costs of $11 related to the actions described above. In addition, termination and other exit costs of $9 and $3 were recorded in the European Beverage and Other segments, respectively, related to line consolidation and business reorganization activities, including headcount reductions in the beverage can making equipment business.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Other costs includes $11 related to disputes, including a fine from the French Competition Authority, and $4 of tax indemnity charges related to the European Tinplate business sold in 2021. See </w:t>
      </w:r>
      <w:r>
        <w:rPr>
          <w:rFonts w:ascii="Times New Roman" w:cs="Times New Roman" w:eastAsia="Times New Roman" w:hAnsi="Times New Roman"/>
          <w:sz w:val="18"/>
          <w:szCs w:val="18"/>
          <w:u w:val="single" w:color="auto"/>
          <w:color w:val="0000FF"/>
        </w:rPr>
        <w:t>Note Q</w:t>
      </w:r>
      <w:r>
        <w:rPr>
          <w:rFonts w:ascii="Times New Roman" w:cs="Times New Roman" w:eastAsia="Times New Roman" w:hAnsi="Times New Roman"/>
          <w:sz w:val="18"/>
          <w:szCs w:val="18"/>
          <w:color w:val="auto"/>
        </w:rPr>
        <w:t xml:space="preserve"> for more information on the French Competition Authority matter.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Asset sales and impairments primarily relates to the $113 gain on sale of the Kiwiplan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 on the sale.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included charges of $29 related to an overhead cost reduction program initiated by the Company's Transit Packaging segment that reduced headcount by approximately 600 employees.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segment were as follows: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type were as follows:</w:t>
            </w: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580"/>
        <w:spacing w:after="0" w:line="261" w:lineRule="auto"/>
        <w:rPr>
          <w:sz w:val="20"/>
          <w:szCs w:val="20"/>
          <w:color w:val="auto"/>
        </w:rPr>
      </w:pPr>
      <w:r>
        <w:rPr>
          <w:rFonts w:ascii="Times New Roman" w:cs="Times New Roman" w:eastAsia="Times New Roman" w:hAnsi="Times New Roman"/>
          <w:sz w:val="18"/>
          <w:szCs w:val="18"/>
          <w:color w:val="auto"/>
        </w:rPr>
        <w:t>At December 31, 2023, the Company had a restructuring accrual of $22, related to restructuring actions discussed above. During 2024, the Company made severance payments of $27 and had a restructuring accrual of $13 related to the actions referenced above. These amounts include payments of $6 related to the overhead cost reduction program initiated in 2022 in the Transit Packaging segment. The Company expects to pay the remaining accrual amounts over the next twelve months.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70"/>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 Debt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outstanding</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outstanding</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Long-term debt</w:t>
            </w:r>
          </w:p>
        </w:tc>
        <w:tc>
          <w:tcPr>
            <w:tcW w:w="3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€600 at 4.50% due 2030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44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rPr>
              <w:t>Fixed rate with rates in 2024 from 2.8% to 7.6% due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through 2027</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75"/>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Variable rate with an average rate in 2024 of 3.6% due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0" w:type="dxa"/>
            <w:vAlign w:val="bottom"/>
          </w:tcPr>
          <w:p>
            <w:pPr>
              <w:spacing w:after="0"/>
              <w:rPr>
                <w:sz w:val="19"/>
                <w:szCs w:val="19"/>
                <w:color w:val="auto"/>
              </w:rPr>
            </w:pP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3"/>
        </w:trPr>
        <w:tc>
          <w:tcPr>
            <w:tcW w:w="20" w:type="dxa"/>
            <w:vAlign w:val="bottom"/>
          </w:tcPr>
          <w:p>
            <w:pPr>
              <w:spacing w:after="0"/>
              <w:rPr>
                <w:sz w:val="19"/>
                <w:szCs w:val="19"/>
                <w:color w:val="auto"/>
              </w:rPr>
            </w:pP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€520 at December 31, 2024 and €533 at December 31,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$6,255 at December 31, 2024 and $7,484 at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issued €600 principal amount of 4.50% senior unsecured notes due 2030 issued at par by its subsidiary Crown European Holdings S.A and used the proceeds to repay the €600 principal amount of 2.625% senior unsecured notes due September 2024. Additionally, in December 2024, the Company redeemed the €600 principal amount of 3.375% senior unsecured notes due May 2025 and made an early payment of $400 towards the U.S. dollar term loan facility due 2027.</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facilities include provisions for letters of credit up to $335 that reduce the amount of borrowing capacity otherwise available. At December 31, 2024, the Company’s available borrowing capacity under the credit facilities was $1,614 equal to the facilities’ aggregate capacity of $1,650 less $36 of outstanding letters of credit. The interest rates on the facilities can vary from SOFR or EURIBOR, with a floor of zero, plus a margin of up to 1.60%, depending on the facility, based on the Company's leverage ratio. The revolving credit facilities and term loan facilities required the Company to maintain a leverage ratio of no greater than 4.50 times at December 31, 2024.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 was in compliance with all covenants as of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U.S. dollar term loan interest rate was SOFR plus 1.10% and the Euro term loan interest rate was EURIBOR plus 1.00%.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7120" w:type="dxa"/>
            <w:vAlign w:val="bottom"/>
            <w:gridSpan w:val="2"/>
          </w:tcPr>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770"/>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interest rates were as follows: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99"/>
        </w:trPr>
        <w:tc>
          <w:tcPr>
            <w:tcW w:w="7120" w:type="dxa"/>
            <w:vAlign w:val="bottom"/>
            <w:gridSpan w:val="2"/>
          </w:tcPr>
          <w:p>
            <w:pPr>
              <w:ind w:left="67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9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4"/>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maturities of long-term debt, excluding unamortized discounts and debt issuance costs, for the five years subsequent to 2024 are $80, $2,225, $1,669, $518 and $518. Cash payments for interest during 2024, 2023 and 2022 were $367, $390, and $270.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Derivative and Other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below. In addition,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fair value disclosures related to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jc w:val="both"/>
        <w:spacing w:after="0" w:line="260" w:lineRule="auto"/>
        <w:rPr>
          <w:sz w:val="20"/>
          <w:szCs w:val="20"/>
          <w:color w:val="auto"/>
        </w:rPr>
      </w:pPr>
      <w:r>
        <w:rPr>
          <w:rFonts w:ascii="Times New Roman" w:cs="Times New Roman" w:eastAsia="Times New Roman" w:hAnsi="Times New Roman"/>
          <w:sz w:val="18"/>
          <w:szCs w:val="18"/>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other comprehensive income is the same as that of the underlying exposure. Contracts outstanding at December 31, 2024 mature between one and twenty-four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related to derivative instruments designated as cash flow hedges.</w:t>
      </w:r>
    </w:p>
    <w:p>
      <w:pPr>
        <w:spacing w:after="0" w:line="2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Amount of gain / (loss) recognized in</w:t>
      </w:r>
    </w:p>
    <w:p>
      <w:pPr>
        <w:jc w:val="center"/>
        <w:ind w:right="1020"/>
        <w:spacing w:after="0"/>
        <w:rPr>
          <w:sz w:val="20"/>
          <w:szCs w:val="20"/>
          <w:color w:val="auto"/>
        </w:rPr>
      </w:pPr>
      <w:r>
        <w:rPr>
          <w:rFonts w:ascii="Times New Roman" w:cs="Times New Roman" w:eastAsia="Times New Roman" w:hAnsi="Times New Roman"/>
          <w:sz w:val="18"/>
          <w:szCs w:val="18"/>
          <w:color w:val="auto"/>
        </w:rPr>
        <w:t>AOCI</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29"/>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878"/>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w w:val="99"/>
              </w:rPr>
              <w:t>Amount of gain / (loss) reclassified from</w:t>
            </w:r>
          </w:p>
        </w:tc>
        <w:tc>
          <w:tcPr>
            <w:tcW w:w="1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AOCI into income</w:t>
            </w: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175"/>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4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5"/>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75"/>
        </w:trPr>
        <w:tc>
          <w:tcPr>
            <w:tcW w:w="3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55"/>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equity in net earnings of</w:t>
            </w:r>
          </w:p>
        </w:tc>
      </w:tr>
      <w:tr>
        <w:trPr>
          <w:trHeight w:val="243"/>
        </w:trPr>
        <w:tc>
          <w:tcPr>
            <w:tcW w:w="33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21"/>
                <w:szCs w:val="21"/>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affiliates</w:t>
            </w:r>
          </w:p>
        </w:tc>
      </w:tr>
      <w:tr>
        <w:trPr>
          <w:trHeight w:val="223"/>
        </w:trPr>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2025, a net gain of $5 ($4, net of tax) is expected to be reclassified to earnings for commodity and foreign exchange contracts. No material amounts were reclassified during the years ended December 31, 2024 and 2023 in connection with anticipated transactions that were no longer considered probable.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designate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December 31, 2023, the Company recorded a gain of $7 and loss of $12 from foreign exchange contracts designated as fair value hedges. These adjustments were reported within foreign exchange in the Consolidated Statements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sets forth the impact on earnings from derivatives not designated as hedges.</w:t>
            </w:r>
          </w:p>
        </w:tc>
        <w:tc>
          <w:tcPr>
            <w:tcW w:w="4140" w:type="dxa"/>
            <w:vAlign w:val="bottom"/>
          </w:tcPr>
          <w:p>
            <w:pPr>
              <w:spacing w:after="0"/>
              <w:rPr>
                <w:sz w:val="20"/>
                <w:szCs w:val="20"/>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6"/>
          </w:tcPr>
          <w:p>
            <w:pPr>
              <w:jc w:val="center"/>
              <w:ind w:right="140"/>
              <w:spacing w:after="0" w:line="202" w:lineRule="exact"/>
              <w:rPr>
                <w:sz w:val="20"/>
                <w:szCs w:val="20"/>
                <w:color w:val="auto"/>
              </w:rPr>
            </w:pPr>
            <w:r>
              <w:rPr>
                <w:rFonts w:ascii="Times New Roman" w:cs="Times New Roman" w:eastAsia="Times New Roman" w:hAnsi="Times New Roman"/>
                <w:sz w:val="18"/>
                <w:szCs w:val="18"/>
                <w:color w:val="auto"/>
                <w:w w:val="99"/>
              </w:rPr>
              <w:t>Pre-tax amount of gain / (loss) recognized</w:t>
            </w:r>
          </w:p>
        </w:tc>
        <w:tc>
          <w:tcPr>
            <w:tcW w:w="4140" w:type="dxa"/>
            <w:vAlign w:val="bottom"/>
          </w:tcPr>
          <w:p>
            <w:pPr>
              <w:spacing w:after="0"/>
              <w:rPr>
                <w:sz w:val="17"/>
                <w:szCs w:val="17"/>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earnings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162"/>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1160"/>
              <w:spacing w:after="0" w:line="162"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169"/>
        </w:trPr>
        <w:tc>
          <w:tcPr>
            <w:tcW w:w="3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29"/>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23"/>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a gain of $84 ($63, net of tax) and a loss of $52 ($43, net of tax) in other comprehensive income for certain debt instruments that are designated as hedges of its net investment in a euro-based subsidiary. As of December 31, 2024 and December 31, 2023, cumulative gains of $133 ($131, net of tax) and $49 ($68, net of tax) were recognized in accumulated other comprehensive income related to these net investment hedges and the carrying amount of the hedging instrument was approximately €1,246 ($1,291) at December 31, 2024.</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$25 for the years ended December 31, 2024, 2023 and 2022.</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sets forth financial information about the impact on accumulated other comprehensive income from changes in the fair value of these derivative instruments designated as net investment hedges.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Amount of gain / (loss) recognized in AOCI</w:t>
            </w: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December 31, 2024 and December 31, 2023, respectively. The fair value of these financial instruments were reported under Level 2 of the fair value hierarchy.</w:t>
      </w: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5"/>
          </w:tcPr>
          <w:p>
            <w:pPr>
              <w:ind w:left="420"/>
              <w:spacing w:after="0" w:line="182"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5"/>
                <w:szCs w:val="15"/>
                <w:color w:val="auto"/>
              </w:rPr>
            </w:pPr>
          </w:p>
        </w:tc>
        <w:tc>
          <w:tcPr>
            <w:tcW w:w="13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5"/>
                <w:szCs w:val="15"/>
                <w:color w:val="auto"/>
              </w:rPr>
            </w:pPr>
          </w:p>
        </w:tc>
        <w:tc>
          <w:tcPr>
            <w:tcW w:w="120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5"/>
                <w:szCs w:val="15"/>
                <w:color w:val="auto"/>
              </w:rPr>
            </w:pPr>
          </w:p>
        </w:tc>
        <w:tc>
          <w:tcPr>
            <w:tcW w:w="1780" w:type="dxa"/>
            <w:vAlign w:val="bottom"/>
            <w:gridSpan w:val="4"/>
          </w:tcPr>
          <w:p>
            <w:pPr>
              <w:ind w:left="320"/>
              <w:spacing w:after="0" w:line="182" w:lineRule="exact"/>
              <w:rPr>
                <w:sz w:val="20"/>
                <w:szCs w:val="20"/>
                <w:color w:val="auto"/>
              </w:rPr>
            </w:pPr>
            <w:r>
              <w:rPr>
                <w:rFonts w:ascii="Times New Roman" w:cs="Times New Roman" w:eastAsia="Times New Roman" w:hAnsi="Times New Roman"/>
                <w:sz w:val="18"/>
                <w:szCs w:val="18"/>
                <w:color w:val="auto"/>
              </w:rPr>
              <w:t>Balance Sheet</w:t>
            </w:r>
          </w:p>
        </w:tc>
        <w:tc>
          <w:tcPr>
            <w:tcW w:w="1460" w:type="dxa"/>
            <w:vAlign w:val="bottom"/>
            <w:gridSpan w:val="5"/>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December 31,</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classification</w:t>
            </w:r>
          </w:p>
        </w:tc>
        <w:tc>
          <w:tcPr>
            <w:tcW w:w="4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3360" w:type="dxa"/>
            <w:vAlign w:val="bottom"/>
            <w:tcBorders>
              <w:top w:val="single" w:sz="8" w:color="auto"/>
              <w:bottom w:val="single" w:sz="8" w:color="auto"/>
            </w:tcBorders>
            <w:gridSpan w:val="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w w:val="99"/>
              </w:rPr>
              <w:t>Derivatives designated as hedging instruments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cash flow</w:t>
            </w: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fair value</w:t>
            </w:r>
          </w:p>
        </w:tc>
        <w:tc>
          <w:tcPr>
            <w:tcW w:w="18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Commodities contracts</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w:t>
            </w: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6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instruments</w:t>
            </w: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w:t>
            </w: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6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Fair Value Hedge Carrying Amounts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68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 amount of the hedged assets and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liabilities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cumulative amount of fair value hedging adjustments included in the carrying amount of the hedged assets and liabilities was a net gain of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120" w:type="dxa"/>
            <w:vAlign w:val="bottom"/>
          </w:tcPr>
          <w:p>
            <w:pPr>
              <w:spacing w:after="0"/>
              <w:rPr>
                <w:sz w:val="24"/>
                <w:szCs w:val="24"/>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Gross amounts not offset in the</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21"/>
                <w:szCs w:val="21"/>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 Sheet</w:t>
            </w:r>
          </w:p>
        </w:tc>
        <w:tc>
          <w:tcPr>
            <w:tcW w:w="360" w:type="dxa"/>
            <w:vAlign w:val="bottom"/>
          </w:tcPr>
          <w:p>
            <w:pPr>
              <w:spacing w:after="0"/>
              <w:rPr>
                <w:sz w:val="21"/>
                <w:szCs w:val="21"/>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3"/>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Asbestos-Related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approximate claims activity for the years ended 2024, 2023 and 2022 was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1"/>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made cash payments of $15, $17, and $21 to settle asbestos claims and pay related legal and defense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by year of exposure and state filed.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 the Company's outstanding claims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ind w:left="8020"/>
              <w:spacing w:after="0"/>
              <w:rPr>
                <w:sz w:val="20"/>
                <w:szCs w:val="20"/>
                <w:color w:val="auto"/>
              </w:rPr>
            </w:pPr>
            <w:r>
              <w:rPr>
                <w:rFonts w:ascii="Times New Roman" w:cs="Times New Roman" w:eastAsia="Times New Roman" w:hAnsi="Times New Roman"/>
                <w:sz w:val="18"/>
                <w:szCs w:val="18"/>
                <w:color w:val="auto"/>
                <w:w w:val="94"/>
              </w:rPr>
              <w:t>2024</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18,000</w:t>
            </w:r>
          </w:p>
        </w:tc>
        <w:tc>
          <w:tcPr>
            <w:tcW w:w="6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Pennsylvania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states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21,000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59,300</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the percentage of outstanding claims related to claimants alleging serious diseases (primarily mesothelioma and other malignancies)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82% of the claims outstanding at the end of 2024 were filed by plaintiffs who do not claim a specific amount of damages or claim a minimum amount as established by court rules relating to jurisdiction; approximately 15% were filed by plaintiffs who claim damages of less than $5; approximately 3% were filed by plaintiffs who claim damages from $5 to less than $100 (29% of whom claim damages less than $25) and 14 claims were filed by plaintiffs who claim damages in excess of $100.</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Company’s accrual for pending and future asbestos-related claims and related legal costs was $185, including $141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Commitments and Contingent Liabilities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October 7, 2021, the French </w:t>
      </w:r>
      <w:r>
        <w:rPr>
          <w:rFonts w:ascii="Times New Roman" w:cs="Times New Roman" w:eastAsia="Times New Roman" w:hAnsi="Times New Roman"/>
          <w:sz w:val="18"/>
          <w:szCs w:val="18"/>
          <w:i w:val="1"/>
          <w:iCs w:val="1"/>
          <w:color w:val="auto"/>
        </w:rPr>
        <w:t>Autorité de la concurrence</w:t>
      </w:r>
      <w:r>
        <w:rPr>
          <w:rFonts w:ascii="Times New Roman" w:cs="Times New Roman" w:eastAsia="Times New Roman" w:hAnsi="Times New Roman"/>
          <w:sz w:val="18"/>
          <w:szCs w:val="18"/>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intends to appeal the decision of the FCA and there can be no assurance regarding the outcome of such appeal.</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During the fourth quarter, the Company received an unfavorable ruling to their challenge filed at the administrative level. The Company does not believe that a loss for this assessment is probable and plans to challenge the assessment at the judicial level. There can be no assurances that the Company will be successful in contesting the assessment.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82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6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 Other Non-Current Liabilities</w:t>
            </w: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4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7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3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benefits</w:t>
            </w:r>
          </w:p>
        </w:tc>
        <w:tc>
          <w:tcPr>
            <w:tcW w:w="3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7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368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taxes payable includes unrecognized tax benefits as discussed in </w:t>
      </w:r>
      <w:r>
        <w:rPr>
          <w:rFonts w:ascii="Times New Roman" w:cs="Times New Roman" w:eastAsia="Times New Roman" w:hAnsi="Times New Roman"/>
          <w:sz w:val="18"/>
          <w:szCs w:val="18"/>
          <w:u w:val="single" w:color="auto"/>
          <w:color w:val="0000FF"/>
        </w:rPr>
        <w:t>Note T</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Pension and Other Postretirement Benefits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Pensions. </w:t>
      </w:r>
      <w:r>
        <w:rPr>
          <w:rFonts w:ascii="Times New Roman" w:cs="Times New Roman" w:eastAsia="Times New Roman" w:hAnsi="Times New Roman"/>
          <w:sz w:val="18"/>
          <w:szCs w:val="18"/>
          <w:color w:val="auto"/>
        </w:rPr>
        <w:t>The Company sponsors various pension plans covering certain U.S. and non-U.S. employees, and participates in certain multi-employer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The benefits under the Company plans are based primarily on years of service and either the employees’ remuneration near retirement or a fixed dollar multiple.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measurement date of December 31 was used for all plans presented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pension expense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Plans</w:t>
            </w:r>
          </w:p>
        </w:tc>
        <w:tc>
          <w:tcPr>
            <w:tcW w:w="30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Non-U.S. Plans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third quarter of 2024, the Company's Canadian and primary U.S. defined benefit pension plans (the "Canadian Plan" and the "U.S. Plans", respectively) entered into transactions to transfer a significant portion of their pension liabilities through the purchase of group annuity insurance contracts for the benefit of nearly all their respective retiree and deferred vested participants. The issuers of the group annuity insurance contracts fully guarantee and are solely responsible for paying each participant's future benefits in full. The Company used plan assets to settle $119 of Canadian Plan obligations and $740 of U.S. Plans obligations and recorded settlement charges of $47 and $469, respectively, for the Canadian and U.S. Plans. As part of the transaction, the Company also made a cash contribution of approximately $100 to the U.S. Plans. In addition in 2024, $35 of U.S. plan obligations were settled as a result of certain retiree and deferred vested participants electing lump-sum distributions.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pension expense of $6 in 2024 and 2023 and $5 for 2022 was recognized for multi-employer plans.</w:t>
      </w:r>
    </w:p>
    <w:p>
      <w:pPr>
        <w:spacing w:after="0" w:line="25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projected benefit obligations, accumulated benefit obligations, plan assets and funded status of the Company's U.S. and non-U.S. plans were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U.S. Plans</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Non-U.S. Plans</w:t>
            </w:r>
          </w:p>
        </w:tc>
        <w:tc>
          <w:tcPr>
            <w:tcW w:w="86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Projected Benefit Obligations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 loss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Plan Assets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gain on plan assets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contributions / (withdrawals)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9"/>
        </w:trPr>
        <w:tc>
          <w:tcPr>
            <w:tcW w:w="20" w:type="dxa"/>
            <w:vAlign w:val="bottom"/>
            <w:shd w:val="clear" w:color="auto" w:fill="CCEEFF"/>
          </w:tcPr>
          <w:p>
            <w:pPr>
              <w:spacing w:after="0"/>
              <w:rPr>
                <w:sz w:val="21"/>
                <w:szCs w:val="21"/>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obligations at December 31</w:t>
            </w:r>
          </w:p>
        </w:tc>
        <w:tc>
          <w:tcPr>
            <w:tcW w:w="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actuarial gains for the Company’s U.S. and non-U.S. pension plans totaled $25. Actuarial gains and losses arise each year primarily due to changes in discount rates, differences in actual plan asset returns compared to expected returns, and changes in actuarial assumptions such as mortality. The gain in 2024 was primarily due to higher discount rates at the end of 2024 compared to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 pension plans with accumulated benefit obligations in excess of plan assets were as follows: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74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54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 pension plans with projected benefit obligations in excess of plan assets were as follows: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74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pension plans with accumulated benefit obligations and projected benefit obligations in excess of plan assets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strategic ranges for asset allocation in the U.S. plans are as follows:</w:t>
            </w: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Balanced funds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the annuitization of a portion of the U.S Plans liabilities discussed above, the U.S. Plans’ asset allocation will be migrating to the above target ranges. That migration will be staged over time and allow Crown to manage liquidity requirements and minimize transaction fees.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 Investments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 Investments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 Investments</w:t>
      </w:r>
    </w:p>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Measured Using NAV per Share Practical Expedient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2024 and 2023 are summarized in the tables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2</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3</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46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3</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3"/>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Certain investments that are measured at fair value using the NAV per share practical expedient have not been classified in the fair value hierarchy.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income excluded from the tables above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 assets</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as of December 31, 2023, include $297 of the Company’s common stock.</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the beginning and ending balances of plan assets measured using significant unobservable inputs (Level 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Private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Real</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5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estate</w:t>
            </w: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pension plan assets valued using NAV as a practical expedient:</w:t>
      </w:r>
    </w:p>
    <w:p>
      <w:pPr>
        <w:spacing w:after="0" w:line="3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Redemption Notice</w:t>
      </w:r>
    </w:p>
    <w:tbl>
      <w:tblPr>
        <w:tblLayout w:type="fixed"/>
        <w:tblInd w:w="0" w:type="dxa"/>
        <w:tblCellMar>
          <w:top w:w="0" w:type="dxa"/>
          <w:left w:w="0" w:type="dxa"/>
          <w:bottom w:w="0" w:type="dxa"/>
          <w:right w:w="0" w:type="dxa"/>
        </w:tblCellMar>
      </w:tblPr>
      <w:tr>
        <w:trPr>
          <w:trHeight w:val="228"/>
        </w:trPr>
        <w:tc>
          <w:tcPr>
            <w:tcW w:w="3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Redemption Frequency</w:t>
            </w: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Period</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03"/>
        </w:trPr>
        <w:tc>
          <w:tcPr>
            <w:tcW w:w="3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1- 5 days</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6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plan assets valued using NAV as a practical expedient do not have any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assets and liabilities included in the Consolidated Balance Sheets were: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76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current liability at December 31, 2024, represents the expected required payments to be made for unfunded plans over the next twelve months. Total estimated 2025 employer contributions are $20 for the Company’s pension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the net loss and prior service credit for the Company’s pension plans were:</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4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22"/>
                <w:szCs w:val="22"/>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r>
      <w:tr>
        <w:trPr>
          <w:trHeight w:val="243"/>
        </w:trPr>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service</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(gain) / loss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benefit payments as of December 31, 2024 are: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U.S.</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Non-U.S.</w:t>
            </w:r>
          </w:p>
        </w:tc>
      </w:tr>
      <w:tr>
        <w:trPr>
          <w:trHeight w:val="239"/>
        </w:trPr>
        <w:tc>
          <w:tcPr>
            <w:tcW w:w="4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plans</w:t>
            </w:r>
          </w:p>
        </w:tc>
        <w:tc>
          <w:tcPr>
            <w:tcW w:w="40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plans</w:t>
            </w:r>
          </w:p>
        </w:tc>
      </w:tr>
      <w:tr>
        <w:trPr>
          <w:trHeight w:val="227"/>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2030 - 2034</w:t>
            </w:r>
          </w:p>
        </w:tc>
        <w:tc>
          <w:tcPr>
            <w:tcW w:w="1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the benefit obligations at December 31 were:</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20"/>
                <w:szCs w:val="20"/>
                <w:color w:val="auto"/>
              </w:rPr>
            </w:pPr>
          </w:p>
        </w:tc>
      </w:tr>
      <w:tr>
        <w:trPr>
          <w:trHeight w:val="549"/>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pension expense for each year were:</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Long-term rate of return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4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Long-term rate of return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6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 Plans. </w:t>
      </w:r>
      <w:r>
        <w:rPr>
          <w:rFonts w:ascii="Times New Roman" w:cs="Times New Roman" w:eastAsia="Times New Roman" w:hAnsi="Times New Roman"/>
          <w:sz w:val="18"/>
          <w:szCs w:val="18"/>
          <w:color w:val="auto"/>
        </w:rPr>
        <w:t>The Company sponsors unfunded plans to provide health care and life insurance benefits to certain retirees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 (credit)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benefit obligations were: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 loss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Changes in the net (gain) / loss and prior service credit for the Company’s postretirement benefit plans were: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w w:val="92"/>
              </w:rPr>
              <w:t>Net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gain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gain</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loss / (gain)</w:t>
            </w:r>
          </w:p>
        </w:tc>
        <w:tc>
          <w:tcPr>
            <w:tcW w:w="20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service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(gain) / loss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Expected future benefit payments are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Benefit Payments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assumed health care cost trend rates at December 31, 2024 were as follows: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2024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that the cost trend rate gradually declines to</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rate it is assumed to remain</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rates used to calculate the benefit obligations at the end of each year and the cost for each year are presented below:</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6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Defined Contribution Benefit Plans. </w:t>
      </w:r>
      <w:r>
        <w:rPr>
          <w:rFonts w:ascii="Times New Roman" w:cs="Times New Roman" w:eastAsia="Times New Roman" w:hAnsi="Times New Roman"/>
          <w:sz w:val="18"/>
          <w:szCs w:val="18"/>
          <w:color w:val="auto"/>
        </w:rPr>
        <w:t>The Company also sponsors defined contribution benefit plans in certain jurisdictions including the 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The Company recognized expense of $13, $14, and $13 in 2024, 2023 and 2022 related to these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 Income Taxes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U.S. statutory federal income tax rate to pre-tax income as a result of the following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rate at 21%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 differences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foreign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taxes on foreign income, net of credits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contingencies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law changes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benefits from certain incentives in Brazil which allow it to pay reduced income taxes. The incentives expire at various dates beginning in December 2026. These incentives increased net income attributable to the Company by $22 in 2024,$20 in 2023 and $21 in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recorded a gain of $275 related to the $338 distribution from the sale of the Eviosys equity method investment by KPS Capital Partners. The tax charge of $64 is included in U.S. taxes on foreign income, net of credits, as a portion of the distribution was taxable in the U.S. The distribution was non-taxable in Switzerland, and is shown as a reduction of taxes on foreign income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taxes on foreign income includes income tax charges of $11 for the sale of the Company's Transit Packaging segment's Kiwiplan business in 2022.</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year-ended December 31, 2022, the Company recorded a deferred tax asset of $21 for goodwill amortization and net operating loss carryforwards in Switzerland and established a full valuation allowance for these deferred tax assets as it was more likely than not that the deferred tax assets would not be utilized prior to their expiration. During the year-ended December 31, 2024, the Company recognized a deferred tax benefit of $17 resulting from the release of this valuation allowance due to improved profitability and continued forecasted income in Switzerland.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2022, Pennsylvania enacted a corporate net income tax rate reduction over a nine year period. The income tax rate for the 2022 and 2023 tax years were 9.99% and 8.99%, respectively. Starting with the 2024 tax year, the income tax rate is reduced by 0.50% annually until it reaches 4.99% for the 2031 tax year. The remeasurement of the Company's deferred taxes in 2022 had a $78 impact on the Company's state net operating loss carryforward and corresponding valuation allowance.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not provided deferred taxes on approximately $1,100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taxes of $398, $262 and $223, respectively, in 2024, 2023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at December 31 were: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Disallowed interest carryforwards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and postemployment benefits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Tax carryforwards expire as follows:</w:t>
            </w: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5"/>
              </w:rPr>
              <w:t>Year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Unlimited</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carryforwards expiring after 2029 include $48 of U.S. state tax loss carryforwards. The unlimited category includes $76 of French tax loss carryforwards and $25 of Luxembourg tax loss carryforwards. In addition, the Company has disallowed interest in the U.S. which can be carried forward indefinitely.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valuation allowances at December 31, 2024 include $72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 In addition, the Company's valuation allowances at December 31, 2024 includes $62 related to tax loss carryforwards in France.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7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6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unrecognized tax benefits follows:</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340" w:type="dxa"/>
            <w:vAlign w:val="bottom"/>
          </w:tcPr>
          <w:p>
            <w:pPr>
              <w:spacing w:after="0"/>
              <w:rPr>
                <w:sz w:val="22"/>
                <w:szCs w:val="22"/>
                <w:color w:val="auto"/>
              </w:rPr>
            </w:pPr>
          </w:p>
        </w:tc>
        <w:tc>
          <w:tcPr>
            <w:tcW w:w="2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6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to prior period tax positions</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include potential liabilities related to transfer pricing, foreign withholding taxes, and non-deductibility of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interest and penalties recorded in income tax expense was $2 in 2024 and 2023 and less than $1 in 2022. As of December 31, 2024, unrecognized tax benefits of $46, if recognized, would affect the Company's effective tax rate.</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tax years that remained subject to examination by major tax jurisdictions as of December 31, 2024 were, 2010 and subsequent years for Germany; 2013 and subsequent years for India and Cambodia; 2015 and subsequent years for Thailand; 2016 and subsequent years for Vietnam; 2018 and subsequent years for Italy; 2019 and subsequent years for Mexico, Greece, Luxembourg and Netherlands; 2020 and subsequent years for Canada, Spain, Turkey, Brazil and Singapore; 2021 and subsequent years for the U.S., U.K. and France.; 2022 and subsequent years for Switzerland and Belgium. The U.S. also remains subject to exam for 2018, specifically as it relates to the transition tax incurred related to the 2017 Tax Act. In addition, tax authorities in certain jurisdictions, including France and the U.S., may examine earlier years when tax carryforwards that were generated in those years are subsequently utilized.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Capital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common share activity for the years ended December 31 follows (in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January 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120,644,313</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119,945,302</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126,131,799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(2,470,604)</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(6,574,610)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issued to employees, net of forfeitures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313,136</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820,343</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370,178</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non-employee directors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118,503,631</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120,644,313</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119,945,302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declared and paid dividends of $1.00, $0.96 and $0.88 per share in 2024, 2023 and 2022, respectively. Additionally, on February 27, 2025, the Company's Board of Directors declared a dividend of $0.26 per share payable on April 1, 2025, to shareholders of record as of March 18, 2025.</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uses the par value method of accounting for its stock repurchases. The excess of the fair value over par value is first charged to paid-in capital, if any, and then to retained earnings. The Company repurchased $217 of its shares during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the debt agreements generally permit dividends and common stock repurchases provided that the Company is in compliance with applicable financial and other covenants and meets certain liquidity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Accumulated Other Comprehensive Loss Attributable to Crown Holdings</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loss for the years ended December 31, 2024 and 2023.</w:t>
      </w: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Foreign</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7"/>
              </w:rPr>
              <w:t>Cash flow</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8"/>
                <w:szCs w:val="18"/>
                <w:color w:val="auto"/>
              </w:rPr>
              <w:t>currency</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benefit 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6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for further details of amounts reclassified from accumulated other comprehensive income related to cash flow hedges and defined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revenue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Z</w:t>
      </w:r>
      <w:r>
        <w:rPr>
          <w:rFonts w:ascii="Times New Roman" w:cs="Times New Roman" w:eastAsia="Times New Roman" w:hAnsi="Times New Roman"/>
          <w:sz w:val="18"/>
          <w:szCs w:val="18"/>
          <w:color w:val="auto"/>
        </w:rPr>
        <w:t xml:space="preserve"> for further disaggregation of the Company's revenue.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$9 and $8, respectively, as of December 31, 2024 and 2023 included in prepaid and other current assets. For the year ended December 31, 2024, the Company satisfied performance obligations related to contract assets at December 31, 2023 and also recorded new contract assets primarily related to work in process for the equipment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X. Stock-Based Compensation</w:t>
      </w:r>
    </w:p>
    <w:p>
      <w:pPr>
        <w:spacing w:after="0" w:line="25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In April 2022, the Company's shareholders approved the 2022 Stock-Based Incentive Plan which allowed for a total of 2.8 million shares to be issued under future awards. At December 31, 2024, there were 3.4 million authorized shares available for future awards under the 2013 and 2022 Stock-Based Incentive Plan.</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Restricted and Deferred Stock</w:t>
      </w:r>
    </w:p>
    <w:p>
      <w:pPr>
        <w:spacing w:after="0" w:line="252"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Annually, the Company awards shares of restricted stock to certain senior executives in the form of time-vesting restricted stock and performance-based shares. The time-vesting restricted stock vests ratably over three years.</w:t>
      </w:r>
    </w:p>
    <w:p>
      <w:pPr>
        <w:spacing w:after="0" w:line="18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207"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service condition to the date of termination and, if approved, performance restrictions laps on the original vesting date.</w:t>
      </w:r>
    </w:p>
    <w:p>
      <w:pPr>
        <w:spacing w:after="0" w:line="207"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also issues shares of time-vesting restricted stock to U.S. employees and deferred stock to non-U.S. employees which vest ratably over three to five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and deferred stock activity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January 1, 2024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1,444,712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240,680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166,380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(284,127)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(103,993)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(112,020)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December 31, 2024</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1,330,277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average grant-date fair value of restricted stock awarded in 2024, 2023 and 2022 follows: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0" w:type="dxa"/>
            <w:vAlign w:val="bottom"/>
            <w:tcBorders>
              <w:bottom w:val="single" w:sz="8" w:color="CCEEFF"/>
            </w:tcBorders>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80" w:right="220"/>
        <w:spacing w:after="0" w:line="273" w:lineRule="auto"/>
        <w:rPr>
          <w:sz w:val="20"/>
          <w:szCs w:val="20"/>
          <w:color w:val="auto"/>
        </w:rPr>
      </w:pPr>
      <w:r>
        <w:rPr>
          <w:rFonts w:ascii="Times New Roman" w:cs="Times New Roman" w:eastAsia="Times New Roman" w:hAnsi="Times New Roman"/>
          <w:sz w:val="18"/>
          <w:szCs w:val="18"/>
          <w:color w:val="auto"/>
        </w:rPr>
        <w:t>The fair values of the performance-based awards that include a market condition were calculated using a Monte Carlo valuation model and the following weighted average assumptions:</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bl>
    <w:p>
      <w:pPr>
        <w:spacing w:after="0" w:line="200" w:lineRule="exact"/>
        <w:rPr>
          <w:sz w:val="20"/>
          <w:szCs w:val="20"/>
          <w:color w:val="auto"/>
        </w:rPr>
      </w:pPr>
    </w:p>
    <w:p>
      <w:pPr>
        <w:sectPr>
          <w:pgSz w:w="11900" w:h="16838" w:orient="portrait"/>
          <w:cols w:equalWidth="0" w:num="1">
            <w:col w:w="11320"/>
          </w:cols>
          <w:pgMar w:left="2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unrecognized compensation cost related to outstanding restricted and deferred stock was $76. The weighted average period over which the expense is expected to be recognized is 2.7 years. The aggregate market value of the shares released on the vesting dates was $33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restricted stock, when dilutive, as calculated under the treasury stock method.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Crown Holdings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r>
      <w:tr>
        <w:trPr>
          <w:trHeight w:val="229"/>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Add: dilutive restricted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5"/>
        </w:trPr>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Contingently issuable shares excluded from the computation of diluted earnings per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because the effect would have been anti-dilutive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Company has determined that it has the following reportable segments: Americas Beverage, European Beverage, Asia Pacific and Transit Packaging. Other includes the Company's food can, aerosol can and closures businesses in North America, and beverage tooling and equipment operations in the U.S. and U.K.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Chairman of the Board, President and Chief Executive Officer. Segment income is used by the CODM to allocate resources, including capital expenditures, and to evaluate operating performance against budgets and forecasts. Segment income, which is not a defined term under GAAP, is defined by the Company as income from operations adjusted to exclude intangibles amortization charges,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data prepared in accordance with GAAP and may not be comparable to calculations of similarly titled measures by other companies.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operating segments for the three years ended December 31, 2024, 2023 and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sales of cans, ends and parts and equipment used in the manufacturing process.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189"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for the three years ended December 31, 2024, 2023 and 2022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1,728</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0"/>
        </w:trPr>
        <w:tc>
          <w:tcPr>
            <w:tcW w:w="5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and 2022, intercompany profit of $13 and $19 was eliminated within segment income of other.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two customers each accounted for 12% of the Company's consolidated net sales. For the years ended December 31, 2023 and 2022, the same two customers each accounted for 12% and 11%, of the Company's consolidated net sales. These customers are global beverage companies served by the Company's beverage operations in the Americas, Europe and Asia.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84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Sales by major product were:</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350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beverage cans and ends</w:t>
            </w: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food cans and ends</w:t>
            </w: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metal packaging</w:t>
            </w:r>
          </w:p>
        </w:tc>
        <w:tc>
          <w:tcPr>
            <w:tcW w:w="2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r>
      <w:tr>
        <w:trPr>
          <w:trHeight w:val="20"/>
        </w:trPr>
        <w:tc>
          <w:tcPr>
            <w:tcW w:w="3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provides sales and long-lived asset information for the major countries in which the Company operates. Long-lived assets comprises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Long-Lived Assets</w:t>
            </w:r>
          </w:p>
        </w:tc>
      </w:tr>
      <w:tr>
        <w:trPr>
          <w:trHeight w:val="223"/>
        </w:trPr>
        <w:tc>
          <w:tcPr>
            <w:tcW w:w="49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spacing w:after="0"/>
              <w:rPr>
                <w:sz w:val="19"/>
                <w:szCs w:val="19"/>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700" w:type="dxa"/>
            <w:vAlign w:val="bottom"/>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7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00" w:type="dxa"/>
            <w:vAlign w:val="bottom"/>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700" w:type="dxa"/>
            <w:vAlign w:val="bottom"/>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7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44"/>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980" w:type="dxa"/>
            <w:vAlign w:val="bottom"/>
            <w:tcBorders>
              <w:top w:val="single" w:sz="8" w:color="auto"/>
              <w:lef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COLUMN A</w:t>
            </w:r>
          </w:p>
        </w:tc>
        <w:tc>
          <w:tcPr>
            <w:tcW w:w="212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COLUMN B</w:t>
            </w:r>
          </w:p>
        </w:tc>
        <w:tc>
          <w:tcPr>
            <w:tcW w:w="880" w:type="dxa"/>
            <w:vAlign w:val="bottom"/>
            <w:tcBorders>
              <w:top w:val="single" w:sz="8" w:color="auto"/>
            </w:tcBorders>
          </w:tcPr>
          <w:p>
            <w:pPr>
              <w:spacing w:after="0"/>
              <w:rPr>
                <w:sz w:val="17"/>
                <w:szCs w:val="17"/>
                <w:color w:val="auto"/>
              </w:rPr>
            </w:pPr>
          </w:p>
        </w:tc>
        <w:tc>
          <w:tcPr>
            <w:tcW w:w="1880" w:type="dxa"/>
            <w:vAlign w:val="bottom"/>
            <w:tcBorders>
              <w:top w:val="single" w:sz="8" w:color="auto"/>
              <w:right w:val="single" w:sz="8" w:color="auto"/>
            </w:tcBorders>
            <w:gridSpan w:val="3"/>
          </w:tcPr>
          <w:p>
            <w:pPr>
              <w:jc w:val="center"/>
              <w:ind w:right="920"/>
              <w:spacing w:after="0" w:line="202" w:lineRule="exact"/>
              <w:rPr>
                <w:sz w:val="20"/>
                <w:szCs w:val="20"/>
                <w:color w:val="auto"/>
              </w:rPr>
            </w:pPr>
            <w:r>
              <w:rPr>
                <w:rFonts w:ascii="Times New Roman" w:cs="Times New Roman" w:eastAsia="Times New Roman" w:hAnsi="Times New Roman"/>
                <w:sz w:val="18"/>
                <w:szCs w:val="18"/>
                <w:color w:val="auto"/>
              </w:rPr>
              <w:t>COLUMN C</w:t>
            </w:r>
          </w:p>
        </w:tc>
        <w:tc>
          <w:tcPr>
            <w:tcW w:w="1360" w:type="dxa"/>
            <w:vAlign w:val="bottom"/>
            <w:tcBorders>
              <w:top w:val="single" w:sz="8" w:color="auto"/>
              <w:right w:val="single" w:sz="8" w:color="auto"/>
            </w:tcBorders>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COLUMN D</w:t>
            </w:r>
          </w:p>
        </w:tc>
        <w:tc>
          <w:tcPr>
            <w:tcW w:w="126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rPr>
              <w:t>COLUMN 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COLUMN F</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38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Charged to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right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Deductions</w:t>
            </w:r>
          </w:p>
        </w:tc>
        <w:tc>
          <w:tcPr>
            <w:tcW w:w="20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380" w:type="dxa"/>
            <w:vAlign w:val="bottom"/>
            <w:tcBorders>
              <w:right w:val="single" w:sz="8" w:color="auto"/>
            </w:tcBorders>
            <w:gridSpan w:val="2"/>
            <w:vMerge w:val="continue"/>
          </w:tcPr>
          <w:p>
            <w:pPr>
              <w:spacing w:after="0"/>
              <w:rPr>
                <w:sz w:val="15"/>
                <w:szCs w:val="15"/>
                <w:color w:val="auto"/>
              </w:rPr>
            </w:pPr>
          </w:p>
        </w:tc>
        <w:tc>
          <w:tcPr>
            <w:tcW w:w="138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period</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and expense</w:t>
            </w:r>
          </w:p>
        </w:tc>
        <w:tc>
          <w:tcPr>
            <w:tcW w:w="138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other accounts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write-offs</w:t>
            </w:r>
          </w:p>
        </w:tc>
        <w:tc>
          <w:tcPr>
            <w:tcW w:w="1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 of period</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6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00" w:val="left"/>
          <w:tab w:leader="none" w:pos="6960" w:val="left"/>
          <w:tab w:leader="none" w:pos="8320" w:val="left"/>
          <w:tab w:leader="none" w:pos="96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00" w:val="left"/>
          <w:tab w:leader="none" w:pos="6960" w:val="left"/>
          <w:tab w:leader="none" w:pos="8320" w:val="left"/>
          <w:tab w:leader="none" w:pos="96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180340</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Changes in and Disagreements with Accountants on Accounting and Financial Disclosure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9A. Controls and Procedures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 on internal control over financial reporting is included in Part II, Item 8 of this Annual Report on Form 10-K.</w:t>
      </w:r>
    </w:p>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that occurred during the quarter ended December 31, 2024 that has materially affected, or is reasonably likely to materially affect, the Company’s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9B.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Directors, Executive Officers and Corporate Governance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the principal executive officers of the Company, including their ages and positions.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Year Assumed</w:t>
            </w: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400" w:type="dxa"/>
            <w:vAlign w:val="bottom"/>
          </w:tcPr>
          <w:p>
            <w:pPr>
              <w:spacing w:after="0"/>
              <w:rPr>
                <w:sz w:val="17"/>
                <w:szCs w:val="17"/>
                <w:color w:val="auto"/>
              </w:rPr>
            </w:pPr>
          </w:p>
        </w:tc>
        <w:tc>
          <w:tcPr>
            <w:tcW w:w="5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3"/>
              </w:rPr>
              <w:t>Age</w:t>
            </w:r>
          </w:p>
        </w:tc>
        <w:tc>
          <w:tcPr>
            <w:tcW w:w="2760" w:type="dxa"/>
            <w:vAlign w:val="bottom"/>
          </w:tcPr>
          <w:p>
            <w:pPr>
              <w:spacing w:after="0"/>
              <w:rPr>
                <w:sz w:val="17"/>
                <w:szCs w:val="17"/>
                <w:color w:val="auto"/>
              </w:rPr>
            </w:pPr>
          </w:p>
        </w:tc>
        <w:tc>
          <w:tcPr>
            <w:tcW w:w="2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Title</w:t>
            </w:r>
          </w:p>
        </w:tc>
        <w:tc>
          <w:tcPr>
            <w:tcW w:w="122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Present Title</w:t>
            </w:r>
          </w:p>
        </w:tc>
      </w:tr>
      <w:tr>
        <w:trPr>
          <w:trHeight w:val="20"/>
        </w:trPr>
        <w:tc>
          <w:tcPr>
            <w:tcW w:w="4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6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H. Gifford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Djalma Novaes, Jr.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Americas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Baila</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Asia Pacific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Madeksza</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Transit Packaging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11. Executive Compensation</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12. Security Ownership of Certain Beneficial Owners and Management and Related Stockholder Matters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is set forth in the Company’s Proxy Statement within the sections entitled “Proxy Statement – Meeting, May 1, 2025” and “Common Stock Ownership of Certain Beneficial Owners, Directors and Executive Officers” and is incorporated herein by reference.</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the Company’s Common Stock that may be issued under its equity compensation plans:</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Equity Compensation Plan Information</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Remaining Available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0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8"/>
              </w:rPr>
              <w:t>Weighted average Exercise</w:t>
            </w: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to be Issued Upon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200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9"/>
              </w:rPr>
              <w:t>Exercise of Outstanding</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center"/>
              <w:ind w:right="460"/>
              <w:spacing w:after="0" w:line="189" w:lineRule="exact"/>
              <w:rPr>
                <w:sz w:val="20"/>
                <w:szCs w:val="20"/>
                <w:color w:val="auto"/>
              </w:rPr>
            </w:pPr>
            <w:r>
              <w:rPr>
                <w:rFonts w:ascii="Times New Roman" w:cs="Times New Roman" w:eastAsia="Times New Roman" w:hAnsi="Times New Roman"/>
                <w:sz w:val="18"/>
                <w:szCs w:val="18"/>
                <w:color w:val="auto"/>
              </w:rPr>
              <w:t>Price of</w:t>
            </w:r>
          </w:p>
        </w:tc>
        <w:tc>
          <w:tcPr>
            <w:tcW w:w="19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Plans (Excluding</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8"/>
              </w:rPr>
              <w:t>Options, Warrants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and Rights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w w:val="98"/>
              </w:rPr>
              <w:t>Warrants and Rights</w:t>
            </w: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In Column (a))</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(b)</w:t>
            </w:r>
          </w:p>
        </w:tc>
        <w:tc>
          <w:tcPr>
            <w:tcW w:w="1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270,609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4,482,650</w:t>
            </w: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270,609</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4,482,650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2013 and 2022 Stock-Based Incentive Compensation Plans.</w:t>
      </w:r>
    </w:p>
    <w:p>
      <w:pPr>
        <w:spacing w:after="0" w:line="252" w:lineRule="exact"/>
        <w:rPr>
          <w:rFonts w:ascii="Times New Roman" w:cs="Times New Roman" w:eastAsia="Times New Roman" w:hAnsi="Times New Roman"/>
          <w:sz w:val="18"/>
          <w:szCs w:val="18"/>
          <w:color w:val="auto"/>
        </w:rPr>
      </w:pPr>
    </w:p>
    <w:p>
      <w:pPr>
        <w:ind w:left="820" w:hanging="488"/>
        <w:spacing w:after="0" w:line="266" w:lineRule="auto"/>
        <w:tabs>
          <w:tab w:leader="none" w:pos="6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270,609 shares of deferred stock awarded from the 2013 and 2022 Stock-Based Incentive Compensation Plans during each year from 2020 through 2024. The shares are time-vesting and will be issued up to four years from their grant date. The weighted-average exercise price in the table does not include these shares.</w:t>
      </w:r>
    </w:p>
    <w:p>
      <w:pPr>
        <w:spacing w:after="0" w:line="202" w:lineRule="exact"/>
        <w:rPr>
          <w:rFonts w:ascii="Times New Roman" w:cs="Times New Roman" w:eastAsia="Times New Roman" w:hAnsi="Times New Roman"/>
          <w:sz w:val="18"/>
          <w:szCs w:val="18"/>
          <w:color w:val="auto"/>
        </w:rPr>
      </w:pPr>
    </w:p>
    <w:p>
      <w:pPr>
        <w:ind w:left="820" w:hanging="488"/>
        <w:spacing w:after="0" w:line="282" w:lineRule="auto"/>
        <w:tabs>
          <w:tab w:leader="none" w:pos="6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3,623,020, 648,749 and 481,490 shares available for issuance at December 31, 2024 under the 2013 and 2022 Stock Based Incentive Compensation Plans, the Company’s Employee Stock Purchase Plan, and the Stock Compensation Plan for Non-Employee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13. Certain Relationships and Related Transactions, and Director Independence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14. Principal Accounting Fees and Services</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15. Exhibits and Financial Statement Schedules</w:t>
      </w:r>
    </w:p>
    <w:p>
      <w:pPr>
        <w:spacing w:after="0" w:line="274" w:lineRule="exact"/>
        <w:rPr>
          <w:sz w:val="20"/>
          <w:szCs w:val="20"/>
          <w:color w:val="auto"/>
        </w:rPr>
      </w:pPr>
    </w:p>
    <w:p>
      <w:pPr>
        <w:ind w:left="680" w:hanging="65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0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(see Part II, Item 8)</w:t>
      </w:r>
    </w:p>
    <w:p>
      <w:pPr>
        <w:spacing w:after="0" w:line="252"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52" w:lineRule="exact"/>
        <w:rPr>
          <w:rFonts w:ascii="Times New Roman" w:cs="Times New Roman" w:eastAsia="Times New Roman" w:hAnsi="Times New Roman"/>
          <w:sz w:val="18"/>
          <w:szCs w:val="18"/>
          <w:color w:val="auto"/>
        </w:rPr>
      </w:pPr>
    </w:p>
    <w:p>
      <w:pPr>
        <w:ind w:left="580" w:right="28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(PricewaterhouseCoopers LLP, Philadelphia, PA, Auditor Firm ID 238)</w:t>
      </w:r>
    </w:p>
    <w:p>
      <w:pPr>
        <w:spacing w:after="0" w:line="188" w:lineRule="exact"/>
        <w:rPr>
          <w:rFonts w:ascii="Times New Roman" w:cs="Times New Roman" w:eastAsia="Times New Roman" w:hAnsi="Times New Roman"/>
          <w:sz w:val="18"/>
          <w:szCs w:val="18"/>
          <w:color w:val="auto"/>
        </w:rPr>
      </w:pPr>
    </w:p>
    <w:p>
      <w:pPr>
        <w:ind w:left="580" w:right="28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2024, 2023 and 2022 Consolidated Statements of Comprehensive Income for the years ended December 31, 2024, 2023 and 2022 Consolidated Balance Sheets as of December 31, 2024 and 2023</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252" w:lineRule="exact"/>
        <w:rPr>
          <w:rFonts w:ascii="Times New Roman" w:cs="Times New Roman" w:eastAsia="Times New Roman" w:hAnsi="Times New Roman"/>
          <w:sz w:val="18"/>
          <w:szCs w:val="18"/>
          <w:color w:val="auto"/>
        </w:rPr>
      </w:pPr>
    </w:p>
    <w:p>
      <w:pPr>
        <w:ind w:left="580" w:right="22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for the years ended December 31, 2024, 2023 and 2022 Notes to Consolidated Financial Statements</w:t>
      </w:r>
    </w:p>
    <w:p>
      <w:pPr>
        <w:spacing w:after="0" w:line="2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2024, 2023 and 2022</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included in the Consolidated Financial Statements.</w:t>
      </w:r>
    </w:p>
    <w:p>
      <w:pPr>
        <w:spacing w:after="0" w:line="252" w:lineRule="exact"/>
        <w:rPr>
          <w:sz w:val="20"/>
          <w:szCs w:val="20"/>
          <w:color w:val="auto"/>
        </w:rPr>
      </w:pPr>
    </w:p>
    <w:p>
      <w:pPr>
        <w:ind w:left="560" w:hanging="309"/>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114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3.a </w:t>
      </w:r>
      <w:hyperlink r:id="rId124">
        <w:r>
          <w:rPr>
            <w:rFonts w:ascii="Times New Roman" w:cs="Times New Roman" w:eastAsia="Times New Roman" w:hAnsi="Times New Roman"/>
            <w:sz w:val="18"/>
            <w:szCs w:val="18"/>
            <w:u w:val="single" w:color="auto"/>
            <w:color w:val="0000FF"/>
          </w:rPr>
          <w:t>Articles of Incorporation of Crown Holdings, Inc., as amended (incorporated by reference to Exhibit 3.a of the Registrant’s Annual Report on</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Form 10-K for the year ended December 31, 2004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40" w:right="2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3.b </w:t>
      </w:r>
      <w:hyperlink r:id="rId125">
        <w:r>
          <w:rPr>
            <w:rFonts w:ascii="Times New Roman" w:cs="Times New Roman" w:eastAsia="Times New Roman" w:hAnsi="Times New Roman"/>
            <w:sz w:val="18"/>
            <w:szCs w:val="18"/>
            <w:u w:val="single" w:color="auto"/>
            <w:color w:val="0000FF"/>
          </w:rPr>
          <w:t>Amended and Restated By-Laws of Crown Holdings, Inc. (incorporated by reference to Exhibit 3.1 of the Registrant's Current Report on</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Form 8-K dated December 13, 2022 (File No. 001-41550))</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FF"/>
        </w:rPr>
      </w:pPr>
    </w:p>
    <w:p>
      <w:pPr>
        <w:ind w:left="114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4.a Specimen certificate of Registrant’s Common Stock (incorporated by reference to Exhibit 4.a of the Registrant’s Annual Report on Form 10-K for the year ended December 31, 1995 (File No. 1-2227)).</w:t>
      </w:r>
    </w:p>
    <w:p>
      <w:pPr>
        <w:spacing w:after="0" w:line="188" w:lineRule="exact"/>
        <w:rPr>
          <w:rFonts w:ascii="Times New Roman" w:cs="Times New Roman" w:eastAsia="Times New Roman" w:hAnsi="Times New Roman"/>
          <w:sz w:val="18"/>
          <w:szCs w:val="18"/>
          <w:color w:val="0000FF"/>
        </w:rPr>
      </w:pPr>
    </w:p>
    <w:p>
      <w:pPr>
        <w:ind w:left="1140" w:hanging="567"/>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202" w:lineRule="exact"/>
        <w:rPr>
          <w:rFonts w:ascii="Times New Roman" w:cs="Times New Roman" w:eastAsia="Times New Roman" w:hAnsi="Times New Roman"/>
          <w:sz w:val="18"/>
          <w:szCs w:val="18"/>
          <w:color w:val="0000FF"/>
        </w:rPr>
      </w:pPr>
    </w:p>
    <w:p>
      <w:pPr>
        <w:ind w:left="114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4.c Form of the Registrant's 7-3/8% Debentures Due 2026 (incorporated by reference to Exhibit 99.1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4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4.d Officers' Certificate for 7-3/8% Debentures Due 2026 (incorporated by reference to Exhibit 99.6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4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4.e Form of the Registrant's 7-1/2% Debentures Due 2096 (incorporated by reference to Exhibit 99.2 of the Registrant's Current Report on Form 8-K dated December 17, 1996 (File No. 1-2227)).</w:t>
      </w:r>
    </w:p>
    <w:p>
      <w:pPr>
        <w:spacing w:after="0" w:line="188" w:lineRule="exact"/>
        <w:rPr>
          <w:rFonts w:ascii="Times New Roman" w:cs="Times New Roman" w:eastAsia="Times New Roman" w:hAnsi="Times New Roman"/>
          <w:sz w:val="18"/>
          <w:szCs w:val="18"/>
          <w:color w:val="0000FF"/>
        </w:rPr>
      </w:pPr>
    </w:p>
    <w:p>
      <w:pPr>
        <w:ind w:left="1140" w:hanging="567"/>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4.f Officers' Certificate for 7-1/2% Debentures Due 2096 (incorporated by reference to Exhibit 99.7 of the Registrant's Current Report on From 8-K dated December 17, 1996 (File No. 1-2227)).</w:t>
      </w:r>
    </w:p>
    <w:p>
      <w:pPr>
        <w:sectPr>
          <w:pgSz w:w="11900" w:h="16838" w:orient="portrait"/>
          <w:cols w:equalWidth="0" w:num="1">
            <w:col w:w="11240"/>
          </w:cols>
          <w:pgMar w:left="320" w:top="117" w:right="33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2"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425" w:hanging="566"/>
        <w:spacing w:after="0" w:line="282" w:lineRule="auto"/>
        <w:tabs>
          <w:tab w:leader="none" w:pos="405" w:val="left"/>
        </w:tabs>
        <w:rPr>
          <w:sz w:val="20"/>
          <w:szCs w:val="20"/>
          <w:color w:val="auto"/>
        </w:rPr>
      </w:pPr>
      <w:r>
        <w:rPr>
          <w:rFonts w:ascii="Times New Roman" w:cs="Times New Roman" w:eastAsia="Times New Roman" w:hAnsi="Times New Roman"/>
          <w:sz w:val="18"/>
          <w:szCs w:val="18"/>
          <w:color w:val="auto"/>
        </w:rPr>
        <w:t>4.g</w:t>
        <w:tab/>
        <w:t>Terms Agreement, dated December 12, 1996 (incorporated by reference to Exhibit 1.1 of the Registrant's Current Report on Form 8-K dated December 17, 1996 (File No. 1-2227)).</w:t>
      </w:r>
    </w:p>
    <w:p>
      <w:pPr>
        <w:spacing w:after="0" w:line="189" w:lineRule="exact"/>
        <w:rPr>
          <w:sz w:val="20"/>
          <w:szCs w:val="20"/>
          <w:color w:val="auto"/>
        </w:rPr>
      </w:pPr>
    </w:p>
    <w:p>
      <w:pPr>
        <w:jc w:val="both"/>
        <w:ind w:left="425" w:hanging="566"/>
        <w:spacing w:after="0" w:line="282" w:lineRule="auto"/>
        <w:tabs>
          <w:tab w:leader="none" w:pos="405" w:val="left"/>
        </w:tabs>
        <w:rPr>
          <w:sz w:val="20"/>
          <w:szCs w:val="20"/>
          <w:color w:val="auto"/>
        </w:rPr>
      </w:pPr>
      <w:r>
        <w:rPr>
          <w:rFonts w:ascii="Times New Roman" w:cs="Times New Roman" w:eastAsia="Times New Roman" w:hAnsi="Times New Roman"/>
          <w:sz w:val="18"/>
          <w:szCs w:val="18"/>
          <w:color w:val="auto"/>
        </w:rPr>
        <w:t>4.h</w:t>
        <w:tab/>
        <w:t>Form of Bearer Security Depositary Agreement (incorporated by reference to Exhibit 4.2 of the Registrant's Registration Statement on Form S-3, dated November 26, 1996, amended December 5 and 10, 1996 (File No. 333-16869)).</w:t>
      </w:r>
    </w:p>
    <w:p>
      <w:pPr>
        <w:spacing w:after="0" w:line="189" w:lineRule="exact"/>
        <w:rPr>
          <w:sz w:val="20"/>
          <w:szCs w:val="20"/>
          <w:color w:val="auto"/>
        </w:rPr>
      </w:pPr>
    </w:p>
    <w:p>
      <w:pPr>
        <w:jc w:val="both"/>
        <w:ind w:left="365" w:hanging="566"/>
        <w:spacing w:after="0" w:line="261" w:lineRule="auto"/>
        <w:tabs>
          <w:tab w:leader="none" w:pos="3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4.i</w:t>
      </w:r>
      <w:r>
        <w:rPr>
          <w:sz w:val="20"/>
          <w:szCs w:val="20"/>
          <w:color w:val="auto"/>
        </w:rPr>
        <w:tab/>
      </w:r>
      <w:hyperlink r:id="rId127">
        <w:r>
          <w:rPr>
            <w:rFonts w:ascii="Times New Roman" w:cs="Times New Roman" w:eastAsia="Times New Roman" w:hAnsi="Times New Roman"/>
            <w:sz w:val="18"/>
            <w:szCs w:val="18"/>
            <w:u w:val="single" w:color="auto"/>
            <w:color w:val="0000FF"/>
          </w:rPr>
          <w:t>Supplemental Indenture to Indenture dated December 17, 1996, dated as of February 25, 2003, between Crown Cork &amp; Seal Company, Inc.,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Issuer and Guarantor, Crown Cork &amp; Seal Finance PLC, as Issuer, Crown Cork &amp; Seal Finance S.A., as Issuer, Crown Holdings, Inc.,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Additional Guarantor and Bank One Trust Company, N.A., as Trustee (incorporated by reference to Exhibit 4.5 of the Registrant’s Current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Report on Form 8-K dated February 26, 2003 (File No. 000-50189)).</w:t>
        </w:r>
      </w:hyperlink>
    </w:p>
    <w:p>
      <w:pPr>
        <w:spacing w:after="0" w:line="207" w:lineRule="exact"/>
        <w:rPr>
          <w:rFonts w:ascii="Times New Roman" w:cs="Times New Roman" w:eastAsia="Times New Roman" w:hAnsi="Times New Roman"/>
          <w:sz w:val="18"/>
          <w:szCs w:val="18"/>
          <w:u w:val="single" w:color="auto"/>
          <w:color w:val="0000FF"/>
        </w:rPr>
      </w:pPr>
    </w:p>
    <w:p>
      <w:pPr>
        <w:ind w:left="565" w:hanging="565"/>
        <w:spacing w:after="0" w:line="266" w:lineRule="auto"/>
        <w:tabs>
          <w:tab w:leader="none" w:pos="194" w:val="left"/>
        </w:tabs>
        <w:numPr>
          <w:ilvl w:val="0"/>
          <w:numId w:val="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j </w:t>
      </w:r>
      <w:hyperlink r:id="rId128">
        <w:r>
          <w:rPr>
            <w:rFonts w:ascii="Times New Roman" w:cs="Times New Roman" w:eastAsia="Times New Roman" w:hAnsi="Times New Roman"/>
            <w:sz w:val="18"/>
            <w:szCs w:val="18"/>
            <w:u w:val="single" w:color="auto"/>
            <w:color w:val="0000FF"/>
          </w:rPr>
          <w:t>Indenture, dated as of September 15, 2016, by and among Crown European Holdings S.A., as Issuer, the Guarantors named therein, U.S.</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Bank National Association, as Trustee, and the other parties thereto, relating to the €600 million 2.625% Senior Notes due 2024</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(incorporated by reference to Exhibit 4.1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ind w:left="565" w:hanging="565"/>
        <w:spacing w:after="0" w:line="266" w:lineRule="auto"/>
        <w:tabs>
          <w:tab w:leader="none" w:pos="200"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k </w:t>
      </w:r>
      <w:hyperlink r:id="rId129">
        <w:r>
          <w:rPr>
            <w:rFonts w:ascii="Times New Roman" w:cs="Times New Roman" w:eastAsia="Times New Roman" w:hAnsi="Times New Roman"/>
            <w:sz w:val="18"/>
            <w:szCs w:val="18"/>
            <w:u w:val="single" w:color="auto"/>
            <w:color w:val="0000FF"/>
          </w:rPr>
          <w:t>Indenture, dated as of September 15, 2016, by and among Crown Americas LLC and Crown Americas Capital Corp. V, as Issuers, the</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Guarantors named therein and U.S. Bank National Association, as Trustee, relating to the $400 million 4.250% Senior Notes due 2026</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(incorporated by reference to Exhibit 4.2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jc w:val="both"/>
        <w:ind w:left="385" w:hanging="566"/>
        <w:spacing w:after="0" w:line="258" w:lineRule="auto"/>
        <w:tabs>
          <w:tab w:leader="none" w:pos="3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4.l</w:t>
      </w:r>
      <w:r>
        <w:rPr>
          <w:sz w:val="20"/>
          <w:szCs w:val="20"/>
          <w:color w:val="auto"/>
        </w:rPr>
        <w:tab/>
      </w:r>
      <w:hyperlink r:id="rId130">
        <w:r>
          <w:rPr>
            <w:rFonts w:ascii="Times New Roman" w:cs="Times New Roman" w:eastAsia="Times New Roman" w:hAnsi="Times New Roman"/>
            <w:sz w:val="18"/>
            <w:szCs w:val="18"/>
            <w:u w:val="single" w:color="auto"/>
            <w:color w:val="0000FF"/>
          </w:rPr>
          <w:t>Amended &amp; Restated Credit Agreement, dated April 7, 2017, by and among Crown Americas LLC, Crown European Holdings S.A., Crown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Metal Packaging Canada LP, each of the Subsidiary Borrowers from time to time party thereto, Crown Holdings, Inc., Crown Cork &amp; Seal</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Company, Inc., Crown International Holdings, Inc., each other Credit Party from time to time party thereto, Deutsche Bank AG Canada</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Branch, Deutsche Bank AG London Branch, Deutsche Bank AG New York Branch, and various Lenders referred to therein (incorporated</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by reference to Exhibit 4 of the Registrant's Quarterly Report on Form 10-Q for the quarter ended March 31, 2017 (File No. 000-50189)).</w:t>
        </w:r>
      </w:hyperlink>
    </w:p>
    <w:p>
      <w:pPr>
        <w:spacing w:after="0" w:line="210" w:lineRule="exact"/>
        <w:rPr>
          <w:rFonts w:ascii="Times New Roman" w:cs="Times New Roman" w:eastAsia="Times New Roman" w:hAnsi="Times New Roman"/>
          <w:sz w:val="18"/>
          <w:szCs w:val="18"/>
          <w:u w:val="single" w:color="auto"/>
          <w:color w:val="0000FF"/>
        </w:rPr>
      </w:pPr>
    </w:p>
    <w:p>
      <w:pPr>
        <w:jc w:val="both"/>
        <w:ind w:left="545" w:hanging="566"/>
        <w:spacing w:after="0" w:line="256" w:lineRule="auto"/>
        <w:tabs>
          <w:tab w:leader="none" w:pos="52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4.m</w:t>
      </w:r>
      <w:r>
        <w:rPr>
          <w:sz w:val="20"/>
          <w:szCs w:val="20"/>
          <w:color w:val="auto"/>
        </w:rPr>
        <w:tab/>
      </w:r>
      <w:hyperlink r:id="rId131">
        <w:r>
          <w:rPr>
            <w:rFonts w:ascii="Times New Roman" w:cs="Times New Roman" w:eastAsia="Times New Roman" w:hAnsi="Times New Roman"/>
            <w:sz w:val="18"/>
            <w:szCs w:val="18"/>
            <w:u w:val="single" w:color="auto"/>
            <w:color w:val="0000FF"/>
          </w:rPr>
          <w:t>First Amendment to Amended and Restated Credit Agreement, dated as of December 28, 2017, among Crown Americas LLC, Crown</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European Holdings S.A., Crown Metal Packaging Canada LP, each of the Subsidiary Borrowers party thereto, Crown Holdings, Inc.,</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referred to therein (incorporated by reference to Exhibit 4 of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2017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425" w:hanging="566"/>
        <w:spacing w:after="0" w:line="258"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4.n</w:t>
      </w:r>
      <w:r>
        <w:rPr>
          <w:sz w:val="20"/>
          <w:szCs w:val="20"/>
          <w:color w:val="auto"/>
        </w:rPr>
        <w:tab/>
      </w:r>
      <w:hyperlink r:id="rId132">
        <w:r>
          <w:rPr>
            <w:rFonts w:ascii="Times New Roman" w:cs="Times New Roman" w:eastAsia="Times New Roman" w:hAnsi="Times New Roman"/>
            <w:sz w:val="18"/>
            <w:szCs w:val="18"/>
            <w:u w:val="single" w:color="auto"/>
            <w:color w:val="0000FF"/>
          </w:rPr>
          <w:t>Incremental Amendment No. 1, dated as of January 29, 2018, among Crown Americas LLC, Crown European Holdings S.A., Crown Metal</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Packaging Canada LP, each of the Subsidiary Borrowers party thereto, Crown Holdings, Inc., Crown Cork &amp; Seal Company, Inc. and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Crown International Holdings, Inc., each other Credit Party from time to time party thereto, Deutsche Bank AG New York Branch,</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Deutsche Bank AG, London Branch, Deutsche Bank AG, Canada Branch, and various Lenders referred to therein (incorporated by</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reference to Exhibit 4.1 of the Registrant's Annual Report on Form 10-K for the year ended December 31, 2017).</w:t>
        </w:r>
      </w:hyperlink>
    </w:p>
    <w:p>
      <w:pPr>
        <w:spacing w:after="0" w:line="183" w:lineRule="exact"/>
        <w:rPr>
          <w:rFonts w:ascii="Times New Roman" w:cs="Times New Roman" w:eastAsia="Times New Roman" w:hAnsi="Times New Roman"/>
          <w:sz w:val="18"/>
          <w:szCs w:val="18"/>
          <w:u w:val="single" w:color="auto"/>
          <w:color w:val="0000FF"/>
        </w:rPr>
      </w:pPr>
    </w:p>
    <w:p>
      <w:pPr>
        <w:jc w:val="both"/>
        <w:ind w:left="425" w:hanging="566"/>
        <w:spacing w:after="0" w:line="261"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4.o</w:t>
      </w:r>
      <w:r>
        <w:rPr>
          <w:sz w:val="20"/>
          <w:szCs w:val="20"/>
          <w:color w:val="auto"/>
        </w:rPr>
        <w:tab/>
      </w:r>
      <w:hyperlink r:id="rId133">
        <w:r>
          <w:rPr>
            <w:rFonts w:ascii="Times New Roman" w:cs="Times New Roman" w:eastAsia="Times New Roman" w:hAnsi="Times New Roman"/>
            <w:sz w:val="18"/>
            <w:szCs w:val="18"/>
            <w:u w:val="single" w:color="auto"/>
            <w:color w:val="0000FF"/>
          </w:rPr>
          <w:t>Indenture, dated as of January 26, 2018, by and among Crown European Holdings S.A., as Issuer, the Guarantors named therein, U.S. Bank</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National Association, as Trustee, and the other parties thereto, relating to the €335 million 2.250% Senior Notes due 2023 and the €500</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million 2.875% Senior Notes due 2026 (incorporated by reference to Exhibit 4.1 of the Registrant's Current Report on Form 8-K dated</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February 1, 2018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505" w:hanging="566"/>
        <w:spacing w:after="0" w:line="266"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4.p</w:t>
      </w:r>
      <w:r>
        <w:rPr>
          <w:sz w:val="20"/>
          <w:szCs w:val="20"/>
          <w:color w:val="auto"/>
        </w:rPr>
        <w:tab/>
      </w:r>
      <w:hyperlink r:id="rId134">
        <w:r>
          <w:rPr>
            <w:rFonts w:ascii="Times New Roman" w:cs="Times New Roman" w:eastAsia="Times New Roman" w:hAnsi="Times New Roman"/>
            <w:sz w:val="18"/>
            <w:szCs w:val="18"/>
            <w:u w:val="single" w:color="auto"/>
            <w:color w:val="0000FF"/>
          </w:rPr>
          <w:t>Indenture, dated as of January 26, 2018, by and among Crown Americas LLC and Crown Americas Capital Corp. VI, as Issuers, the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Guarantors named therein and U.S. Bank National Association, as Trustee, relating to the $875 million 4.750% Senior Notes due 2026</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(incorporated by reference to Exhibit 4.2 of the Registrant's Current Report on Form 8-K dated February 1, 2018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05" w:right="20" w:hanging="566"/>
        <w:spacing w:after="0" w:line="282"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4.q</w:t>
      </w:r>
      <w:r>
        <w:rPr>
          <w:sz w:val="20"/>
          <w:szCs w:val="20"/>
          <w:color w:val="auto"/>
        </w:rPr>
        <w:tab/>
      </w:r>
      <w:hyperlink r:id="rId135">
        <w:r>
          <w:rPr>
            <w:rFonts w:ascii="Times New Roman" w:cs="Times New Roman" w:eastAsia="Times New Roman" w:hAnsi="Times New Roman"/>
            <w:sz w:val="18"/>
            <w:szCs w:val="18"/>
            <w:u w:val="single" w:color="auto"/>
            <w:color w:val="0000FF"/>
          </w:rPr>
          <w:t>Registration Rights Agreement, dated as of January 26, 2018, by and among Crown Holdings, Inc., Crown Americas LLC and Crown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Americas Capital Corp. VI, Citigroup Global Markets Inc., as representative of the</w:t>
        </w:r>
      </w:hyperlink>
    </w:p>
    <w:p>
      <w:pPr>
        <w:spacing w:after="0" w:line="200" w:lineRule="exact"/>
        <w:rPr>
          <w:sz w:val="20"/>
          <w:szCs w:val="20"/>
          <w:color w:val="auto"/>
        </w:rPr>
      </w:pPr>
    </w:p>
    <w:p>
      <w:pPr>
        <w:spacing w:after="0" w:line="299"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4" w:name="page95"/>
    <w:bookmarkEnd w:id="94"/>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5"/>
        <w:spacing w:after="0" w:line="282"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initial purchasers, and the Guarantors (as defined therein), relating to the $875 million 4.750% Senior Notes due 2026 (incorporated by</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reference to Exhibit 4.3 of the Registrant's Current Report on Form 8-K dated February 1, 2018 (File No. 000-50189)).</w:t>
        </w:r>
      </w:hyperlink>
    </w:p>
    <w:p>
      <w:pPr>
        <w:spacing w:after="0" w:line="189" w:lineRule="exact"/>
        <w:rPr>
          <w:sz w:val="20"/>
          <w:szCs w:val="20"/>
          <w:color w:val="auto"/>
        </w:rPr>
      </w:pPr>
    </w:p>
    <w:p>
      <w:pPr>
        <w:jc w:val="both"/>
        <w:ind w:left="405" w:hanging="566"/>
        <w:spacing w:after="0" w:line="256"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4.r</w:t>
      </w:r>
      <w:r>
        <w:rPr>
          <w:sz w:val="20"/>
          <w:szCs w:val="20"/>
          <w:color w:val="auto"/>
        </w:rPr>
        <w:tab/>
      </w:r>
      <w:hyperlink r:id="rId137">
        <w:r>
          <w:rPr>
            <w:rFonts w:ascii="Times New Roman" w:cs="Times New Roman" w:eastAsia="Times New Roman" w:hAnsi="Times New Roman"/>
            <w:sz w:val="18"/>
            <w:szCs w:val="18"/>
            <w:u w:val="single" w:color="auto"/>
            <w:color w:val="0000FF"/>
          </w:rPr>
          <w:t>Second Amendment to Amended and Restated Credit Agreement, First Amendment to the U.S. Guarantee Agreement and First Amendment</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to U.S. Indemnity, Subrogation and Contribution Agreement, dated as of March 23, 2018, among Crown Americas LLC, Crown European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Holdings S.A., Crown Metal Packaging Canada LP, each of the Subsidiary Borrowers from time to time party thereto, Crown Holdings,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 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referred to therein (incorporated by reference to Exhibit 4.cc of the Registrant's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31, 2018).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both"/>
        <w:ind w:left="405" w:hanging="566"/>
        <w:spacing w:after="0" w:line="256"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4.s</w:t>
      </w:r>
      <w:r>
        <w:rPr>
          <w:sz w:val="20"/>
          <w:szCs w:val="20"/>
          <w:color w:val="auto"/>
        </w:rPr>
        <w:tab/>
      </w:r>
      <w:hyperlink r:id="rId138">
        <w:r>
          <w:rPr>
            <w:rFonts w:ascii="Times New Roman" w:cs="Times New Roman" w:eastAsia="Times New Roman" w:hAnsi="Times New Roman"/>
            <w:sz w:val="18"/>
            <w:szCs w:val="18"/>
            <w:u w:val="single" w:color="auto"/>
            <w:color w:val="0000FF"/>
          </w:rPr>
          <w:t>Incremental Amendment No. 2 and Third Amendment to Amended and Restated Credit Agreement, dated as of December 13, 2019, among</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Crown Americas LLC, Crown European Holdings S.A., Crown Metal Packaging Canada LP, each of the Subsidiary Borrowers from time to</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time party thereto, Crown Holdings, Inc., Crown Cork &amp; Seal Company, Inc., and Crown International Holdings, Inc., each other Credit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Party from time to time party thereto, Deutsche Bank AG New York Branch, Deutsche Bank AG London Branch, Deutsche Bank AG,</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Canada Branch, and the various Lenders referred to therein (incorporated by reference to Exhibit 4.1 of the Registrant's Current Report on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Form 8-K/A dated February 28, 2020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365" w:hanging="566"/>
        <w:spacing w:after="0" w:line="258" w:lineRule="auto"/>
        <w:tabs>
          <w:tab w:leader="none" w:pos="3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4.t</w:t>
      </w:r>
      <w:r>
        <w:rPr>
          <w:sz w:val="20"/>
          <w:szCs w:val="20"/>
          <w:color w:val="auto"/>
        </w:rPr>
        <w:tab/>
      </w:r>
      <w:hyperlink r:id="rId139">
        <w:r>
          <w:rPr>
            <w:rFonts w:ascii="Times New Roman" w:cs="Times New Roman" w:eastAsia="Times New Roman" w:hAnsi="Times New Roman"/>
            <w:sz w:val="18"/>
            <w:szCs w:val="18"/>
            <w:u w:val="single" w:color="auto"/>
            <w:color w:val="0000FF"/>
          </w:rPr>
          <w:t>Fourth Amendment to Amended and Restated Credit Agreement, dated as of October 4, 2021, among Crown Americas LLC, Crown European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Holdings S.A., Crown Metal Packaging Canada LP, each of the Subsidiary Borrowers from time to time party thereto, Crown Holdings,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Inc., 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referred to therein.</w:t>
        </w:r>
      </w:hyperlink>
    </w:p>
    <w:p>
      <w:pPr>
        <w:spacing w:after="0" w:line="210" w:lineRule="exact"/>
        <w:rPr>
          <w:rFonts w:ascii="Times New Roman" w:cs="Times New Roman" w:eastAsia="Times New Roman" w:hAnsi="Times New Roman"/>
          <w:sz w:val="18"/>
          <w:szCs w:val="18"/>
          <w:u w:val="single" w:color="auto"/>
          <w:color w:val="0000FF"/>
        </w:rPr>
      </w:pPr>
    </w:p>
    <w:p>
      <w:pPr>
        <w:ind w:left="565" w:hanging="565"/>
        <w:spacing w:after="0" w:line="261" w:lineRule="auto"/>
        <w:tabs>
          <w:tab w:leader="none" w:pos="197"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u </w:t>
      </w:r>
      <w:hyperlink r:id="rId140">
        <w:r>
          <w:rPr>
            <w:rFonts w:ascii="Times New Roman" w:cs="Times New Roman" w:eastAsia="Times New Roman" w:hAnsi="Times New Roman"/>
            <w:sz w:val="18"/>
            <w:szCs w:val="18"/>
            <w:u w:val="single" w:color="auto"/>
            <w:color w:val="0000FF"/>
          </w:rPr>
          <w:t>Purchase Agreement, dated as of March 14, 2022, by and among Crown Holdings, Inc., Crown Americas LLC, BNP Paribas Securities</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Corp., Citigroup Global Markets Inc. and Mizuho Securities USA LLC, as representatives of the initial purchasers, and the Guarantors (as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defined therein) (incorporated by reference to Exhibit 10.1 of the Registrant’s Current Report on Form 8-K dated March 17, 2022 (File No.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505" w:hanging="566"/>
        <w:spacing w:after="0" w:line="266"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4.v</w:t>
      </w:r>
      <w:r>
        <w:rPr>
          <w:sz w:val="20"/>
          <w:szCs w:val="20"/>
          <w:color w:val="auto"/>
        </w:rPr>
        <w:tab/>
      </w:r>
      <w:hyperlink r:id="rId141">
        <w:r>
          <w:rPr>
            <w:rFonts w:ascii="Times New Roman" w:cs="Times New Roman" w:eastAsia="Times New Roman" w:hAnsi="Times New Roman"/>
            <w:sz w:val="18"/>
            <w:szCs w:val="18"/>
            <w:u w:val="single" w:color="auto"/>
            <w:color w:val="0000FF"/>
          </w:rPr>
          <w:t>Indenture, dated as of March 17, 2022, among Crown Americas LLC, as Issuer, the Guarantors named therein and U.S. Bank National</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Association, as Trustee, relating to the $500 million 5.25% Senior Notes due 2030 (incorporated by reference to Exhibit 4.1 of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Registrant’s Current Report on Form 8-K dated March 21, 2022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25" w:hanging="566"/>
        <w:spacing w:after="0" w:line="261" w:lineRule="auto"/>
        <w:tabs>
          <w:tab w:leader="none" w:pos="5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4.w</w:t>
      </w:r>
      <w:r>
        <w:rPr>
          <w:sz w:val="20"/>
          <w:szCs w:val="20"/>
          <w:color w:val="auto"/>
        </w:rPr>
        <w:tab/>
      </w:r>
      <w:hyperlink r:id="rId142">
        <w:r>
          <w:rPr>
            <w:rFonts w:ascii="Times New Roman" w:cs="Times New Roman" w:eastAsia="Times New Roman" w:hAnsi="Times New Roman"/>
            <w:sz w:val="18"/>
            <w:szCs w:val="18"/>
            <w:u w:val="single" w:color="auto"/>
            <w:color w:val="0000FF"/>
          </w:rPr>
          <w:t>Registration Rights Agreement, dated as of March 17, 2022, by and among Crown Holdings, Inc., Crown Americas LLC, BNP Paribas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Securities Corp., Citigroup Global Markets Inc. and Mizuho Securities USA LLC, as representatives of the initial purchasers, and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Guarantors (as defined therein), relating to the $500 million 5.25% Senior Notes due 2030 (incorporated by reference to Exhibit 4.2 of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Registrant’s Current Report on Form 8-K dated March 21, 2022 (File No. 000-50189)).</w:t>
        </w:r>
      </w:hyperlink>
    </w:p>
    <w:p>
      <w:pPr>
        <w:spacing w:after="0" w:line="193" w:lineRule="exact"/>
        <w:rPr>
          <w:rFonts w:ascii="Times New Roman" w:cs="Times New Roman" w:eastAsia="Times New Roman" w:hAnsi="Times New Roman"/>
          <w:sz w:val="18"/>
          <w:szCs w:val="18"/>
          <w:u w:val="single" w:color="auto"/>
          <w:color w:val="0000FF"/>
        </w:rPr>
      </w:pPr>
    </w:p>
    <w:p>
      <w:pPr>
        <w:ind w:left="405" w:hanging="566"/>
        <w:spacing w:after="0" w:line="241"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w:t>
      </w:r>
      <w:r>
        <w:rPr>
          <w:sz w:val="20"/>
          <w:szCs w:val="20"/>
          <w:color w:val="auto"/>
        </w:rPr>
        <w:tab/>
      </w:r>
      <w:hyperlink r:id="rId143">
        <w:r>
          <w:rPr>
            <w:rFonts w:ascii="Times New Roman" w:cs="Times New Roman" w:eastAsia="Times New Roman" w:hAnsi="Times New Roman"/>
            <w:sz w:val="18"/>
            <w:szCs w:val="18"/>
            <w:u w:val="single" w:color="auto"/>
            <w:color w:val="0000FF"/>
          </w:rPr>
          <w:t>Incremental Amendment No. 3 and Fifth Amendment, dated August 8, 2022, to Amended and Restated Credit Agreement, dated April 7,</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2017, among Crown Holdings, Inc., Crown Americas LLC, Crown European Holdings S.A., the Subsidiary Borrowers party thereto, Crown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Metal Packaging Canada LP, Crown Cork &amp; Seal Company, Inc., the Parent Guarantors party thereto, the other Credit Parties party thereto,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the Lenders party thereto, Deutsche Bank AG Canada Branch, Deutsche Bank AG London Branch, and Deutsche Bank AG New York</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Branch (incorporated by reference to Exhibit 4.z of the Registrant’s Current Report on Form 8-K dated August 11, 2022 (File No. 000-</w:t>
        </w:r>
      </w:hyperlink>
      <w:hyperlink r:id="rId143">
        <w:r>
          <w:rPr>
            <w:rFonts w:ascii="Times New Roman" w:cs="Times New Roman" w:eastAsia="Times New Roman" w:hAnsi="Times New Roman"/>
            <w:sz w:val="18"/>
            <w:szCs w:val="18"/>
            <w:u w:val="single" w:color="auto"/>
            <w:color w:val="0000FF"/>
          </w:rPr>
          <w:t>50189)).</w:t>
        </w:r>
      </w:hyperlink>
    </w:p>
    <w:p>
      <w:pPr>
        <w:spacing w:after="0" w:line="211" w:lineRule="exact"/>
        <w:rPr>
          <w:rFonts w:ascii="Times New Roman" w:cs="Times New Roman" w:eastAsia="Times New Roman" w:hAnsi="Times New Roman"/>
          <w:sz w:val="18"/>
          <w:szCs w:val="18"/>
          <w:u w:val="single" w:color="auto"/>
          <w:color w:val="0000FF"/>
        </w:rPr>
      </w:pPr>
    </w:p>
    <w:p>
      <w:pPr>
        <w:ind w:left="405" w:right="220" w:hanging="566"/>
        <w:spacing w:after="0" w:line="242"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4.y</w:t>
      </w:r>
      <w:r>
        <w:rPr>
          <w:sz w:val="20"/>
          <w:szCs w:val="20"/>
          <w:color w:val="auto"/>
        </w:rPr>
        <w:tab/>
      </w:r>
      <w:hyperlink r:id="rId144">
        <w:r>
          <w:rPr>
            <w:rFonts w:ascii="Times New Roman" w:cs="Times New Roman" w:eastAsia="Times New Roman" w:hAnsi="Times New Roman"/>
            <w:sz w:val="18"/>
            <w:szCs w:val="18"/>
            <w:u w:val="single" w:color="auto"/>
            <w:color w:val="0000FF"/>
          </w:rPr>
          <w:t>Purchase Agreement, dated as of May 9, 2023, by and among Crown Holdings, Inc., Crown European Holdings S.A., BNP Paribas, as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representative of the Initial Purchasers named in Schedule I thereto, and the Guarantors (as defined therein) (incorporated by reference to</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Exhibit 10.1 of the Registrant's Current Report on Form 8-K dated May 11, 2023 (File No. 000-50189)).</w:t>
        </w:r>
      </w:hyperlink>
    </w:p>
    <w:p>
      <w:pPr>
        <w:spacing w:after="0" w:line="211" w:lineRule="exact"/>
        <w:rPr>
          <w:rFonts w:ascii="Times New Roman" w:cs="Times New Roman" w:eastAsia="Times New Roman" w:hAnsi="Times New Roman"/>
          <w:sz w:val="18"/>
          <w:szCs w:val="18"/>
          <w:u w:val="single" w:color="auto"/>
          <w:color w:val="0000FF"/>
        </w:rPr>
      </w:pPr>
    </w:p>
    <w:p>
      <w:pPr>
        <w:jc w:val="both"/>
        <w:ind w:left="385" w:right="80" w:hanging="566"/>
        <w:spacing w:after="0" w:line="250" w:lineRule="auto"/>
        <w:tabs>
          <w:tab w:leader="none" w:pos="3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4.z</w:t>
      </w:r>
      <w:r>
        <w:rPr>
          <w:sz w:val="20"/>
          <w:szCs w:val="20"/>
          <w:color w:val="auto"/>
        </w:rPr>
        <w:tab/>
      </w:r>
      <w:hyperlink r:id="rId145">
        <w:r>
          <w:rPr>
            <w:rFonts w:ascii="Times New Roman" w:cs="Times New Roman" w:eastAsia="Times New Roman" w:hAnsi="Times New Roman"/>
            <w:sz w:val="18"/>
            <w:szCs w:val="18"/>
            <w:u w:val="single" w:color="auto"/>
            <w:color w:val="0000FF"/>
          </w:rPr>
          <w:t>Indenture, dated as of May 18, 2023, among Crown European Holdings S.A., Crown Holdings, Inc., the other guarantors party thereto, BNP</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Paribas, as representative of the several initial purchases party thereto, U.S. Bank Trust Company, National Association, as Trustee, Elavon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Financial Services DAC, as paying agent, registrar</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28" w:lineRule="exact"/>
        <w:rPr>
          <w:rFonts w:ascii="Times New Roman" w:cs="Times New Roman" w:eastAsia="Times New Roman" w:hAnsi="Times New Roman"/>
          <w:sz w:val="18"/>
          <w:szCs w:val="18"/>
          <w:u w:val="single" w:color="auto"/>
          <w:color w:val="0000FF"/>
        </w:rPr>
      </w:pPr>
    </w:p>
    <w:p>
      <w:pPr>
        <w:ind w:left="4965"/>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5" w:name="page96"/>
    <w:bookmarkEnd w:id="95"/>
    <w:p>
      <w:pPr>
        <w:ind w:left="43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ind w:left="640" w:right="240"/>
        <w:spacing w:after="0" w:line="26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and transfer agent, relating to the €500,000,000 5.000% senior unsecured notes due 2028 (incorporated by reference to Exhibit 4.1 of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Registrant's Current Report on Form 8-K dated May 24, 2023 (File No. 000-50189)).</w:t>
        </w:r>
      </w:hyperlink>
    </w:p>
    <w:p>
      <w:pPr>
        <w:spacing w:after="0" w:line="189" w:lineRule="exact"/>
        <w:rPr>
          <w:sz w:val="20"/>
          <w:szCs w:val="20"/>
          <w:color w:val="auto"/>
        </w:rPr>
      </w:pPr>
    </w:p>
    <w:p>
      <w:pPr>
        <w:ind w:left="540" w:right="40" w:hanging="566"/>
        <w:spacing w:after="0" w:line="250"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4.aa</w:t>
      </w:r>
      <w:r>
        <w:rPr>
          <w:sz w:val="20"/>
          <w:szCs w:val="20"/>
          <w:color w:val="auto"/>
        </w:rPr>
        <w:tab/>
      </w:r>
      <w:hyperlink r:id="rId147">
        <w:r>
          <w:rPr>
            <w:rFonts w:ascii="Times New Roman" w:cs="Times New Roman" w:eastAsia="Times New Roman" w:hAnsi="Times New Roman"/>
            <w:sz w:val="18"/>
            <w:szCs w:val="18"/>
            <w:u w:val="single" w:color="auto"/>
            <w:color w:val="0000FF"/>
          </w:rPr>
          <w:t>Purchase Agreement, dated as of November 30, 2023, by and among Crown Holdings, Inc., Crown European Holdings S.A., BNP Paribas,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as representative of the Initial Purchasers named in Schedule I thereto, and the Guarantors (as defined therein) (incorporated by reference to</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Exhibit 10.1 of the Registrant's Current Report on Form 8-K dated December 4, 2023 (File No. 000-50189)).</w:t>
        </w:r>
      </w:hyperlink>
    </w:p>
    <w:p>
      <w:pPr>
        <w:spacing w:after="0" w:line="204" w:lineRule="exact"/>
        <w:rPr>
          <w:rFonts w:ascii="Times New Roman" w:cs="Times New Roman" w:eastAsia="Times New Roman" w:hAnsi="Times New Roman"/>
          <w:sz w:val="18"/>
          <w:szCs w:val="18"/>
          <w:u w:val="single" w:color="auto"/>
          <w:color w:val="0000FF"/>
        </w:rPr>
      </w:pPr>
    </w:p>
    <w:p>
      <w:pPr>
        <w:ind w:left="560" w:right="60" w:hanging="566"/>
        <w:spacing w:after="0" w:line="239"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4.bb</w:t>
      </w:r>
      <w:r>
        <w:rPr>
          <w:sz w:val="20"/>
          <w:szCs w:val="20"/>
          <w:color w:val="auto"/>
        </w:rPr>
        <w:tab/>
      </w:r>
      <w:hyperlink r:id="rId148">
        <w:r>
          <w:rPr>
            <w:rFonts w:ascii="Times New Roman" w:cs="Times New Roman" w:eastAsia="Times New Roman" w:hAnsi="Times New Roman"/>
            <w:sz w:val="18"/>
            <w:szCs w:val="18"/>
            <w:u w:val="single" w:color="auto"/>
            <w:color w:val="0000FF"/>
          </w:rPr>
          <w:t>Indenture, dated as of December 11, 2023, among Crown European Holdings S.A., Crown Holdings, Inc., the other guarantors party thereto,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BNP Paribas, as representative of the several initial purchasers party thereto,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Elavon Financial Services DAC, as paying agent, registrar and transfer agent, relating to the €500,000,000 4.750% senior unsecured notes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due 2029 (incorporated by reference to Exhibit 4.1 of the Registrant's Current Report on Form 8-K December 12, 2023 (File No. 000-</w:t>
        </w:r>
      </w:hyperlink>
      <w:hyperlink r:id="rId148">
        <w:r>
          <w:rPr>
            <w:rFonts w:ascii="Times New Roman" w:cs="Times New Roman" w:eastAsia="Times New Roman" w:hAnsi="Times New Roman"/>
            <w:sz w:val="18"/>
            <w:szCs w:val="18"/>
            <w:u w:val="single" w:color="auto"/>
            <w:color w:val="0000FF"/>
          </w:rPr>
          <w:t>50189)).</w:t>
        </w:r>
      </w:hyperlink>
    </w:p>
    <w:p>
      <w:pPr>
        <w:spacing w:after="0" w:line="211" w:lineRule="exact"/>
        <w:rPr>
          <w:rFonts w:ascii="Times New Roman" w:cs="Times New Roman" w:eastAsia="Times New Roman" w:hAnsi="Times New Roman"/>
          <w:sz w:val="18"/>
          <w:szCs w:val="18"/>
          <w:u w:val="single" w:color="auto"/>
          <w:color w:val="0000FF"/>
        </w:rPr>
      </w:pPr>
    </w:p>
    <w:p>
      <w:pPr>
        <w:ind w:left="540" w:right="300" w:hanging="566"/>
        <w:spacing w:after="0" w:line="24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4.cc</w:t>
      </w:r>
      <w:r>
        <w:rPr>
          <w:sz w:val="20"/>
          <w:szCs w:val="20"/>
          <w:color w:val="auto"/>
        </w:rPr>
        <w:tab/>
      </w:r>
      <w:hyperlink r:id="rId149">
        <w:r>
          <w:rPr>
            <w:rFonts w:ascii="Times New Roman" w:cs="Times New Roman" w:eastAsia="Times New Roman" w:hAnsi="Times New Roman"/>
            <w:sz w:val="18"/>
            <w:szCs w:val="18"/>
            <w:u w:val="single" w:color="auto"/>
            <w:color w:val="0000FF"/>
          </w:rPr>
          <w:t>Sixth Amendment, dated June 28, 2024, to Amended and Restated Credit Agreement, dated April 7, 2017, among Crown Holdings, Inc.,</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Crown Americas LLC, Crown European Holdings S.A., the Subsidiary Borrowers party thereto, Crown Metal Packaging Canada LP,</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Crown Cork &amp; Seal Company, Inc., the Parent Guarantors party thereto, the other Credit Parties party thereto, the Lenders party thereto,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Deutsche Bank AG Canada Branch, Deutsche Bank AG London Branch, and Deutsche Bank AG New York Branch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10.1 of the Registrant's Quarterly Report on Form 10-Q dated July 29, 2024 (File No. 001-41550)).</w:t>
        </w:r>
      </w:hyperlink>
    </w:p>
    <w:p>
      <w:pPr>
        <w:spacing w:after="0" w:line="212" w:lineRule="exact"/>
        <w:rPr>
          <w:rFonts w:ascii="Times New Roman" w:cs="Times New Roman" w:eastAsia="Times New Roman" w:hAnsi="Times New Roman"/>
          <w:sz w:val="18"/>
          <w:szCs w:val="18"/>
          <w:u w:val="single" w:color="auto"/>
          <w:color w:val="0000FF"/>
        </w:rPr>
      </w:pPr>
    </w:p>
    <w:p>
      <w:pPr>
        <w:ind w:left="560" w:right="660" w:hanging="566"/>
        <w:spacing w:after="0" w:line="250"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4.dd</w:t>
      </w:r>
      <w:r>
        <w:rPr>
          <w:sz w:val="20"/>
          <w:szCs w:val="20"/>
          <w:color w:val="auto"/>
        </w:rPr>
        <w:tab/>
      </w:r>
      <w:hyperlink r:id="rId150">
        <w:r>
          <w:rPr>
            <w:rFonts w:ascii="Times New Roman" w:cs="Times New Roman" w:eastAsia="Times New Roman" w:hAnsi="Times New Roman"/>
            <w:sz w:val="18"/>
            <w:szCs w:val="18"/>
            <w:u w:val="single" w:color="auto"/>
            <w:color w:val="0000FF"/>
          </w:rPr>
          <w:t>Purchase Agreement, dated as of July 30, 2024, by and among the Company, the Issuer, BNP Paribas, as representative of the Initial</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Purchasers named in Schedule I thereto, and the Guarantors (as defined therein)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Registrant's Current Report on Form 8-K dated July 31, 2024 (File No. 001-41550)</w:t>
        </w:r>
      </w:hyperlink>
    </w:p>
    <w:p>
      <w:pPr>
        <w:spacing w:after="0" w:line="204" w:lineRule="exact"/>
        <w:rPr>
          <w:rFonts w:ascii="Times New Roman" w:cs="Times New Roman" w:eastAsia="Times New Roman" w:hAnsi="Times New Roman"/>
          <w:sz w:val="18"/>
          <w:szCs w:val="18"/>
          <w:u w:val="single" w:color="auto"/>
          <w:color w:val="0000FF"/>
        </w:rPr>
      </w:pPr>
    </w:p>
    <w:p>
      <w:pPr>
        <w:ind w:left="540" w:right="80" w:hanging="566"/>
        <w:spacing w:after="0"/>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4.ee</w:t>
      </w:r>
      <w:r>
        <w:rPr>
          <w:sz w:val="20"/>
          <w:szCs w:val="20"/>
          <w:color w:val="auto"/>
        </w:rPr>
        <w:tab/>
      </w:r>
      <w:hyperlink r:id="rId151">
        <w:r>
          <w:rPr>
            <w:rFonts w:ascii="Times New Roman" w:cs="Times New Roman" w:eastAsia="Times New Roman" w:hAnsi="Times New Roman"/>
            <w:sz w:val="18"/>
            <w:szCs w:val="18"/>
            <w:u w:val="single" w:color="auto"/>
            <w:color w:val="0000FF"/>
          </w:rPr>
          <w:t>Indenture, dated August 8, 2024, among the Issuer, the Company, the other guarantors party thereto, BNP Paribas, as representative of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several initial purchasers party thereto, U.S. Bank Trust Company, National Association, as Trustee, Elavon Financial Services DAC, as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paying agent, registrar and transfer agent, relating to the €600,000,000 4.500% senior unsecured notes due 2030 (incorporated by reference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to Exhibit 4.1 of the Registrant's Current Report on Form 8-K dated August 8, 2024 (File No. 001-41550)).</w:t>
        </w:r>
      </w:hyperlink>
    </w:p>
    <w:p>
      <w:pPr>
        <w:spacing w:after="0" w:line="212" w:lineRule="exact"/>
        <w:rPr>
          <w:rFonts w:ascii="Times New Roman" w:cs="Times New Roman" w:eastAsia="Times New Roman" w:hAnsi="Times New Roman"/>
          <w:sz w:val="18"/>
          <w:szCs w:val="18"/>
          <w:u w:val="single" w:color="auto"/>
          <w:color w:val="0000FF"/>
        </w:rPr>
      </w:pPr>
    </w:p>
    <w:p>
      <w:pPr>
        <w:ind w:left="500" w:right="20" w:hanging="566"/>
        <w:spacing w:after="0" w:line="246" w:lineRule="auto"/>
        <w:tabs>
          <w:tab w:leader="none" w:pos="480" w:val="left"/>
        </w:tabs>
        <w:rPr>
          <w:sz w:val="20"/>
          <w:szCs w:val="20"/>
          <w:color w:val="auto"/>
        </w:rPr>
      </w:pPr>
      <w:r>
        <w:rPr>
          <w:rFonts w:ascii="Times New Roman" w:cs="Times New Roman" w:eastAsia="Times New Roman" w:hAnsi="Times New Roman"/>
          <w:sz w:val="18"/>
          <w:szCs w:val="18"/>
          <w:color w:val="auto"/>
        </w:rPr>
        <w:t>4.ff</w:t>
      </w:r>
      <w:r>
        <w:rPr>
          <w:sz w:val="20"/>
          <w:szCs w:val="20"/>
          <w:color w:val="auto"/>
        </w:rPr>
        <w:tab/>
      </w:r>
      <w:r>
        <w:rPr>
          <w:rFonts w:ascii="Times New Roman" w:cs="Times New Roman" w:eastAsia="Times New Roman" w:hAnsi="Times New Roman"/>
          <w:sz w:val="18"/>
          <w:szCs w:val="18"/>
          <w:u w:val="single" w:color="auto"/>
          <w:color w:val="0000FF"/>
        </w:rPr>
        <w:t>Seventh Amendment, dated November 11, 2024, to Amended and Restated Credit Agreement, dated April 7, 2017, among Crown Holdings, Inc., Crown Americas LLC, Crown European Holdings S.A., Crown Metal Packaging Canada LP, the Borrowers party thereto, Crown Cork</w:t>
      </w:r>
    </w:p>
    <w:p>
      <w:pPr>
        <w:spacing w:after="0" w:line="1" w:lineRule="exact"/>
        <w:rPr>
          <w:rFonts w:ascii="Times New Roman" w:cs="Times New Roman" w:eastAsia="Times New Roman" w:hAnsi="Times New Roman"/>
          <w:sz w:val="18"/>
          <w:szCs w:val="18"/>
          <w:u w:val="single" w:color="auto"/>
          <w:color w:val="0000FF"/>
        </w:rPr>
      </w:pPr>
    </w:p>
    <w:p>
      <w:pPr>
        <w:jc w:val="both"/>
        <w:ind w:left="640" w:right="300" w:firstLine="2"/>
        <w:spacing w:after="0" w:line="239" w:lineRule="auto"/>
        <w:tabs>
          <w:tab w:leader="none" w:pos="825"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Seal Company, Inc., Crown Holdings, Inc., Crown International Holdings, Inc., the Parent Guarantors party thereto, the Lenders from time to time party thereto, Deutsche Bank AG New York Branch, as administrative agent, Deutsche Bank AG, London Branch, as U.K. administrative agent, Deutsche Bank AG, Canada Branch, as Canadian administrative agent.</w:t>
      </w:r>
    </w:p>
    <w:p>
      <w:pPr>
        <w:spacing w:after="0" w:line="226" w:lineRule="exact"/>
        <w:rPr>
          <w:rFonts w:ascii="Times New Roman" w:cs="Times New Roman" w:eastAsia="Times New Roman" w:hAnsi="Times New Roman"/>
          <w:sz w:val="18"/>
          <w:szCs w:val="18"/>
          <w:u w:val="single" w:color="auto"/>
          <w:color w:val="0000FF"/>
        </w:rPr>
      </w:pPr>
    </w:p>
    <w:p>
      <w:pPr>
        <w:ind w:left="560" w:right="180" w:hanging="566"/>
        <w:spacing w:after="0" w:line="266"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4.gg</w:t>
      </w:r>
      <w:r>
        <w:rPr>
          <w:sz w:val="20"/>
          <w:szCs w:val="20"/>
          <w:color w:val="auto"/>
        </w:rPr>
        <w:tab/>
      </w:r>
      <w:hyperlink r:id="rId152">
        <w:r>
          <w:rPr>
            <w:rFonts w:ascii="Times New Roman" w:cs="Times New Roman" w:eastAsia="Times New Roman" w:hAnsi="Times New Roman"/>
            <w:sz w:val="18"/>
            <w:szCs w:val="18"/>
            <w:u w:val="single" w:color="auto"/>
            <w:color w:val="0000FF"/>
          </w:rPr>
          <w:t>Description of the Registrant’s Securities (incorporated by reference to Exhibit 4.ff of the Registrant’s Annual Report on Form 10-k for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year ended December 31, 2019 (File No. 000-50189)).</w:t>
        </w:r>
      </w:hyperlink>
    </w:p>
    <w:p>
      <w:pPr>
        <w:spacing w:after="0" w:line="189" w:lineRule="exact"/>
        <w:rPr>
          <w:sz w:val="20"/>
          <w:szCs w:val="20"/>
          <w:color w:val="auto"/>
        </w:rPr>
      </w:pPr>
    </w:p>
    <w:p>
      <w:pPr>
        <w:ind w:left="560" w:right="60" w:hanging="566"/>
        <w:spacing w:after="0" w:line="250" w:lineRule="auto"/>
        <w:tabs>
          <w:tab w:leader="none" w:pos="540" w:val="left"/>
        </w:tabs>
        <w:rPr>
          <w:sz w:val="20"/>
          <w:szCs w:val="20"/>
          <w:color w:val="auto"/>
        </w:rPr>
      </w:pPr>
      <w:r>
        <w:rPr>
          <w:rFonts w:ascii="Times New Roman" w:cs="Times New Roman" w:eastAsia="Times New Roman" w:hAnsi="Times New Roman"/>
          <w:sz w:val="18"/>
          <w:szCs w:val="18"/>
          <w:color w:val="auto"/>
        </w:rPr>
        <w:t>4.hh</w:t>
        <w:tab/>
        <w:t>Other long-term agreements of the Registrant are not filed pursuant to Item 601(b)(4)(iii)(A) of Regulation S-K, and the Registrant agrees to furnish copies of such agreements to the Securities and Exchange Commission upon its requests.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10.a</w:t>
        <w:tab/>
        <w:t>Employment Contracts:</w:t>
      </w:r>
    </w:p>
    <w:p>
      <w:pPr>
        <w:spacing w:after="0" w:line="252" w:lineRule="exact"/>
        <w:rPr>
          <w:sz w:val="20"/>
          <w:szCs w:val="20"/>
          <w:color w:val="auto"/>
        </w:rPr>
      </w:pPr>
    </w:p>
    <w:p>
      <w:pPr>
        <w:ind w:left="1120" w:hanging="478"/>
        <w:spacing w:after="0" w:line="282" w:lineRule="auto"/>
        <w:tabs>
          <w:tab w:leader="none" w:pos="1087" w:val="left"/>
        </w:tabs>
        <w:numPr>
          <w:ilvl w:val="0"/>
          <w:numId w:val="27"/>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Employment Agreement, dated December 30, 2015, between Crown Holdings, Inc. and Timothy J. Donahue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10.1 of the Registrant’s Current Report on Form 8-K dated January 5, 2016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hanging="478"/>
        <w:spacing w:after="0" w:line="266" w:lineRule="auto"/>
        <w:tabs>
          <w:tab w:leader="none" w:pos="1051" w:val="left"/>
        </w:tabs>
        <w:numPr>
          <w:ilvl w:val="0"/>
          <w:numId w:val="27"/>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First amendment to the employment contract, effective June 1, 2012, between Crown Holdings, Inc. and Gerard Gifford, dated as of</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July 24, 2013 (incorporated by reference to Exhibit 10.3 of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June 30, 2013 (File No 000-50189)).</w:t>
        </w:r>
      </w:hyperlink>
    </w:p>
    <w:p>
      <w:pPr>
        <w:spacing w:after="0" w:line="202" w:lineRule="exact"/>
        <w:rPr>
          <w:rFonts w:ascii="Times New Roman" w:cs="Times New Roman" w:eastAsia="Times New Roman" w:hAnsi="Times New Roman"/>
          <w:sz w:val="18"/>
          <w:szCs w:val="18"/>
          <w:u w:val="single" w:color="auto"/>
          <w:color w:val="0000FF"/>
        </w:rPr>
      </w:pPr>
    </w:p>
    <w:p>
      <w:pPr>
        <w:jc w:val="both"/>
        <w:ind w:left="1120" w:hanging="478"/>
        <w:spacing w:after="0" w:line="266" w:lineRule="auto"/>
        <w:tabs>
          <w:tab w:leader="none" w:pos="1132" w:val="left"/>
        </w:tabs>
        <w:numPr>
          <w:ilvl w:val="0"/>
          <w:numId w:val="27"/>
        </w:numPr>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Executive Employment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reference to Exhibit 10.1 of the Registrant's Quarterly Report on Form 10-Q for the quarter ended June 30, 2012 (File No 000-</w:t>
        </w:r>
      </w:hyperlink>
      <w:hyperlink r:id="rId155">
        <w:r>
          <w:rPr>
            <w:rFonts w:ascii="Times New Roman" w:cs="Times New Roman" w:eastAsia="Times New Roman" w:hAnsi="Times New Roman"/>
            <w:sz w:val="18"/>
            <w:szCs w:val="18"/>
            <w:u w:val="single" w:color="auto"/>
            <w:color w:val="0000FF"/>
          </w:rPr>
          <w:t>50189)).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3" w:lineRule="exact"/>
        <w:rPr>
          <w:rFonts w:ascii="Times New Roman" w:cs="Times New Roman" w:eastAsia="Times New Roman" w:hAnsi="Times New Roman"/>
          <w:sz w:val="18"/>
          <w:szCs w:val="18"/>
          <w:u w:val="single" w:color="auto"/>
          <w:color w:val="0000FF"/>
        </w:rPr>
      </w:pPr>
    </w:p>
    <w:p>
      <w:pPr>
        <w:jc w:val="center"/>
        <w:ind w:right="4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 w:right="339" w:bottom="1440" w:gutter="0" w:footer="0" w:header="0"/>
        </w:sectPr>
      </w:pPr>
    </w:p>
    <w:bookmarkStart w:id="96" w:name="page97"/>
    <w:bookmarkEnd w:id="96"/>
    <w:p>
      <w:pPr>
        <w:ind w:left="42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40" w:right="20" w:hanging="478"/>
        <w:spacing w:after="0" w:line="282" w:lineRule="auto"/>
        <w:tabs>
          <w:tab w:leader="none" w:pos="1029" w:val="left"/>
        </w:tabs>
        <w:numPr>
          <w:ilvl w:val="0"/>
          <w:numId w:val="28"/>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Employment contract between Crown Holdings, Inc. and Djalma Novaes Jr., dated February 26, 2015 (incorporated by reference to</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Exhibit 10.c(11) of the Registrant’s Annual Report on Form 10-K for the year ended December 31, 2014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040" w:right="200" w:hanging="478"/>
        <w:spacing w:after="0" w:line="266" w:lineRule="auto"/>
        <w:tabs>
          <w:tab w:leader="none" w:pos="944" w:val="left"/>
        </w:tabs>
        <w:numPr>
          <w:ilvl w:val="0"/>
          <w:numId w:val="28"/>
        </w:numPr>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Employment Agreement, dated January 7, 2022, between Crown Holdings, Inc. and Kevin C. Clothier (incorporated by reference to</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Exhibit 10.1 of the Registrant’s Periodic Report on Form 8-K filed January 11, 2022 (File No. 000-50189)).</w:t>
        </w:r>
      </w:hyperlink>
    </w:p>
    <w:p>
      <w:pPr>
        <w:spacing w:after="0" w:line="203" w:lineRule="exact"/>
        <w:rPr>
          <w:rFonts w:ascii="Times New Roman" w:cs="Times New Roman" w:eastAsia="Times New Roman" w:hAnsi="Times New Roman"/>
          <w:sz w:val="18"/>
          <w:szCs w:val="18"/>
          <w:color w:val="auto"/>
        </w:rPr>
      </w:pPr>
    </w:p>
    <w:p>
      <w:pPr>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10.b</w:t>
      </w:r>
      <w:r>
        <w:rPr>
          <w:sz w:val="20"/>
          <w:szCs w:val="20"/>
          <w:color w:val="auto"/>
        </w:rPr>
        <w:tab/>
      </w:r>
      <w:hyperlink r:id="rId159">
        <w:r>
          <w:rPr>
            <w:rFonts w:ascii="Times New Roman" w:cs="Times New Roman" w:eastAsia="Times New Roman" w:hAnsi="Times New Roman"/>
            <w:sz w:val="18"/>
            <w:szCs w:val="18"/>
            <w:u w:val="single" w:color="auto"/>
            <w:color w:val="0000FF"/>
          </w:rPr>
          <w:t>Crown Holdings, Inc. Economic Profit Incentive Plan, effective as of January 1, 2018 (incorporated by reference to Exhibit 10.b of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Registrant's Annual Report on Form 10-K for the year ended December 31, 2018 (File No. 000-50189)).</w:t>
        </w:r>
      </w:hyperlink>
    </w:p>
    <w:p>
      <w:pPr>
        <w:spacing w:after="0" w:line="189" w:lineRule="exact"/>
        <w:rPr>
          <w:sz w:val="20"/>
          <w:szCs w:val="20"/>
          <w:color w:val="auto"/>
        </w:rPr>
      </w:pPr>
    </w:p>
    <w:p>
      <w:pPr>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10.c</w:t>
      </w:r>
      <w:r>
        <w:rPr>
          <w:sz w:val="20"/>
          <w:szCs w:val="20"/>
          <w:color w:val="auto"/>
        </w:rPr>
        <w:tab/>
      </w:r>
      <w:hyperlink r:id="rId160">
        <w:r>
          <w:rPr>
            <w:rFonts w:ascii="Times New Roman" w:cs="Times New Roman" w:eastAsia="Times New Roman" w:hAnsi="Times New Roman"/>
            <w:sz w:val="18"/>
            <w:szCs w:val="18"/>
            <w:u w:val="single" w:color="auto"/>
            <w:color w:val="0000FF"/>
          </w:rPr>
          <w:t>Crown Holdings, Inc. Senior Executive Retirement Plan, as amended and restated as of January 1, 2008 (incorporated by reference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Exhibit 10.l of the Registrant’s Annual Report on Form 10-K for the year ended December 31, 2007 (File No. 000-50189)).</w:t>
        </w:r>
      </w:hyperlink>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10.d</w:t>
        <w:tab/>
        <w:t>Senior Executive Retirement Agreements:</w:t>
      </w:r>
    </w:p>
    <w:p>
      <w:pPr>
        <w:spacing w:after="0" w:line="252" w:lineRule="exact"/>
        <w:rPr>
          <w:sz w:val="20"/>
          <w:szCs w:val="20"/>
          <w:color w:val="auto"/>
        </w:rPr>
      </w:pPr>
    </w:p>
    <w:p>
      <w:pPr>
        <w:jc w:val="both"/>
        <w:ind w:left="1040" w:hanging="478"/>
        <w:spacing w:after="0" w:line="266" w:lineRule="auto"/>
        <w:tabs>
          <w:tab w:leader="none" w:pos="1029" w:val="left"/>
        </w:tabs>
        <w:numPr>
          <w:ilvl w:val="0"/>
          <w:numId w:val="29"/>
        </w:numPr>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Senior Executive Retirement Agreement between Crown Holdings, Inc. and Timothy J. Donahue, dated May 3, 2007 (incorporated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by reference to Exhibit 10.4(e) of the Registrant’s Quarterly Report on Form 10-Q for the quarter ended March 31, 2007 (File No.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000-50189)).</w:t>
        </w:r>
      </w:hyperlink>
    </w:p>
    <w:p>
      <w:pPr>
        <w:spacing w:after="0" w:line="202" w:lineRule="exact"/>
        <w:rPr>
          <w:rFonts w:ascii="Times New Roman" w:cs="Times New Roman" w:eastAsia="Times New Roman" w:hAnsi="Times New Roman"/>
          <w:sz w:val="18"/>
          <w:szCs w:val="18"/>
          <w:u w:val="single" w:color="auto"/>
          <w:color w:val="0000FF"/>
        </w:rPr>
      </w:pPr>
    </w:p>
    <w:p>
      <w:pPr>
        <w:ind w:left="1040" w:right="20" w:hanging="478"/>
        <w:spacing w:after="0" w:line="266" w:lineRule="auto"/>
        <w:tabs>
          <w:tab w:leader="none" w:pos="971" w:val="left"/>
        </w:tabs>
        <w:numPr>
          <w:ilvl w:val="0"/>
          <w:numId w:val="29"/>
        </w:numPr>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Senior Executive Retirement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10.2 of the Registrant's Quarterly Report on Form 10-Q for the quarter ended June 30, 2012 (File No 000-</w:t>
        </w:r>
      </w:hyperlink>
      <w:hyperlink r:id="rId162">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040" w:hanging="478"/>
        <w:spacing w:after="0" w:line="266" w:lineRule="auto"/>
        <w:tabs>
          <w:tab w:leader="none" w:pos="957" w:val="left"/>
        </w:tabs>
        <w:numPr>
          <w:ilvl w:val="0"/>
          <w:numId w:val="29"/>
        </w:numPr>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Amendment No. 1 to the Senior Executive Retirement Agreement, effective June 1, 2012, between Crown Holdings, Inc. and Gerard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Gifford dated December 28, 2012 (incorporated by reference to Exhibit 10.m(7) of the Registrant’s Annual Report on Form 10-K for</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the year ended December 31, 2012 (File No. 000-50189)).</w:t>
        </w:r>
      </w:hyperlink>
    </w:p>
    <w:p>
      <w:pPr>
        <w:spacing w:after="0" w:line="202" w:lineRule="exact"/>
        <w:rPr>
          <w:rFonts w:ascii="Times New Roman" w:cs="Times New Roman" w:eastAsia="Times New Roman" w:hAnsi="Times New Roman"/>
          <w:sz w:val="18"/>
          <w:szCs w:val="18"/>
          <w:u w:val="single" w:color="auto"/>
          <w:color w:val="0000FF"/>
        </w:rPr>
      </w:pPr>
    </w:p>
    <w:p>
      <w:pPr>
        <w:ind w:left="1040" w:right="40" w:hanging="478"/>
        <w:spacing w:after="0" w:line="250" w:lineRule="auto"/>
        <w:tabs>
          <w:tab w:leader="none" w:pos="944" w:val="left"/>
        </w:tabs>
        <w:numPr>
          <w:ilvl w:val="0"/>
          <w:numId w:val="29"/>
        </w:numPr>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Senior Executive Retirement Agreement between Crown Holdings, Inc. and Djalma Novaes Jr., dated February 26, 2015</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(incorporated by reference to Exhibit 10.f(9) of the Registrant’s Annual Report on Form 10-K for the year ended December 31, 2014</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(File No. 000-50189)).</w:t>
        </w:r>
      </w:hyperlink>
    </w:p>
    <w:p>
      <w:pPr>
        <w:spacing w:after="0" w:line="217" w:lineRule="exact"/>
        <w:rPr>
          <w:rFonts w:ascii="Times New Roman" w:cs="Times New Roman" w:eastAsia="Times New Roman" w:hAnsi="Times New Roman"/>
          <w:sz w:val="18"/>
          <w:szCs w:val="18"/>
          <w:u w:val="single" w:color="auto"/>
          <w:color w:val="0000FF"/>
        </w:rPr>
      </w:pPr>
    </w:p>
    <w:p>
      <w:pPr>
        <w:ind w:left="1040" w:right="120" w:hanging="478"/>
        <w:spacing w:after="0" w:line="250" w:lineRule="auto"/>
        <w:tabs>
          <w:tab w:leader="none" w:pos="944" w:val="left"/>
        </w:tabs>
        <w:numPr>
          <w:ilvl w:val="0"/>
          <w:numId w:val="29"/>
        </w:numPr>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Amendment No. 2 to the Senior Executive Retirement Agreement, effective as of May 17, 2016, between Crown Holdings, Inc. and</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Gerard Gifford (incorporated by reference to Exhibit 10.1 of the Registrant’s Current Report on Form 8-K dated May 18, 2016 (File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No. 000-50189)).</w:t>
        </w:r>
      </w:hyperlink>
    </w:p>
    <w:p>
      <w:pPr>
        <w:spacing w:after="0" w:line="217" w:lineRule="exact"/>
        <w:rPr>
          <w:rFonts w:ascii="Times New Roman" w:cs="Times New Roman" w:eastAsia="Times New Roman" w:hAnsi="Times New Roman"/>
          <w:sz w:val="18"/>
          <w:szCs w:val="18"/>
          <w:u w:val="single" w:color="auto"/>
          <w:color w:val="0000FF"/>
        </w:rPr>
      </w:pPr>
    </w:p>
    <w:p>
      <w:pPr>
        <w:ind w:left="960" w:right="300" w:hanging="398"/>
        <w:spacing w:after="0" w:line="250" w:lineRule="auto"/>
        <w:tabs>
          <w:tab w:leader="none" w:pos="945" w:val="left"/>
        </w:tabs>
        <w:numPr>
          <w:ilvl w:val="0"/>
          <w:numId w:val="29"/>
        </w:numPr>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Amended and Restated Senior Executive Retirement Agreement, effective as of June 1, 2017, between Crown Holdings, Inc. and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Gerard Gifford (incorporated by reference to Exhibit 10.c of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March 31, 2017 (File No. 000-50189)).</w:t>
        </w:r>
      </w:hyperlink>
    </w:p>
    <w:p>
      <w:pPr>
        <w:spacing w:after="0" w:line="217" w:lineRule="exact"/>
        <w:rPr>
          <w:rFonts w:ascii="Times New Roman" w:cs="Times New Roman" w:eastAsia="Times New Roman" w:hAnsi="Times New Roman"/>
          <w:sz w:val="18"/>
          <w:szCs w:val="18"/>
          <w:u w:val="single" w:color="auto"/>
          <w:color w:val="0000FF"/>
        </w:rPr>
      </w:pPr>
    </w:p>
    <w:p>
      <w:pPr>
        <w:ind w:left="1040" w:right="120" w:hanging="478"/>
        <w:spacing w:after="0" w:line="250" w:lineRule="auto"/>
        <w:tabs>
          <w:tab w:leader="none" w:pos="944" w:val="left"/>
        </w:tabs>
        <w:numPr>
          <w:ilvl w:val="0"/>
          <w:numId w:val="29"/>
        </w:numPr>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Amendment No.1 to Amend and Restate Senior Executive Retirement Agreement, effective October 21, 2020, between Crown</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Holdings, Inc. and Gerard Gifford (incorporated by reference to Exhibit 10.d of the Registrant’s Quarterly Report on Form 10-Q for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the Quarter ended September 30, 2020 (File No. 000-50189)).</w:t>
        </w:r>
      </w:hyperlink>
    </w:p>
    <w:p>
      <w:pPr>
        <w:spacing w:after="0" w:line="217"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10.e</w:t>
      </w:r>
      <w:r>
        <w:rPr>
          <w:sz w:val="20"/>
          <w:szCs w:val="20"/>
          <w:color w:val="auto"/>
        </w:rPr>
        <w:tab/>
      </w:r>
      <w:hyperlink r:id="rId168">
        <w:r>
          <w:rPr>
            <w:rFonts w:ascii="Times New Roman" w:cs="Times New Roman" w:eastAsia="Times New Roman" w:hAnsi="Times New Roman"/>
            <w:sz w:val="18"/>
            <w:szCs w:val="18"/>
            <w:u w:val="single" w:color="auto"/>
            <w:color w:val="0000FF"/>
          </w:rPr>
          <w:t>Form of Agreement for Non-Qualified Stock Option Awards under Crown Holdings, Inc. 2004 Stock-Based Incentive Compensation Plan</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(incorporated by reference to Exhibit 10.6 of the Registrant’s Quarterly Report on Form 10-Q for the quarter ended September 30, 2004</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(File No. 000-51089)).</w:t>
        </w:r>
      </w:hyperlink>
    </w:p>
    <w:p>
      <w:pPr>
        <w:spacing w:after="0" w:line="203" w:lineRule="exact"/>
        <w:rPr>
          <w:rFonts w:ascii="Times New Roman" w:cs="Times New Roman" w:eastAsia="Times New Roman" w:hAnsi="Times New Roman"/>
          <w:sz w:val="18"/>
          <w:szCs w:val="18"/>
          <w:u w:val="single" w:color="auto"/>
          <w:color w:val="0000FF"/>
        </w:rPr>
      </w:pPr>
    </w:p>
    <w:p>
      <w:pPr>
        <w:spacing w:after="0"/>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10.f</w:t>
      </w:r>
      <w:r>
        <w:rPr>
          <w:sz w:val="20"/>
          <w:szCs w:val="20"/>
          <w:color w:val="auto"/>
        </w:rPr>
        <w:tab/>
      </w:r>
      <w:hyperlink r:id="rId169">
        <w:r>
          <w:rPr>
            <w:rFonts w:ascii="Times New Roman" w:cs="Times New Roman" w:eastAsia="Times New Roman" w:hAnsi="Times New Roman"/>
            <w:sz w:val="17"/>
            <w:szCs w:val="17"/>
            <w:u w:val="single" w:color="auto"/>
            <w:color w:val="0000FF"/>
          </w:rPr>
          <w:t>Crown Holdings, Inc. Deferred Compensation Plan for Directors.</w:t>
        </w:r>
      </w:hyperlink>
    </w:p>
    <w:p>
      <w:pPr>
        <w:spacing w:after="0" w:line="252"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10.g</w:t>
      </w:r>
      <w:r>
        <w:rPr>
          <w:sz w:val="20"/>
          <w:szCs w:val="20"/>
          <w:color w:val="auto"/>
        </w:rPr>
        <w:tab/>
      </w:r>
      <w:hyperlink r:id="rId170">
        <w:r>
          <w:rPr>
            <w:rFonts w:ascii="Times New Roman" w:cs="Times New Roman" w:eastAsia="Times New Roman" w:hAnsi="Times New Roman"/>
            <w:sz w:val="18"/>
            <w:szCs w:val="18"/>
            <w:u w:val="single" w:color="auto"/>
            <w:color w:val="0000FF"/>
          </w:rPr>
          <w:t>Crown Holdings, Inc. Stock Compensation Plan for Non-Employee Directors, dated as of April 22, 2004 (incorporated by reference to the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Registrant’s Definitive Proxy Statement on Schedule 14A, filed with the Securities and Exchange Commission on March 19, 2004 (File No.</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000-50189)).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6" w:lineRule="exact"/>
        <w:rPr>
          <w:rFonts w:ascii="Times New Roman" w:cs="Times New Roman" w:eastAsia="Times New Roman" w:hAnsi="Times New Roman"/>
          <w:sz w:val="18"/>
          <w:szCs w:val="18"/>
          <w:u w:val="single" w:color="auto"/>
          <w:color w:val="0000FF"/>
        </w:rPr>
      </w:pPr>
    </w:p>
    <w:p>
      <w:pPr>
        <w:ind w:left="49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sectPr>
      </w:pPr>
    </w:p>
    <w:bookmarkStart w:id="97" w:name="page98"/>
    <w:bookmarkEnd w:id="97"/>
    <w:p>
      <w:pPr>
        <w:ind w:left="42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500" w:hanging="566"/>
        <w:spacing w:after="0" w:line="266"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10.h</w:t>
      </w:r>
      <w:r>
        <w:rPr>
          <w:sz w:val="20"/>
          <w:szCs w:val="20"/>
          <w:color w:val="auto"/>
        </w:rPr>
        <w:tab/>
      </w:r>
      <w:hyperlink r:id="rId172">
        <w:r>
          <w:rPr>
            <w:rFonts w:ascii="Times New Roman" w:cs="Times New Roman" w:eastAsia="Times New Roman" w:hAnsi="Times New Roman"/>
            <w:sz w:val="18"/>
            <w:szCs w:val="18"/>
            <w:u w:val="single" w:color="auto"/>
            <w:color w:val="0000FF"/>
          </w:rPr>
          <w:t>Amendment No. 1, effective April 1, 2005, to the Crown Holdings, Inc. Stock Compensation Plan for Non-Employee Directors, dated as of</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April 22, 2004 (incorporated by reference to Exhibit 10 to the Registrant’s Quarterly Report on Form 10-Q for the quarter ended March 31,</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2005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w:t>
      </w:r>
      <w:r>
        <w:rPr>
          <w:sz w:val="20"/>
          <w:szCs w:val="20"/>
          <w:color w:val="auto"/>
        </w:rPr>
        <w:tab/>
      </w:r>
      <w:hyperlink r:id="rId173">
        <w:r>
          <w:rPr>
            <w:rFonts w:ascii="Times New Roman" w:cs="Times New Roman" w:eastAsia="Times New Roman" w:hAnsi="Times New Roman"/>
            <w:sz w:val="18"/>
            <w:szCs w:val="18"/>
            <w:u w:val="single" w:color="auto"/>
            <w:color w:val="0000FF"/>
          </w:rPr>
          <w:t>Crown Holdings, Inc. 2013 Stock-Based Incentive Compensation Plan (incorporated by reference to the Registrant's Definitive Proxy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Statement on Schedule 14A, filed with the Securities and Exchange Commission on March 18, 2013 (File No. 000-50189)).</w:t>
        </w:r>
      </w:hyperlink>
    </w:p>
    <w:p>
      <w:pPr>
        <w:spacing w:after="0" w:line="189" w:lineRule="exact"/>
        <w:rPr>
          <w:sz w:val="20"/>
          <w:szCs w:val="20"/>
          <w:color w:val="auto"/>
        </w:rPr>
      </w:pPr>
    </w:p>
    <w:p>
      <w:pPr>
        <w:jc w:val="both"/>
        <w:ind w:left="460" w:hanging="566"/>
        <w:spacing w:after="0" w:line="266" w:lineRule="auto"/>
        <w:tabs>
          <w:tab w:leader="none" w:pos="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10.j</w:t>
      </w:r>
      <w:r>
        <w:rPr>
          <w:sz w:val="20"/>
          <w:szCs w:val="20"/>
          <w:color w:val="auto"/>
        </w:rPr>
        <w:tab/>
      </w:r>
      <w:hyperlink r:id="rId174">
        <w:r>
          <w:rPr>
            <w:rFonts w:ascii="Times New Roman" w:cs="Times New Roman" w:eastAsia="Times New Roman" w:hAnsi="Times New Roman"/>
            <w:sz w:val="18"/>
            <w:szCs w:val="18"/>
            <w:u w:val="single" w:color="auto"/>
            <w:color w:val="0000FF"/>
          </w:rPr>
          <w:t>Form of Agreement for Restricted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by reference to Exhibit 10.1 of the Registrant’s Quarterly Report on Form 10-Q for the quarter ended September 30, 2013 (File No. 000-</w:t>
        </w:r>
      </w:hyperlink>
      <w:hyperlink r:id="rId174">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10.k</w:t>
      </w:r>
      <w:r>
        <w:rPr>
          <w:sz w:val="20"/>
          <w:szCs w:val="20"/>
          <w:color w:val="auto"/>
        </w:rPr>
        <w:tab/>
      </w:r>
      <w:hyperlink r:id="rId175">
        <w:r>
          <w:rPr>
            <w:rFonts w:ascii="Times New Roman" w:cs="Times New Roman" w:eastAsia="Times New Roman" w:hAnsi="Times New Roman"/>
            <w:sz w:val="18"/>
            <w:szCs w:val="18"/>
            <w:u w:val="single" w:color="auto"/>
            <w:color w:val="0000FF"/>
          </w:rPr>
          <w:t>Form of Agreement for Deferred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by reference to Exhibit 10.2 of the Registrant’s Quarterly Report on Form 10-Q for the quarter ended September 30, 2013 (File No. 000-</w:t>
        </w:r>
      </w:hyperlink>
      <w:hyperlink r:id="rId175">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10.l</w:t>
      </w:r>
      <w:r>
        <w:rPr>
          <w:sz w:val="20"/>
          <w:szCs w:val="20"/>
          <w:color w:val="auto"/>
        </w:rPr>
        <w:tab/>
      </w:r>
      <w:hyperlink r:id="rId176">
        <w:r>
          <w:rPr>
            <w:rFonts w:ascii="Times New Roman" w:cs="Times New Roman" w:eastAsia="Times New Roman" w:hAnsi="Times New Roman"/>
            <w:sz w:val="18"/>
            <w:szCs w:val="18"/>
            <w:u w:val="single" w:color="auto"/>
            <w:color w:val="0000FF"/>
          </w:rPr>
          <w:t>Crown Cork &amp; Seal Company, Inc. Restoration Plan, dated July 28, 2010 (incorporated by reference to Exhibit 10.3 of the Registrant's</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Quarterly Report on Form 10-Q for the quarter ended June 30, 2012 (File No. 000-50189)).</w:t>
        </w:r>
      </w:hyperlink>
    </w:p>
    <w:p>
      <w:pPr>
        <w:spacing w:after="0" w:line="189" w:lineRule="exact"/>
        <w:rPr>
          <w:sz w:val="20"/>
          <w:szCs w:val="20"/>
          <w:color w:val="auto"/>
        </w:rPr>
      </w:pPr>
    </w:p>
    <w:p>
      <w:pPr>
        <w:spacing w:after="0"/>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10.m</w:t>
      </w:r>
      <w:r>
        <w:rPr>
          <w:sz w:val="20"/>
          <w:szCs w:val="20"/>
          <w:color w:val="auto"/>
        </w:rPr>
        <w:tab/>
      </w:r>
      <w:hyperlink r:id="rId177">
        <w:r>
          <w:rPr>
            <w:rFonts w:ascii="Times New Roman" w:cs="Times New Roman" w:eastAsia="Times New Roman" w:hAnsi="Times New Roman"/>
            <w:sz w:val="18"/>
            <w:szCs w:val="18"/>
            <w:u w:val="single" w:color="auto"/>
            <w:color w:val="0000FF"/>
          </w:rPr>
          <w:t>Amendment No. 1, effective July 1, 2011, to the Crown Cork &amp; Seal Company, Inc. Restoration Plan (incorporated by reference to Exhibit</w:t>
        </w:r>
      </w:hyperlink>
    </w:p>
    <w:p>
      <w:pPr>
        <w:spacing w:after="0" w:line="27" w:lineRule="exact"/>
        <w:rPr>
          <w:sz w:val="20"/>
          <w:szCs w:val="20"/>
          <w:color w:val="auto"/>
        </w:rPr>
      </w:pPr>
    </w:p>
    <w:p>
      <w:pPr>
        <w:ind w:left="56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10.4 of the Registrant's Quarterly Report on Form 10-Q for the quarter ended June 30, 2012 (File No. 000-50189)).</w:t>
        </w:r>
      </w:hyperlink>
    </w:p>
    <w:p>
      <w:pPr>
        <w:spacing w:after="0" w:line="234" w:lineRule="exact"/>
        <w:rPr>
          <w:sz w:val="20"/>
          <w:szCs w:val="20"/>
          <w:color w:val="auto"/>
        </w:rPr>
      </w:pPr>
    </w:p>
    <w:p>
      <w:pPr>
        <w:jc w:val="both"/>
        <w:ind w:left="560" w:right="20" w:hanging="566"/>
        <w:spacing w:after="0" w:line="31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10.n </w:t>
      </w:r>
      <w:hyperlink r:id="rId178">
        <w:r>
          <w:rPr>
            <w:rFonts w:ascii="Times New Roman" w:cs="Times New Roman" w:eastAsia="Times New Roman" w:hAnsi="Times New Roman"/>
            <w:sz w:val="17"/>
            <w:szCs w:val="17"/>
            <w:u w:val="single" w:color="auto"/>
            <w:color w:val="0000FF"/>
          </w:rPr>
          <w:t>Amendment No. 1, effective February 28, 2020, to the Crown Holdings, Inc. 2013 Stock-Based Incentive Compensation Plan (incorporated by</w:t>
        </w:r>
      </w:hyperlink>
      <w:r>
        <w:rPr>
          <w:rFonts w:ascii="Times New Roman" w:cs="Times New Roman" w:eastAsia="Times New Roman" w:hAnsi="Times New Roman"/>
          <w:sz w:val="17"/>
          <w:szCs w:val="17"/>
          <w:color w:val="auto"/>
        </w:rPr>
        <w:t xml:space="preserve"> </w:t>
      </w:r>
      <w:hyperlink r:id="rId178">
        <w:r>
          <w:rPr>
            <w:rFonts w:ascii="Times New Roman" w:cs="Times New Roman" w:eastAsia="Times New Roman" w:hAnsi="Times New Roman"/>
            <w:sz w:val="17"/>
            <w:szCs w:val="17"/>
            <w:u w:val="single" w:color="auto"/>
            <w:color w:val="0000FF"/>
          </w:rPr>
          <w:t>reference to Exhibit 10.2 of the Registrant's Quarterly Report on From 10-Q for the quarter ended March 31, 2020 (File No. 000-50189)).</w:t>
        </w:r>
      </w:hyperlink>
    </w:p>
    <w:p>
      <w:pPr>
        <w:spacing w:after="0" w:line="167" w:lineRule="exact"/>
        <w:rPr>
          <w:sz w:val="20"/>
          <w:szCs w:val="20"/>
          <w:color w:val="auto"/>
        </w:rPr>
      </w:pPr>
    </w:p>
    <w:p>
      <w:pPr>
        <w:spacing w:after="0"/>
        <w:tabs>
          <w:tab w:leader="none" w:pos="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10.o</w:t>
      </w:r>
      <w:r>
        <w:rPr>
          <w:sz w:val="20"/>
          <w:szCs w:val="20"/>
          <w:color w:val="auto"/>
        </w:rPr>
        <w:tab/>
      </w:r>
      <w:hyperlink r:id="rId179">
        <w:r>
          <w:rPr>
            <w:rFonts w:ascii="Times New Roman" w:cs="Times New Roman" w:eastAsia="Times New Roman" w:hAnsi="Times New Roman"/>
            <w:sz w:val="18"/>
            <w:szCs w:val="18"/>
            <w:u w:val="single" w:color="auto"/>
            <w:color w:val="0000FF"/>
          </w:rPr>
          <w:t>Amendment No. 2, effective February 25, 2021, to the Crown Holdings, Inc. 2013 Stock-Based Incentive Compensation Plan.</w:t>
        </w:r>
      </w:hyperlink>
    </w:p>
    <w:p>
      <w:pPr>
        <w:spacing w:after="0" w:line="252" w:lineRule="exact"/>
        <w:rPr>
          <w:sz w:val="20"/>
          <w:szCs w:val="20"/>
          <w:color w:val="auto"/>
        </w:rPr>
      </w:pPr>
    </w:p>
    <w:p>
      <w:pPr>
        <w:spacing w:after="0"/>
        <w:tabs>
          <w:tab w:leader="none" w:pos="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10.p</w:t>
      </w:r>
      <w:r>
        <w:rPr>
          <w:sz w:val="20"/>
          <w:szCs w:val="20"/>
          <w:color w:val="auto"/>
        </w:rPr>
        <w:tab/>
      </w:r>
      <w:hyperlink r:id="rId180">
        <w:r>
          <w:rPr>
            <w:rFonts w:ascii="Times New Roman" w:cs="Times New Roman" w:eastAsia="Times New Roman" w:hAnsi="Times New Roman"/>
            <w:sz w:val="18"/>
            <w:szCs w:val="18"/>
            <w:u w:val="single" w:color="auto"/>
            <w:color w:val="0000FF"/>
          </w:rPr>
          <w:t>Executive Employment Agreement, effective January 1, 2023, between Crown Holdings, Inc. and Carlos Baila.</w:t>
        </w:r>
      </w:hyperlink>
    </w:p>
    <w:p>
      <w:pPr>
        <w:spacing w:after="0" w:line="252" w:lineRule="exact"/>
        <w:rPr>
          <w:sz w:val="20"/>
          <w:szCs w:val="20"/>
          <w:color w:val="auto"/>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10.q</w:t>
      </w:r>
      <w:r>
        <w:rPr>
          <w:sz w:val="20"/>
          <w:szCs w:val="20"/>
          <w:color w:val="auto"/>
        </w:rPr>
        <w:tab/>
      </w:r>
      <w:hyperlink r:id="rId181">
        <w:r>
          <w:rPr>
            <w:rFonts w:ascii="Times New Roman" w:cs="Times New Roman" w:eastAsia="Times New Roman" w:hAnsi="Times New Roman"/>
            <w:sz w:val="18"/>
            <w:szCs w:val="18"/>
            <w:u w:val="single" w:color="auto"/>
            <w:color w:val="0000FF"/>
          </w:rPr>
          <w:t>Crown Holdings, Inc. 2022 Stock-Based Incentive Compensation Plan (incorporated by reference to the Registrant’s Definitive Proxy</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Statement on Schedule 14A, filed with the Securities and Exchange Commission on March 21, 2022 (File No. 000-50189)).</w:t>
        </w:r>
      </w:hyperlink>
    </w:p>
    <w:p>
      <w:pPr>
        <w:spacing w:after="0" w:line="189" w:lineRule="exact"/>
        <w:rPr>
          <w:sz w:val="20"/>
          <w:szCs w:val="20"/>
          <w:color w:val="auto"/>
        </w:rPr>
      </w:pPr>
    </w:p>
    <w:p>
      <w:pPr>
        <w:spacing w:after="0"/>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10.r</w:t>
      </w:r>
      <w:r>
        <w:rPr>
          <w:sz w:val="20"/>
          <w:szCs w:val="20"/>
          <w:color w:val="auto"/>
        </w:rPr>
        <w:tab/>
      </w:r>
      <w:hyperlink r:id="rId182">
        <w:r>
          <w:rPr>
            <w:rFonts w:ascii="Times New Roman" w:cs="Times New Roman" w:eastAsia="Times New Roman" w:hAnsi="Times New Roman"/>
            <w:sz w:val="17"/>
            <w:szCs w:val="17"/>
            <w:u w:val="single" w:color="auto"/>
            <w:color w:val="0000FF"/>
          </w:rPr>
          <w:t>Amendment No. 1, to the Crown Holdings, Inc. 2022 Stock-Based Incentive Compensation Plan.</w:t>
        </w:r>
      </w:hyperlink>
    </w:p>
    <w:p>
      <w:pPr>
        <w:spacing w:after="0" w:line="252" w:lineRule="exact"/>
        <w:rPr>
          <w:sz w:val="20"/>
          <w:szCs w:val="20"/>
          <w:color w:val="auto"/>
        </w:rPr>
      </w:pPr>
    </w:p>
    <w:p>
      <w:pPr>
        <w:jc w:val="both"/>
        <w:ind w:left="520" w:right="20" w:hanging="566"/>
        <w:spacing w:after="0" w:line="282"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10.s</w:t>
      </w:r>
      <w:r>
        <w:rPr>
          <w:sz w:val="20"/>
          <w:szCs w:val="20"/>
          <w:color w:val="auto"/>
        </w:rPr>
        <w:tab/>
      </w:r>
      <w:hyperlink r:id="rId183">
        <w:r>
          <w:rPr>
            <w:rFonts w:ascii="Times New Roman" w:cs="Times New Roman" w:eastAsia="Times New Roman" w:hAnsi="Times New Roman"/>
            <w:sz w:val="18"/>
            <w:szCs w:val="18"/>
            <w:u w:val="single" w:color="auto"/>
            <w:color w:val="0000FF"/>
          </w:rPr>
          <w:t>Crown Cork &amp; Seal Company, Inc. Amended and Restated Restoration Plan (incorporated by reference to Exhibit 10.o of the Registrant’s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Quarterly Report on Form 10-Q for the quarter ended June 30, 2022 (File No. 000-50189)).</w:t>
        </w:r>
      </w:hyperlink>
    </w:p>
    <w:p>
      <w:pPr>
        <w:spacing w:after="0" w:line="189" w:lineRule="exact"/>
        <w:rPr>
          <w:sz w:val="20"/>
          <w:szCs w:val="20"/>
          <w:color w:val="auto"/>
        </w:rPr>
      </w:pPr>
    </w:p>
    <w:p>
      <w:pPr>
        <w:jc w:val="both"/>
        <w:ind w:left="480" w:hanging="566"/>
        <w:spacing w:after="0" w:line="266" w:lineRule="auto"/>
        <w:tabs>
          <w:tab w:leader="none" w:pos="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10.t</w:t>
      </w:r>
      <w:r>
        <w:rPr>
          <w:sz w:val="20"/>
          <w:szCs w:val="20"/>
          <w:color w:val="auto"/>
        </w:rPr>
        <w:tab/>
      </w:r>
      <w:hyperlink r:id="rId184">
        <w:r>
          <w:rPr>
            <w:rFonts w:ascii="Times New Roman" w:cs="Times New Roman" w:eastAsia="Times New Roman" w:hAnsi="Times New Roman"/>
            <w:sz w:val="18"/>
            <w:szCs w:val="18"/>
            <w:u w:val="single" w:color="auto"/>
            <w:color w:val="0000FF"/>
          </w:rPr>
          <w:t>Executive Employment Agreement, effective 25 October, 2022, between Crown Holdings, Inc. and Matthew R. Madeksza (incorporated by</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reference to Exhibit 10.p of the Registrant’s Quarterly Report on Form 10-Q for the quarter ended September 30, 2022 (File No. 000-</w:t>
        </w:r>
      </w:hyperlink>
      <w:hyperlink r:id="rId184">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60" w:hanging="566"/>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10.u </w:t>
      </w:r>
      <w:hyperlink r:id="rId185">
        <w:r>
          <w:rPr>
            <w:rFonts w:ascii="Times New Roman" w:cs="Times New Roman" w:eastAsia="Times New Roman" w:hAnsi="Times New Roman"/>
            <w:sz w:val="18"/>
            <w:szCs w:val="18"/>
            <w:u w:val="single" w:color="auto"/>
            <w:color w:val="0000FF"/>
          </w:rPr>
          <w:t>Share and Asset Purchase Agreement, dated as of April 8, 2021, by and among the Company, Crown Cork &amp; Seal Deutschland Holdings</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GmbH, Blitz F21-387 GmbH, Kouti B.V. and Macsco 20.10 Limited (incorporated by reference to Exhibit 2.1 of the Registrant’s Current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Report on Form 8-K dated April 13, 2021 (File No. 000-50189)).</w:t>
        </w:r>
      </w:hyperlink>
    </w:p>
    <w:p>
      <w:pPr>
        <w:spacing w:after="0" w:line="203" w:lineRule="exact"/>
        <w:rPr>
          <w:rFonts w:ascii="Times New Roman" w:cs="Times New Roman" w:eastAsia="Times New Roman" w:hAnsi="Times New Roman"/>
          <w:sz w:val="18"/>
          <w:szCs w:val="18"/>
          <w:color w:val="auto"/>
        </w:rPr>
      </w:pPr>
    </w:p>
    <w:p>
      <w:pPr>
        <w:spacing w:after="0"/>
        <w:tabs>
          <w:tab w:leader="none" w:pos="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10.v</w:t>
      </w:r>
      <w:r>
        <w:rPr>
          <w:sz w:val="20"/>
          <w:szCs w:val="20"/>
          <w:color w:val="auto"/>
        </w:rPr>
        <w:tab/>
      </w:r>
      <w:hyperlink r:id="rId186">
        <w:r>
          <w:rPr>
            <w:rFonts w:ascii="Times New Roman" w:cs="Times New Roman" w:eastAsia="Times New Roman" w:hAnsi="Times New Roman"/>
            <w:sz w:val="17"/>
            <w:szCs w:val="17"/>
            <w:u w:val="single" w:color="auto"/>
            <w:color w:val="0000FF"/>
          </w:rPr>
          <w:t>Crown Holdings, Inc. Executive Officer Cash Severance Policy.</w:t>
        </w:r>
      </w:hyperlink>
    </w:p>
    <w:p>
      <w:pPr>
        <w:spacing w:after="0" w:line="252" w:lineRule="exact"/>
        <w:rPr>
          <w:rFonts w:ascii="Times New Roman" w:cs="Times New Roman" w:eastAsia="Times New Roman" w:hAnsi="Times New Roman"/>
          <w:sz w:val="18"/>
          <w:szCs w:val="18"/>
          <w:color w:val="auto"/>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10.w</w:t>
      </w:r>
      <w:r>
        <w:rPr>
          <w:sz w:val="20"/>
          <w:szCs w:val="20"/>
          <w:color w:val="auto"/>
        </w:rPr>
        <w:tab/>
      </w:r>
      <w:hyperlink r:id="rId187">
        <w:r>
          <w:rPr>
            <w:rFonts w:ascii="Times New Roman" w:cs="Times New Roman" w:eastAsia="Times New Roman" w:hAnsi="Times New Roman"/>
            <w:sz w:val="18"/>
            <w:szCs w:val="18"/>
            <w:u w:val="single" w:color="auto"/>
            <w:color w:val="0000FF"/>
          </w:rPr>
          <w:t>Amendment No. 1 to the Crown Holdings, Inc. Stock Purchase Plan, effective August 1, 2024 (incorporated by reference to Exhibit 10.1 of</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the Registrant's Quarterly Report on Form 10-Q dated November 1, 2024 (File No. 001-41550)).</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Exhibits 10.c through 10.w are management contracts or compensatory plans or arrangements required to be filed as exhibits pursuant to Item 14(c) of this Report.</w:t>
      </w:r>
    </w:p>
    <w:p>
      <w:pPr>
        <w:spacing w:after="0" w:line="189" w:lineRule="exact"/>
        <w:rPr>
          <w:sz w:val="20"/>
          <w:szCs w:val="20"/>
          <w:color w:val="auto"/>
        </w:rPr>
      </w:pPr>
    </w:p>
    <w:p>
      <w:pPr>
        <w:ind w:left="1080" w:hanging="566"/>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89">
        <w:r>
          <w:rPr>
            <w:rFonts w:ascii="Times New Roman" w:cs="Times New Roman" w:eastAsia="Times New Roman" w:hAnsi="Times New Roman"/>
            <w:sz w:val="18"/>
            <w:szCs w:val="18"/>
            <w:u w:val="single" w:color="auto"/>
            <w:color w:val="0000FF"/>
          </w:rPr>
          <w:t>Securities Trading and SEC Reporting Compliance Reporting Policy (incorporated by reference to Exhibit 19.1 of the Registrant's Quarterly</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Report on Form 10-Q dated July 28, 2023 (File No. 000-50189)).</w:t>
        </w:r>
      </w:hyperlink>
    </w:p>
    <w:p>
      <w:pPr>
        <w:spacing w:after="0" w:line="189" w:lineRule="exact"/>
        <w:rPr>
          <w:sz w:val="20"/>
          <w:szCs w:val="20"/>
          <w:color w:val="auto"/>
        </w:rPr>
      </w:pPr>
    </w:p>
    <w:p>
      <w:pPr>
        <w:ind w:left="940" w:hanging="36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52"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Guarantors.</w:t>
      </w:r>
    </w:p>
    <w:p>
      <w:pPr>
        <w:spacing w:after="0" w:line="252"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52" w:lineRule="exact"/>
        <w:rPr>
          <w:sz w:val="20"/>
          <w:szCs w:val="20"/>
          <w:color w:val="auto"/>
        </w:rPr>
      </w:pPr>
    </w:p>
    <w:p>
      <w:pPr>
        <w:ind w:left="1120" w:right="20" w:hanging="566"/>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1120" w:hanging="566"/>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1140" w:hanging="565"/>
        <w:spacing w:after="0" w:line="266" w:lineRule="auto"/>
        <w:tabs>
          <w:tab w:leader="none" w:pos="9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203" w:lineRule="exact"/>
        <w:rPr>
          <w:sz w:val="20"/>
          <w:szCs w:val="20"/>
          <w:color w:val="auto"/>
        </w:rPr>
      </w:pPr>
    </w:p>
    <w:p>
      <w:pPr>
        <w:ind w:left="940" w:hanging="365"/>
        <w:spacing w:after="0"/>
        <w:tabs>
          <w:tab w:leader="none" w:pos="940" w:val="left"/>
        </w:tabs>
        <w:numPr>
          <w:ilvl w:val="0"/>
          <w:numId w:val="32"/>
        </w:numPr>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Crown Holdings, Inc. Compensation Recovery Policy, effective October 2, 2023.</w:t>
        </w:r>
      </w:hyperlink>
    </w:p>
    <w:p>
      <w:pPr>
        <w:spacing w:after="0" w:line="252" w:lineRule="exact"/>
        <w:rPr>
          <w:sz w:val="20"/>
          <w:szCs w:val="20"/>
          <w:color w:val="auto"/>
        </w:rPr>
      </w:pPr>
    </w:p>
    <w:p>
      <w:pPr>
        <w:ind w:left="1140" w:hanging="565"/>
        <w:spacing w:after="0" w:line="256" w:lineRule="auto"/>
        <w:tabs>
          <w:tab w:leader="none" w:pos="10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December 31, 2024 formatted in Inline XBRL (eXtensible Business Reporting Language): (i) Consolidated Statements of Operations for the twelve months ended December 31, 2024, 2023 and 2022, (ii) Consolidated Statements of Comprehensive Income for the twelve months ended December 31, 2024, 2023 and 2022; (iii) Consolidated Balance Sheets as of December 31, 2024 and December 31, 2023, (iv) Consolidated Statements of Cash Flows for the twelve months ended December 31, 2024, 2023 and 2022, (v) Consolidated Statements of Changes in Shareholders' Equity for the twelve months ended December 31, 2024, 2023 and 2022 and (vi) Notes to Consolidated Financial Statements.</w:t>
      </w:r>
    </w:p>
    <w:p>
      <w:pPr>
        <w:spacing w:after="0" w:line="214" w:lineRule="exact"/>
        <w:rPr>
          <w:sz w:val="20"/>
          <w:szCs w:val="20"/>
          <w:color w:val="auto"/>
        </w:rPr>
      </w:pPr>
    </w:p>
    <w:p>
      <w:pPr>
        <w:ind w:left="1140" w:hanging="56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 the XBRL document.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16. Form 10-K Summary</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w:t>
      </w:r>
    </w:p>
    <w:p>
      <w:pPr>
        <w:spacing w:after="0" w:line="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Crown Holdings, Inc.</w:t>
      </w:r>
    </w:p>
    <w:p>
      <w:pPr>
        <w:ind w:left="4620"/>
        <w:spacing w:after="0"/>
        <w:rPr>
          <w:sz w:val="20"/>
          <w:szCs w:val="20"/>
          <w:color w:val="auto"/>
        </w:rPr>
      </w:pPr>
      <w:r>
        <w:rPr>
          <w:rFonts w:ascii="Times New Roman" w:cs="Times New Roman" w:eastAsia="Times New Roman" w:hAnsi="Times New Roman"/>
          <w:sz w:val="18"/>
          <w:szCs w:val="18"/>
          <w:color w:val="auto"/>
        </w:rPr>
        <w:t>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Timothy J. Donahue, Kevin C. Clothier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2024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21" w:lineRule="exact"/>
        <w:rPr>
          <w:sz w:val="20"/>
          <w:szCs w:val="20"/>
          <w:color w:val="auto"/>
        </w:rPr>
      </w:pPr>
    </w:p>
    <w:p>
      <w:pPr>
        <w:ind w:right="180"/>
        <w:spacing w:after="0" w:line="34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J. Donahue</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C. Clothier</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H. Fearon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Andrea J. Funk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J. Hagge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H. Miller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Craig Owens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Angela 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M. Snyder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Caesar F. Sweitzer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Marsha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3162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 C. Williams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Dwayne A. Wilson</w:t>
      </w:r>
    </w:p>
    <w:p>
      <w:pPr>
        <w:spacing w:after="0" w:line="834" w:lineRule="exact"/>
        <w:rPr>
          <w:sz w:val="20"/>
          <w:szCs w:val="20"/>
          <w:color w:val="auto"/>
        </w:rPr>
      </w:pPr>
    </w:p>
    <w:p>
      <w:pPr>
        <w:sectPr>
          <w:pgSz w:w="11900" w:h="16838" w:orient="portrait"/>
          <w:cols w:equalWidth="0" w:num="2">
            <w:col w:w="5540" w:space="720"/>
            <w:col w:w="49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17"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SEVENTH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SEVENTH AMENDMENT, dated as of November 11,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CROWN HOLDINGS, INC., a Pennsylvania corporation (“</w:t>
      </w:r>
      <w:r>
        <w:rPr>
          <w:rFonts w:ascii="Times New Roman" w:cs="Times New Roman" w:eastAsia="Times New Roman" w:hAnsi="Times New Roman"/>
          <w:sz w:val="18"/>
          <w:szCs w:val="18"/>
          <w:b w:val="1"/>
          <w:bCs w:val="1"/>
          <w:u w:val="single" w:color="auto"/>
          <w:color w:val="auto"/>
        </w:rPr>
        <w:t>Crown Holdings</w:t>
      </w:r>
      <w:r>
        <w:rPr>
          <w:rFonts w:ascii="Times New Roman" w:cs="Times New Roman" w:eastAsia="Times New Roman" w:hAnsi="Times New Roman"/>
          <w:sz w:val="18"/>
          <w:szCs w:val="18"/>
          <w:color w:val="auto"/>
        </w:rPr>
        <w:t>”), DEUTSCHE BANK SECURITIES INC., (“</w:t>
      </w:r>
      <w:r>
        <w:rPr>
          <w:rFonts w:ascii="Times New Roman" w:cs="Times New Roman" w:eastAsia="Times New Roman" w:hAnsi="Times New Roman"/>
          <w:sz w:val="18"/>
          <w:szCs w:val="18"/>
          <w:b w:val="1"/>
          <w:bCs w:val="1"/>
          <w:u w:val="single" w:color="auto"/>
          <w:color w:val="auto"/>
        </w:rPr>
        <w:t>DBSI</w:t>
      </w:r>
      <w:r>
        <w:rPr>
          <w:rFonts w:ascii="Times New Roman" w:cs="Times New Roman" w:eastAsia="Times New Roman" w:hAnsi="Times New Roman"/>
          <w:sz w:val="18"/>
          <w:szCs w:val="18"/>
          <w:color w:val="auto"/>
        </w:rPr>
        <w:t>”), BNP PARIBAS (“</w:t>
      </w:r>
      <w:r>
        <w:rPr>
          <w:rFonts w:ascii="Times New Roman" w:cs="Times New Roman" w:eastAsia="Times New Roman" w:hAnsi="Times New Roman"/>
          <w:sz w:val="18"/>
          <w:szCs w:val="18"/>
          <w:b w:val="1"/>
          <w:bCs w:val="1"/>
          <w:u w:val="single" w:color="auto"/>
          <w:color w:val="auto"/>
        </w:rPr>
        <w:t>BNP</w:t>
      </w:r>
      <w:r>
        <w:rPr>
          <w:rFonts w:ascii="Times New Roman" w:cs="Times New Roman" w:eastAsia="Times New Roman" w:hAnsi="Times New Roman"/>
          <w:sz w:val="18"/>
          <w:szCs w:val="18"/>
          <w:color w:val="auto"/>
        </w:rPr>
        <w:t>”), COÖPERATIEVE RABOBANK U.A., NEW YORK BRANCH (“</w:t>
      </w:r>
      <w:r>
        <w:rPr>
          <w:rFonts w:ascii="Times New Roman" w:cs="Times New Roman" w:eastAsia="Times New Roman" w:hAnsi="Times New Roman"/>
          <w:sz w:val="18"/>
          <w:szCs w:val="18"/>
          <w:b w:val="1"/>
          <w:bCs w:val="1"/>
          <w:u w:val="single" w:color="auto"/>
          <w:color w:val="auto"/>
        </w:rPr>
        <w:t>Rabobank</w:t>
      </w:r>
      <w:r>
        <w:rPr>
          <w:rFonts w:ascii="Times New Roman" w:cs="Times New Roman" w:eastAsia="Times New Roman" w:hAnsi="Times New Roman"/>
          <w:sz w:val="18"/>
          <w:szCs w:val="18"/>
          <w:color w:val="auto"/>
        </w:rPr>
        <w:t>”), CRÉDIT AGRICOLE CORPORATE AND INVESTMENT BANK (“</w:t>
      </w:r>
      <w:r>
        <w:rPr>
          <w:rFonts w:ascii="Times New Roman" w:cs="Times New Roman" w:eastAsia="Times New Roman" w:hAnsi="Times New Roman"/>
          <w:sz w:val="18"/>
          <w:szCs w:val="18"/>
          <w:b w:val="1"/>
          <w:bCs w:val="1"/>
          <w:u w:val="single" w:color="auto"/>
          <w:color w:val="auto"/>
        </w:rPr>
        <w:t>Crédit Agricole</w:t>
      </w:r>
      <w:r>
        <w:rPr>
          <w:rFonts w:ascii="Times New Roman" w:cs="Times New Roman" w:eastAsia="Times New Roman" w:hAnsi="Times New Roman"/>
          <w:sz w:val="18"/>
          <w:szCs w:val="18"/>
          <w:color w:val="auto"/>
        </w:rPr>
        <w:t>”), ING CAPITAL LLC (“</w:t>
      </w:r>
      <w:r>
        <w:rPr>
          <w:rFonts w:ascii="Times New Roman" w:cs="Times New Roman" w:eastAsia="Times New Roman" w:hAnsi="Times New Roman"/>
          <w:sz w:val="18"/>
          <w:szCs w:val="18"/>
          <w:b w:val="1"/>
          <w:bCs w:val="1"/>
          <w:u w:val="single" w:color="auto"/>
          <w:color w:val="auto"/>
        </w:rPr>
        <w:t>ING</w:t>
      </w:r>
      <w:r>
        <w:rPr>
          <w:rFonts w:ascii="Times New Roman" w:cs="Times New Roman" w:eastAsia="Times New Roman" w:hAnsi="Times New Roman"/>
          <w:sz w:val="18"/>
          <w:szCs w:val="18"/>
          <w:color w:val="auto"/>
        </w:rPr>
        <w:t>”) and UNICREDIT BANK GMBH (“</w:t>
      </w:r>
      <w:r>
        <w:rPr>
          <w:rFonts w:ascii="Times New Roman" w:cs="Times New Roman" w:eastAsia="Times New Roman" w:hAnsi="Times New Roman"/>
          <w:sz w:val="18"/>
          <w:szCs w:val="18"/>
          <w:b w:val="1"/>
          <w:bCs w:val="1"/>
          <w:u w:val="single" w:color="auto"/>
          <w:color w:val="auto"/>
        </w:rPr>
        <w:t>Unicredit</w:t>
      </w:r>
      <w:r>
        <w:rPr>
          <w:rFonts w:ascii="Times New Roman" w:cs="Times New Roman" w:eastAsia="Times New Roman" w:hAnsi="Times New Roman"/>
          <w:sz w:val="18"/>
          <w:szCs w:val="18"/>
          <w:color w:val="auto"/>
        </w:rPr>
        <w:t>”, and, together with DBSI, BNP, Rabobank, Credit Agricole and ING, the “</w:t>
      </w:r>
      <w:r>
        <w:rPr>
          <w:rFonts w:ascii="Times New Roman" w:cs="Times New Roman" w:eastAsia="Times New Roman" w:hAnsi="Times New Roman"/>
          <w:sz w:val="18"/>
          <w:szCs w:val="18"/>
          <w:b w:val="1"/>
          <w:bCs w:val="1"/>
          <w:u w:val="single" w:color="auto"/>
          <w:color w:val="auto"/>
        </w:rPr>
        <w:t>Sustainability Coordinators</w:t>
      </w:r>
      <w:r>
        <w:rPr>
          <w:rFonts w:ascii="Times New Roman" w:cs="Times New Roman" w:eastAsia="Times New Roman" w:hAnsi="Times New Roman"/>
          <w:sz w:val="18"/>
          <w:szCs w:val="18"/>
          <w:color w:val="auto"/>
        </w:rPr>
        <w:t>”), the Lenders party hereto and DEUTSCHE BANK AG NEW YORK BRANCH, as administrative agent (in such capacity, the “</w:t>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WHEREAS, CROWN AMERICAS LLC, a Pennsylvania limited liability company (“</w:t>
      </w:r>
      <w:r>
        <w:rPr>
          <w:rFonts w:ascii="Times New Roman" w:cs="Times New Roman" w:eastAsia="Times New Roman" w:hAnsi="Times New Roman"/>
          <w:sz w:val="18"/>
          <w:szCs w:val="18"/>
          <w:b w:val="1"/>
          <w:bCs w:val="1"/>
          <w:u w:val="single" w:color="auto"/>
          <w:color w:val="auto"/>
        </w:rPr>
        <w:t>U.S. Borrower</w:t>
      </w:r>
      <w:r>
        <w:rPr>
          <w:rFonts w:ascii="Times New Roman" w:cs="Times New Roman" w:eastAsia="Times New Roman" w:hAnsi="Times New Roman"/>
          <w:sz w:val="18"/>
          <w:szCs w:val="18"/>
          <w:color w:val="auto"/>
        </w:rPr>
        <w:t>”), CROWN EUROPEAN HOLDINGS S.A., a corporation organized under the laws of France (“</w:t>
      </w:r>
      <w:r>
        <w:rPr>
          <w:rFonts w:ascii="Times New Roman" w:cs="Times New Roman" w:eastAsia="Times New Roman" w:hAnsi="Times New Roman"/>
          <w:sz w:val="18"/>
          <w:szCs w:val="18"/>
          <w:b w:val="1"/>
          <w:bCs w:val="1"/>
          <w:u w:val="single" w:color="auto"/>
          <w:color w:val="auto"/>
        </w:rPr>
        <w:t>European Borrower</w:t>
      </w:r>
      <w:r>
        <w:rPr>
          <w:rFonts w:ascii="Times New Roman" w:cs="Times New Roman" w:eastAsia="Times New Roman" w:hAnsi="Times New Roman"/>
          <w:sz w:val="18"/>
          <w:szCs w:val="18"/>
          <w:color w:val="auto"/>
        </w:rPr>
        <w:t>”), each of the Subsidiary Borrowers party thereto, CROWN METAL PACKAGING CANADA LP, a limited partnership organized under the laws of the Province of Ontario, Canada (“</w:t>
      </w:r>
      <w:r>
        <w:rPr>
          <w:rFonts w:ascii="Times New Roman" w:cs="Times New Roman" w:eastAsia="Times New Roman" w:hAnsi="Times New Roman"/>
          <w:sz w:val="18"/>
          <w:szCs w:val="18"/>
          <w:b w:val="1"/>
          <w:bCs w:val="1"/>
          <w:u w:val="single" w:color="auto"/>
          <w:color w:val="auto"/>
        </w:rPr>
        <w:t>Canadian Borrower</w:t>
      </w:r>
      <w:r>
        <w:rPr>
          <w:rFonts w:ascii="Times New Roman" w:cs="Times New Roman" w:eastAsia="Times New Roman" w:hAnsi="Times New Roman"/>
          <w:sz w:val="18"/>
          <w:szCs w:val="18"/>
          <w:color w:val="auto"/>
        </w:rPr>
        <w:t>”, and together with U.S. Borrower, European Borrower and the Subsidiary Borrowers party hereto, “</w:t>
      </w: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color w:val="auto"/>
        </w:rPr>
        <w:t>”), CROWN CORK &amp; SEAL COMPANY, INC., a Pennsylvania corporation (“</w:t>
      </w:r>
      <w:r>
        <w:rPr>
          <w:rFonts w:ascii="Times New Roman" w:cs="Times New Roman" w:eastAsia="Times New Roman" w:hAnsi="Times New Roman"/>
          <w:sz w:val="18"/>
          <w:szCs w:val="18"/>
          <w:b w:val="1"/>
          <w:bCs w:val="1"/>
          <w:u w:val="single" w:color="auto"/>
          <w:color w:val="auto"/>
        </w:rPr>
        <w:t>CCSC</w:t>
      </w:r>
      <w:r>
        <w:rPr>
          <w:rFonts w:ascii="Times New Roman" w:cs="Times New Roman" w:eastAsia="Times New Roman" w:hAnsi="Times New Roman"/>
          <w:sz w:val="18"/>
          <w:szCs w:val="18"/>
          <w:color w:val="auto"/>
        </w:rPr>
        <w:t>”), Crown Holdings, and CROWN INTERNATIONAL HOLDINGS, INC., a Delaware corporation (“</w:t>
      </w:r>
      <w:r>
        <w:rPr>
          <w:rFonts w:ascii="Times New Roman" w:cs="Times New Roman" w:eastAsia="Times New Roman" w:hAnsi="Times New Roman"/>
          <w:sz w:val="18"/>
          <w:szCs w:val="18"/>
          <w:b w:val="1"/>
          <w:bCs w:val="1"/>
          <w:u w:val="single" w:color="auto"/>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International</w:t>
      </w:r>
      <w:r>
        <w:rPr>
          <w:rFonts w:ascii="Times New Roman" w:cs="Times New Roman" w:eastAsia="Times New Roman" w:hAnsi="Times New Roman"/>
          <w:sz w:val="18"/>
          <w:szCs w:val="18"/>
          <w:color w:val="auto"/>
        </w:rPr>
        <w:t>”, and together with CCSC and Crown Holdings, “</w:t>
      </w:r>
      <w:r>
        <w:rPr>
          <w:rFonts w:ascii="Times New Roman" w:cs="Times New Roman" w:eastAsia="Times New Roman" w:hAnsi="Times New Roman"/>
          <w:sz w:val="18"/>
          <w:szCs w:val="18"/>
          <w:b w:val="1"/>
          <w:bCs w:val="1"/>
          <w:u w:val="single" w:color="auto"/>
          <w:color w:val="auto"/>
        </w:rPr>
        <w:t>Parent Guarantors</w:t>
      </w:r>
      <w:r>
        <w:rPr>
          <w:rFonts w:ascii="Times New Roman" w:cs="Times New Roman" w:eastAsia="Times New Roman" w:hAnsi="Times New Roman"/>
          <w:sz w:val="18"/>
          <w:szCs w:val="18"/>
          <w:color w:val="auto"/>
        </w:rPr>
        <w:t>”), the Lenders from time to time party thereto, DEUTSCHE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 NEW YORK BRANCH, as the Administrative Agent, DEUTSCHE BANK AG, LONDON BRANCH, as U.K. administrative agent (in such capacity, “</w:t>
      </w:r>
      <w:r>
        <w:rPr>
          <w:rFonts w:ascii="Times New Roman" w:cs="Times New Roman" w:eastAsia="Times New Roman" w:hAnsi="Times New Roman"/>
          <w:sz w:val="18"/>
          <w:szCs w:val="18"/>
          <w:b w:val="1"/>
          <w:bCs w:val="1"/>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(in such capacity, the “</w:t>
      </w:r>
      <w:r>
        <w:rPr>
          <w:rFonts w:ascii="Times New Roman" w:cs="Times New Roman" w:eastAsia="Times New Roman" w:hAnsi="Times New Roman"/>
          <w:sz w:val="18"/>
          <w:szCs w:val="18"/>
          <w:b w:val="1"/>
          <w:bCs w:val="1"/>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 are party to that certain Amended and Restated Credit Agreement, dated as of April 7, 2017 (as amended by that certain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Amended and Restated Credit Agreement, dated as of December 28, 2017, that certain Incremental Amendment No. 1, dated as of January 29, 2018, that certain Second Amendment to Amended and Restated Credit Agreement, First Amendment to the U.S. Guarantee Agreement and First Amendment to U.S. Indemnity, Subrogation and Contribution Agreement, dated as of March 23, 2018, that certain Incremental Amendment No. 2 and Third Amendment to Amended and Restated Credit Agreement, dated as of December 13, 2019, that certain Fourth Amendment to Amended and Restated Credit Agreement, dated as of October 4, 2021, that certain Incremental Amendment No. 3 and Fifth Amendment to Amended and Restated Credit Agreement, dated as of August 8, 2022, that certain Sixth Amendment to Amended and Restated Credit Agreement, dated as of June 28, 2024, and as further amended, supplemented, amended and restated or otherwise modified from time to time prior to the date hereof, the “</w:t>
      </w:r>
      <w:r>
        <w:rPr>
          <w:rFonts w:ascii="Times New Roman" w:cs="Times New Roman" w:eastAsia="Times New Roman" w:hAnsi="Times New Roman"/>
          <w:sz w:val="18"/>
          <w:szCs w:val="18"/>
          <w:b w:val="1"/>
          <w:bCs w:val="1"/>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Crown Holdings has requested an amendment to the Existing Credit Agreement as set forth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Lenders party hereto constitute the Required Lenders under the Existing Credit Agreement as of the Seventh Amendment Effective Date (as defined below).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Section 2.17 of the Existing Credit Agreement, Crown Holdings, the Lenders constituting the Required Lenders under the Existing Credit Agreement, the Sustainability Coordinators and the Administrative Agent have agreed to amend the Existing Credit Agreement as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hereto effective as of the Seventh Amendment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other good and valuable consideration, the receipt and sufficiency of which are hereby acknowledged, the following shall be effective: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Effective as of the Seventh Amendment Effective Date (as defined below), and subject to the terms and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herein, (i) 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000000"/>
        </w:rPr>
        <w:t>) and to add the double-underlined 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4F81BD"/>
        </w:rPr>
        <w:t>double-underlined text</w:t>
      </w:r>
      <w:r>
        <w:rPr>
          <w:rFonts w:ascii="Times New Roman" w:cs="Times New Roman" w:eastAsia="Times New Roman" w:hAnsi="Times New Roman"/>
          <w:sz w:val="18"/>
          <w:szCs w:val="18"/>
          <w:color w:val="000000"/>
        </w:rPr>
        <w:t>) as set forth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 the pages attached as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hereto (the “</w:t>
      </w:r>
      <w:r>
        <w:rPr>
          <w:rFonts w:ascii="Times New Roman" w:cs="Times New Roman" w:eastAsia="Times New Roman" w:hAnsi="Times New Roman"/>
          <w:sz w:val="18"/>
          <w:szCs w:val="18"/>
          <w:b w:val="1"/>
          <w:bCs w:val="1"/>
          <w:u w:val="single" w:color="auto"/>
          <w:color w:val="000000"/>
        </w:rPr>
        <w:t>Amended Credit Agreement</w:t>
      </w:r>
      <w:r>
        <w:rPr>
          <w:rFonts w:ascii="Times New Roman" w:cs="Times New Roman" w:eastAsia="Times New Roman" w:hAnsi="Times New Roman"/>
          <w:sz w:val="18"/>
          <w:szCs w:val="18"/>
          <w:color w:val="000000"/>
        </w:rPr>
        <w:t xml:space="preserve">”), (ii) Schedule 2.17 to the Amended Credit Agreement is set forth in </w:t>
      </w:r>
      <w:r>
        <w:rPr>
          <w:rFonts w:ascii="Times New Roman" w:cs="Times New Roman" w:eastAsia="Times New Roman" w:hAnsi="Times New Roman"/>
          <w:sz w:val="18"/>
          <w:szCs w:val="18"/>
          <w:u w:val="single" w:color="auto"/>
          <w:color w:val="000000"/>
        </w:rPr>
        <w:t>Exhibit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attached hereto and (iii) Exhibit 2.17 to the Amended Credit Agreement is set forth in </w:t>
      </w:r>
      <w:r>
        <w:rPr>
          <w:rFonts w:ascii="Times New Roman" w:cs="Times New Roman" w:eastAsia="Times New Roman" w:hAnsi="Times New Roman"/>
          <w:sz w:val="18"/>
          <w:szCs w:val="18"/>
          <w:u w:val="single" w:color="auto"/>
          <w:color w:val="000000"/>
        </w:rPr>
        <w:t>Exhibit C</w:t>
      </w:r>
      <w:r>
        <w:rPr>
          <w:rFonts w:ascii="Times New Roman" w:cs="Times New Roman" w:eastAsia="Times New Roman" w:hAnsi="Times New Roman"/>
          <w:sz w:val="18"/>
          <w:szCs w:val="18"/>
          <w:color w:val="000000"/>
        </w:rPr>
        <w:t xml:space="preserve"> attached hereto.</w:t>
      </w:r>
    </w:p>
    <w:p>
      <w:pPr>
        <w:sectPr>
          <w:pgSz w:w="11900" w:h="16838" w:orient="portrait"/>
          <w:cols w:equalWidth="0" w:num="1">
            <w:col w:w="11240"/>
          </w:cols>
          <w:pgMar w:left="320" w:top="1022" w:right="339" w:bottom="1440" w:gutter="0" w:footer="0" w:header="0"/>
        </w:sectPr>
      </w:pPr>
    </w:p>
    <w:bookmarkStart w:id="101" w:name="page102"/>
    <w:bookmarkEnd w:id="10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All capitalized terms used and not otherwise defined herein shall have the same meaning as set forth in the Amended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color w:val="auto"/>
        </w:rPr>
        <w:t>. The effectiveness of this Amendment and the amendments contemplated hereby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the following conditions precedent (the date upon which this Amendment becomes effective, the “</w:t>
      </w:r>
      <w:r>
        <w:rPr>
          <w:rFonts w:ascii="Times New Roman" w:cs="Times New Roman" w:eastAsia="Times New Roman" w:hAnsi="Times New Roman"/>
          <w:sz w:val="18"/>
          <w:szCs w:val="18"/>
          <w:b w:val="1"/>
          <w:bCs w:val="1"/>
          <w:u w:val="single" w:color="auto"/>
          <w:color w:val="auto"/>
        </w:rPr>
        <w:t>Seventh Amendment Effective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393"/>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Administrative Agent (or its counsel) shall have received from (i) the Lenders constituting the Required Lenders under the Existing Credit Agreement, (ii) the Sustainability Coordinators, (iii) Crown Holdings, and (vi) the Administrative Agent, (x) a counterpart of this Amendment signed on behalf of such party or (y) written evidence satisfactory to the Administrative Agent (which may include a telecopy or other electronic transmission of a signed signature page of this Amendment) that such party has signed a counterpart of this Amendment.</w:t>
      </w:r>
    </w:p>
    <w:p>
      <w:pPr>
        <w:spacing w:after="0" w:line="179" w:lineRule="exact"/>
        <w:rPr>
          <w:rFonts w:ascii="Times New Roman" w:cs="Times New Roman" w:eastAsia="Times New Roman" w:hAnsi="Times New Roman"/>
          <w:sz w:val="18"/>
          <w:szCs w:val="18"/>
          <w:color w:val="auto"/>
        </w:rPr>
      </w:pPr>
    </w:p>
    <w:p>
      <w:pPr>
        <w:jc w:val="both"/>
        <w:ind w:left="660" w:hanging="393"/>
        <w:spacing w:after="0" w:line="261" w:lineRule="auto"/>
        <w:tabs>
          <w:tab w:leader="none" w:pos="6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All reasonable costs and expenses (including, without limitation, the reasonable fees, charges and disbursements of counsel for the Administrative Agent) of the Administrative Agent in connection with this Amendment and the transactions contemplated hereby shall have been paid, to the extent invoiced three (3) Business Days (or such shorter period as Crown Holdings may agree) prior to the Seventh Amendment Effective Date.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Crown Holdings represents and warrants to the Administrative Agent, the Sustainability Coordinators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Lenders as of the date hereof that:</w:t>
      </w:r>
    </w:p>
    <w:p>
      <w:pPr>
        <w:spacing w:after="0" w:line="159" w:lineRule="exact"/>
        <w:rPr>
          <w:sz w:val="20"/>
          <w:szCs w:val="20"/>
          <w:color w:val="auto"/>
        </w:rPr>
      </w:pPr>
    </w:p>
    <w:p>
      <w:pPr>
        <w:ind w:left="660" w:right="20" w:hanging="393"/>
        <w:spacing w:after="0" w:line="253"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has the right and power and is duly authorized to execute this Amendment and to perform and observe the provisions of this Amendment, (ii) this Amendment has been duly executed and delivered by Crown Holdings and is the legal, valid and binding obligation of Crown Holdings, enforceable against Crown Holdings in accordance with its terms, subject to applicable bankruptcy, insolvency and similar laws affecting the enforceability of creditors’ rights generally and to general principles of equity, and (iii) the execution, delivery and performance by Crown Holdings of this Amendment, does not and will not (A) contravene the terms of any of Crown Holdings’ Organic Documents; (B) conflict with or result in any breach or contravention of, or constitute a default under, or result in the creation or imposition of (or the obligation to create or impose) any Lien (other than Liens permitted under Section 8.2 of the Credit Agreement) pursuant to, (1) any Contractual Obligation to which Holdings is a party or affecting Crown Holdings or the properties of Crown Holdings or any of its Subsidiaries or (2) any order, injunction, writ or decree of any Governmental Authority or any arbitral award to which Crown Holdings or its property is subject; or (C) violate any Requirement of Law, except in each case referred to in clause (B)(1), (B)(2) or (C), to the extent that such contravention or violation could not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660" w:right="40" w:hanging="393"/>
        <w:spacing w:after="0" w:line="255" w:lineRule="auto"/>
        <w:tabs>
          <w:tab w:leader="none" w:pos="6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Seventh Amendment Effective Date and which remain in full force and effect on the Seventh Amendment Effective Date and (y) filings which are necessary to perfect the security interests created under the Security Documents), or exemption by, any governmental or public body or authority, or any subdivision thereof, is required to be obtained or made by, or on behalf of, Crown Holdings to authorize, or is required to be obtained or made by, or on behalf of, Crown Holdings in connection with, the execution, delivery and performance of this Amendment.</w:t>
      </w:r>
    </w:p>
    <w:p>
      <w:pPr>
        <w:spacing w:after="0" w:line="188" w:lineRule="exact"/>
        <w:rPr>
          <w:rFonts w:ascii="Times New Roman" w:cs="Times New Roman" w:eastAsia="Times New Roman" w:hAnsi="Times New Roman"/>
          <w:sz w:val="18"/>
          <w:szCs w:val="18"/>
          <w:color w:val="auto"/>
        </w:rPr>
      </w:pPr>
    </w:p>
    <w:p>
      <w:pPr>
        <w:ind w:left="660" w:right="40" w:hanging="393"/>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giving effect to this Amendment, the representations and warranties of the Borrowers and Guarantors set forth in the Amended Credit Agreement and the other Loan Documents are true and correct in all material respects (except that any representation and warranty that is qualified as to “materiality” or “Material Adverse Effect” is true and correct in all respects) as of the date hereof,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w:t>
      </w:r>
    </w:p>
    <w:p>
      <w:pPr>
        <w:sectPr>
          <w:pgSz w:w="11900" w:h="16838" w:orient="portrait"/>
          <w:cols w:equalWidth="0" w:num="1">
            <w:col w:w="11240"/>
          </w:cols>
          <w:pgMar w:left="320" w:top="1022" w:right="339" w:bottom="1440" w:gutter="0" w:footer="0" w:header="0"/>
        </w:sectPr>
      </w:pPr>
    </w:p>
    <w:bookmarkStart w:id="102" w:name="page103"/>
    <w:bookmarkEnd w:id="102"/>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respects) as of such earlier date, and except that the representations and warranties contained in Section 6.5(a) of the Amended Credit Agreement shall be deemed to refer to the most recent financial statements furnished pursuant to Section 7.1 of the Amended Credit Agreement immediately prior to Seventh Amendment Effective Date.</w:t>
      </w:r>
    </w:p>
    <w:p>
      <w:pPr>
        <w:spacing w:after="0" w:line="176" w:lineRule="exact"/>
        <w:rPr>
          <w:sz w:val="20"/>
          <w:szCs w:val="20"/>
          <w:color w:val="auto"/>
        </w:rPr>
      </w:pPr>
    </w:p>
    <w:p>
      <w:pPr>
        <w:ind w:left="660" w:right="20" w:hanging="393"/>
        <w:spacing w:after="0" w:line="282" w:lineRule="auto"/>
        <w:tabs>
          <w:tab w:leader="none" w:pos="6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giving effect to this Amendment, no Unmatured Event of Default or Event of Default has occurred and is continuing.</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b w:val="1"/>
          <w:bCs w:val="1"/>
          <w:u w:val="single" w:color="auto"/>
          <w:color w:val="auto"/>
        </w:rPr>
        <w:t>Acknowledgment and Affirmation</w:t>
      </w:r>
      <w:r>
        <w:rPr>
          <w:rFonts w:ascii="Times New Roman" w:cs="Times New Roman" w:eastAsia="Times New Roman" w:hAnsi="Times New Roman"/>
          <w:sz w:val="18"/>
          <w:szCs w:val="18"/>
          <w:color w:val="auto"/>
        </w:rPr>
        <w:t>. Crown Holdings, on behalf of itself and each other Credit Party, hereby (i) expressly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Amended Credit Agreement, (ii) ratifies and affirms after giving effect to this Amendment the obligations under the Loan Documents (including guarantees and security agreements), (iii) after giving effect to this Amendment, acknowledges, renews and extends its continued liability under all such Loan Documents and agrees such Loan Documents remain in full force and effect, (iv) agrees that all Collateral shall rank as continuing security for the payment and discharge of the Obligations under or in connection with the Amended Credit Agreement or the Security Documents with effect from the date of its creation and (v) agrees that all Security Documents and the Collateral constituted thereby shall continue in full force and effect in all respects and the Security Documents and this Amendment shall be read and construed together.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Crown Holdings agrees to reimburse the Administrative Agent and the Sustainability Coordinators for their reasonable out-of-pocket expenses incurred by them in connection with this Amendment, including the reasonable fees, charges and disbursements of Cahill Gordon &amp; Reindel LLP, New York counsel for the Administrative Agent.</w:t>
      </w:r>
    </w:p>
    <w:p>
      <w:pPr>
        <w:spacing w:after="0" w:line="1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this Amendment shall not alter, modify, amend or in any way affect any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obligations, covenants or agreements contained in the Existing Credit Agreement or any other provision of the Existing Credit Agreement or any other Loan Document, all of which are ratified and affirmed in all respects and shall continue in full force and effect.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Amendment which is prohibited or unenforceable in any jurisdiction shall, as to such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prohibition or unenforceability without invalidating the remaining provision hereof or affecting the validity or enforceability of such provision in any other jurisdiction.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interpretation and enforcement of this Amendment and any dispute arising out of the relationship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u w:val="single" w:color="auto"/>
          <w:color w:val="auto"/>
        </w:rPr>
        <w:t>Counterparts; Effectiveness; Electronic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counterparts (and by different parties 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counterparts), each of which shall constitute an original, but all of which when taken together shall constitute a single agreement. Except as provided in Article III, this Amendment shall become effective when it shall have been executed by the Administrative Agent. Delivery of an executed counterpart of a signature page of this Amendment by facsimile or other electronic imaging (e.g., “pdf” or “tif”)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pgSz w:w="11900" w:h="16838" w:orient="portrait"/>
          <w:cols w:equalWidth="0" w:num="1">
            <w:col w:w="11240"/>
          </w:cols>
          <w:pgMar w:left="320" w:top="1026" w:right="339" w:bottom="1440" w:gutter="0" w:footer="0" w:header="0"/>
        </w:sectPr>
      </w:pPr>
    </w:p>
    <w:bookmarkStart w:id="103" w:name="page104"/>
    <w:bookmarkEnd w:id="103"/>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8"/>
          <w:szCs w:val="18"/>
          <w:u w:val="single" w:color="auto"/>
          <w:color w:val="auto"/>
        </w:rPr>
        <w:t xml:space="preserve">Headings. </w:t>
      </w:r>
      <w:r>
        <w:rPr>
          <w:rFonts w:ascii="Times New Roman" w:cs="Times New Roman" w:eastAsia="Times New Roman" w:hAnsi="Times New Roman"/>
          <w:sz w:val="18"/>
          <w:szCs w:val="18"/>
          <w:color w:val="auto"/>
        </w:rPr>
        <w:t>The headings of this Amendment are for purposes of reference only and shall not limit or otherwise affect the meaning hereof.</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u w:val="single" w:color="auto"/>
          <w:color w:val="auto"/>
        </w:rPr>
        <w:t>Reference to and Effect on the Existing Credit Agreement and the 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Seventh Amendment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reference in the Amended Credit Agreement to “this Agreement,” “hereunder,” “hereof,” “herein,” or words of like import, and each reference in the other Loan Documents to the “Credit Agreement” (including, without limitation, by means of words like “thereunder,” “thereof” and words of like import), shall mean and be a reference to the Amended Credit Agreement, and this Amendment and the Amended Credit Agreement shall be read together and construed as a single instrument. This Amendment shall constitute a Loan Document. This Amendment shall not constitute a novation of the Existing Credit Agreement or any other Loan Document.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240"/>
          </w:cols>
          <w:pgMar w:left="320" w:top="1022" w:right="339" w:bottom="1440" w:gutter="0" w:footer="0" w:header="0"/>
        </w:sectPr>
      </w:pPr>
    </w:p>
    <w:bookmarkStart w:id="104" w:name="page105"/>
    <w:bookmarkEnd w:id="10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its respective authorized officer(s)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2286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Seventh Amendment]</w:t>
      </w:r>
    </w:p>
    <w:p>
      <w:pPr>
        <w:sectPr>
          <w:pgSz w:w="11900" w:h="16838" w:orient="portrait"/>
          <w:cols w:equalWidth="0" w:num="1">
            <w:col w:w="11200"/>
          </w:cols>
          <w:pgMar w:left="320" w:top="1026" w:right="379" w:bottom="1440" w:gutter="0" w:footer="0" w:header="0"/>
        </w:sectPr>
      </w:pPr>
    </w:p>
    <w:bookmarkStart w:id="105" w:name="page106"/>
    <w:bookmarkEnd w:id="105"/>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DEUTSCHE BANK AG NEW YORK BRANCH,</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_________________________________</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_________________________________</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Seventh Amendment]</w:t>
      </w:r>
    </w:p>
    <w:p>
      <w:pPr>
        <w:sectPr>
          <w:pgSz w:w="11900" w:h="16838" w:orient="portrait"/>
          <w:cols w:equalWidth="0" w:num="1">
            <w:col w:w="9019"/>
          </w:cols>
          <w:pgMar w:left="1440" w:top="1440" w:right="1440" w:bottom="1440" w:gutter="0" w:footer="0" w:header="0"/>
          <w:type w:val="continuous"/>
        </w:sectPr>
      </w:pPr>
    </w:p>
    <w:bookmarkStart w:id="106" w:name="page107"/>
    <w:bookmarkEnd w:id="106"/>
    <w:p>
      <w:pPr>
        <w:ind w:left="3000"/>
        <w:spacing w:after="0"/>
        <w:rPr>
          <w:sz w:val="20"/>
          <w:szCs w:val="20"/>
          <w:color w:val="auto"/>
        </w:rPr>
      </w:pPr>
      <w:r>
        <w:rPr>
          <w:rFonts w:ascii="Times New Roman" w:cs="Times New Roman" w:eastAsia="Times New Roman" w:hAnsi="Times New Roman"/>
          <w:sz w:val="17"/>
          <w:szCs w:val="17"/>
          <w:color w:val="auto"/>
        </w:rPr>
        <w:t>DEUTSCHE BANK SECURITIES INC.,</w:t>
      </w:r>
    </w:p>
    <w:p>
      <w:pPr>
        <w:spacing w:after="0" w:line="3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as a Sustainability Coordinator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Seventh Amendment]</w:t>
      </w:r>
    </w:p>
    <w:p>
      <w:pPr>
        <w:sectPr>
          <w:pgSz w:w="11900" w:h="16838" w:orient="portrait"/>
          <w:cols w:equalWidth="0" w:num="1">
            <w:col w:w="9019"/>
          </w:cols>
          <w:pgMar w:left="1440" w:top="1269" w:right="1440" w:bottom="1440" w:gutter="0" w:footer="0" w:header="0"/>
          <w:type w:val="continuous"/>
        </w:sectPr>
      </w:pPr>
    </w:p>
    <w:bookmarkStart w:id="107" w:name="page108"/>
    <w:bookmarkEnd w:id="107"/>
    <w:p>
      <w:pPr>
        <w:ind w:left="2120"/>
        <w:spacing w:after="0"/>
        <w:rPr>
          <w:sz w:val="20"/>
          <w:szCs w:val="20"/>
          <w:color w:val="auto"/>
        </w:rPr>
      </w:pPr>
      <w:r>
        <w:rPr>
          <w:rFonts w:ascii="Times New Roman" w:cs="Times New Roman" w:eastAsia="Times New Roman" w:hAnsi="Times New Roman"/>
          <w:sz w:val="17"/>
          <w:szCs w:val="17"/>
          <w:color w:val="auto"/>
        </w:rPr>
        <w:t>BNP PARIBAS.,</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 Sustainability Coordinator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Seventh Amendment]</w:t>
      </w:r>
    </w:p>
    <w:p>
      <w:pPr>
        <w:sectPr>
          <w:pgSz w:w="11900" w:h="16838" w:orient="portrait"/>
          <w:cols w:equalWidth="0" w:num="1">
            <w:col w:w="9019"/>
          </w:cols>
          <w:pgMar w:left="1440" w:top="1269" w:right="1440" w:bottom="1440" w:gutter="0" w:footer="0" w:header="0"/>
          <w:type w:val="continuous"/>
        </w:sectPr>
      </w:pPr>
    </w:p>
    <w:bookmarkStart w:id="108" w:name="page109"/>
    <w:bookmarkEnd w:id="108"/>
    <w:p>
      <w:pPr>
        <w:ind w:left="2520" w:right="1959" w:hanging="388"/>
        <w:spacing w:after="0" w:line="282" w:lineRule="auto"/>
        <w:rPr>
          <w:sz w:val="20"/>
          <w:szCs w:val="20"/>
          <w:color w:val="auto"/>
        </w:rPr>
      </w:pPr>
      <w:r>
        <w:rPr>
          <w:rFonts w:ascii="Times New Roman" w:cs="Times New Roman" w:eastAsia="Times New Roman" w:hAnsi="Times New Roman"/>
          <w:sz w:val="18"/>
          <w:szCs w:val="18"/>
          <w:color w:val="auto"/>
        </w:rPr>
        <w:t>CRÉDIT AGRICOLE CORPORATE AND INVESTMENT BANK, as a Sustainability Coordinator</w:t>
      </w:r>
    </w:p>
    <w:p>
      <w:pPr>
        <w:spacing w:after="0" w:line="1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Seventh Amendment]</w:t>
      </w:r>
    </w:p>
    <w:p>
      <w:pPr>
        <w:sectPr>
          <w:pgSz w:w="11900" w:h="16838" w:orient="portrait"/>
          <w:cols w:equalWidth="0" w:num="1">
            <w:col w:w="9019"/>
          </w:cols>
          <w:pgMar w:left="1440" w:top="1269" w:right="1440" w:bottom="1440" w:gutter="0" w:footer="0" w:header="0"/>
          <w:type w:val="continuous"/>
        </w:sectPr>
      </w:pPr>
    </w:p>
    <w:bookmarkStart w:id="109" w:name="page110"/>
    <w:bookmarkEnd w:id="109"/>
    <w:p>
      <w:pPr>
        <w:ind w:left="400" w:right="2199" w:firstLine="1719"/>
        <w:spacing w:after="0" w:line="282" w:lineRule="auto"/>
        <w:rPr>
          <w:sz w:val="20"/>
          <w:szCs w:val="20"/>
          <w:color w:val="auto"/>
        </w:rPr>
      </w:pPr>
      <w:r>
        <w:rPr>
          <w:rFonts w:ascii="Times New Roman" w:cs="Times New Roman" w:eastAsia="Times New Roman" w:hAnsi="Times New Roman"/>
          <w:sz w:val="18"/>
          <w:szCs w:val="18"/>
          <w:color w:val="auto"/>
        </w:rPr>
        <w:t>COÖPERATIEVE RABOBANK U.A., NEW YORK BRANCH, as a Sustainability Coordinator</w:t>
      </w:r>
    </w:p>
    <w:p>
      <w:pPr>
        <w:spacing w:after="0" w:line="1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Seventh Amendment]</w:t>
      </w:r>
    </w:p>
    <w:p>
      <w:pPr>
        <w:sectPr>
          <w:pgSz w:w="11900" w:h="16838" w:orient="portrait"/>
          <w:cols w:equalWidth="0" w:num="1">
            <w:col w:w="9019"/>
          </w:cols>
          <w:pgMar w:left="1440" w:top="1269" w:right="1440" w:bottom="1440" w:gutter="0" w:footer="0" w:header="0"/>
        </w:sectPr>
      </w:pPr>
    </w:p>
    <w:bookmarkStart w:id="110" w:name="page111"/>
    <w:bookmarkEnd w:id="110"/>
    <w:p>
      <w:pPr>
        <w:ind w:left="2120"/>
        <w:spacing w:after="0"/>
        <w:rPr>
          <w:sz w:val="20"/>
          <w:szCs w:val="20"/>
          <w:color w:val="auto"/>
        </w:rPr>
      </w:pPr>
      <w:r>
        <w:rPr>
          <w:rFonts w:ascii="Times New Roman" w:cs="Times New Roman" w:eastAsia="Times New Roman" w:hAnsi="Times New Roman"/>
          <w:sz w:val="18"/>
          <w:szCs w:val="18"/>
          <w:color w:val="auto"/>
        </w:rPr>
        <w:t>ING CAPITAL LLC,</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as a Sustainability Coordinator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Seventh Amendment]</w:t>
      </w:r>
    </w:p>
    <w:p>
      <w:pPr>
        <w:sectPr>
          <w:pgSz w:w="11900" w:h="16838" w:orient="portrait"/>
          <w:cols w:equalWidth="0" w:num="1">
            <w:col w:w="9019"/>
          </w:cols>
          <w:pgMar w:left="1440" w:top="1026" w:right="1440" w:bottom="1440" w:gutter="0" w:footer="0" w:header="0"/>
        </w:sectPr>
      </w:pPr>
    </w:p>
    <w:bookmarkStart w:id="111" w:name="page112"/>
    <w:bookmarkEnd w:id="111"/>
    <w:p>
      <w:pPr>
        <w:ind w:left="2120"/>
        <w:spacing w:after="0"/>
        <w:rPr>
          <w:sz w:val="20"/>
          <w:szCs w:val="20"/>
          <w:color w:val="auto"/>
        </w:rPr>
      </w:pPr>
      <w:r>
        <w:rPr>
          <w:rFonts w:ascii="Times New Roman" w:cs="Times New Roman" w:eastAsia="Times New Roman" w:hAnsi="Times New Roman"/>
          <w:sz w:val="18"/>
          <w:szCs w:val="18"/>
          <w:color w:val="auto"/>
        </w:rPr>
        <w:t>UNICREDIT BANK GMBH, as a Sustainability Coordinator</w:t>
      </w:r>
    </w:p>
    <w:p>
      <w:pPr>
        <w:spacing w:after="0" w:line="200" w:lineRule="exact"/>
        <w:rPr>
          <w:sz w:val="20"/>
          <w:szCs w:val="20"/>
          <w:color w:val="auto"/>
        </w:rPr>
      </w:pPr>
    </w:p>
    <w:p>
      <w:pPr>
        <w:spacing w:after="0" w:line="2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-7620</wp:posOffset>
            </wp:positionV>
            <wp:extent cx="571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Seventh Amendment]</w:t>
      </w:r>
    </w:p>
    <w:p>
      <w:pPr>
        <w:sectPr>
          <w:pgSz w:w="11900" w:h="16838" w:orient="portrait"/>
          <w:cols w:equalWidth="0" w:num="1">
            <w:col w:w="9019"/>
          </w:cols>
          <w:pgMar w:left="1440" w:top="1026"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LENDER SIGNATURE PAGE</w:t>
      </w:r>
    </w:p>
    <w:p>
      <w:pPr>
        <w:spacing w:after="0" w:line="200" w:lineRule="exact"/>
        <w:rPr>
          <w:sz w:val="20"/>
          <w:szCs w:val="20"/>
          <w:color w:val="auto"/>
        </w:rPr>
      </w:pPr>
    </w:p>
    <w:p>
      <w:pPr>
        <w:spacing w:after="0" w:line="24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By executing a counterpart to this Amendment, the undersigned institution agrees to the terms of the Amendment and the Credit Agreement as amended thereby.</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Name of Institution: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-5080</wp:posOffset>
            </wp:positionV>
            <wp:extent cx="257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-7620</wp:posOffset>
            </wp:positionV>
            <wp:extent cx="2286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[For any Person requiring a second signature block:]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-7620</wp:posOffset>
            </wp:positionV>
            <wp:extent cx="2286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to Seventh Amendment]</w:t>
      </w:r>
    </w:p>
    <w:p>
      <w:pPr>
        <w:sectPr>
          <w:pgSz w:w="11900" w:h="16838" w:orient="portrait"/>
          <w:cols w:equalWidth="0" w:num="1">
            <w:col w:w="11240"/>
          </w:cols>
          <w:pgMar w:left="320" w:top="1022"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AMENDED CREDIT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0120"/>
          </w:cols>
          <w:pgMar w:left="1440" w:top="1022" w:right="339" w:bottom="1440" w:gutter="0" w:footer="0" w:header="0"/>
        </w:sectPr>
      </w:pPr>
    </w:p>
    <w:bookmarkStart w:id="114" w:name="page115"/>
    <w:bookmarkEnd w:id="114"/>
    <w:p>
      <w:pPr>
        <w:spacing w:after="0" w:line="4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2.17</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 Table</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20" w:type="dxa"/>
            <w:vAlign w:val="bottom"/>
            <w:tcBorders>
              <w:top w:val="single" w:sz="8" w:color="auto"/>
              <w:left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KPI Metrics</w:t>
            </w:r>
          </w:p>
        </w:tc>
        <w:tc>
          <w:tcPr>
            <w:tcW w:w="1580" w:type="dxa"/>
            <w:vAlign w:val="bottom"/>
            <w:tcBorders>
              <w:top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Baseline</w:t>
            </w:r>
          </w:p>
        </w:tc>
        <w:tc>
          <w:tcPr>
            <w:tcW w:w="1340" w:type="dxa"/>
            <w:vAlign w:val="bottom"/>
            <w:tcBorders>
              <w:top w:val="single" w:sz="8" w:color="auto"/>
              <w:bottom w:val="single" w:sz="8" w:color="auto"/>
            </w:tcBorders>
            <w:shd w:val="clear" w:color="auto" w:fill="A6A6A6"/>
          </w:tcPr>
          <w:p>
            <w:pPr>
              <w:spacing w:after="0"/>
              <w:rPr>
                <w:sz w:val="21"/>
                <w:szCs w:val="21"/>
                <w:color w:val="auto"/>
              </w:rPr>
            </w:pPr>
          </w:p>
        </w:tc>
        <w:tc>
          <w:tcPr>
            <w:tcW w:w="3660" w:type="dxa"/>
            <w:vAlign w:val="bottom"/>
            <w:tcBorders>
              <w:top w:val="single" w:sz="8" w:color="auto"/>
              <w:bottom w:val="single" w:sz="8" w:color="auto"/>
            </w:tcBorders>
            <w:gridSpan w:val="4"/>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FFFFFF"/>
              </w:rPr>
              <w:t>Annual Sustainability Targets &amp; Thresholds</w:t>
            </w:r>
          </w:p>
        </w:tc>
        <w:tc>
          <w:tcPr>
            <w:tcW w:w="1340" w:type="dxa"/>
            <w:vAlign w:val="bottom"/>
            <w:tcBorders>
              <w:top w:val="single" w:sz="8" w:color="auto"/>
              <w:bottom w:val="single" w:sz="8" w:color="auto"/>
              <w:right w:val="single" w:sz="8" w:color="auto"/>
            </w:tcBorders>
            <w:shd w:val="clear" w:color="auto" w:fill="A6A6A6"/>
          </w:tcPr>
          <w:p>
            <w:pPr>
              <w:spacing w:after="0"/>
              <w:rPr>
                <w:sz w:val="21"/>
                <w:szCs w:val="21"/>
                <w:color w:val="auto"/>
              </w:rPr>
            </w:pPr>
          </w:p>
        </w:tc>
        <w:tc>
          <w:tcPr>
            <w:tcW w:w="1720" w:type="dxa"/>
            <w:vAlign w:val="bottom"/>
            <w:tcBorders>
              <w:top w:val="single" w:sz="8" w:color="auto"/>
              <w:bottom w:val="single" w:sz="8" w:color="auto"/>
              <w:right w:val="single" w:sz="8" w:color="auto"/>
            </w:tcBorders>
            <w:shd w:val="clear" w:color="auto" w:fill="A6A6A6"/>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Reference Year 2023</w:t>
            </w:r>
          </w:p>
        </w:tc>
        <w:tc>
          <w:tcPr>
            <w:tcW w:w="15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Reference Year 2024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Reference Year 2025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Reference Year 2026</w:t>
            </w:r>
          </w:p>
        </w:tc>
        <w:tc>
          <w:tcPr>
            <w:tcW w:w="16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Reference Year 2027</w:t>
            </w:r>
          </w:p>
        </w:tc>
        <w:tc>
          <w:tcPr>
            <w:tcW w:w="1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2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Greenhouse Gas</w:t>
            </w:r>
          </w:p>
        </w:tc>
        <w:tc>
          <w:tcPr>
            <w:tcW w:w="1580" w:type="dxa"/>
            <w:vAlign w:val="bottom"/>
            <w:tcBorders>
              <w:right w:val="single" w:sz="8" w:color="auto"/>
            </w:tcBorders>
            <w:shd w:val="clear" w:color="auto" w:fill="F2F2F2"/>
          </w:tcPr>
          <w:p>
            <w:pPr>
              <w:spacing w:after="0"/>
              <w:rPr>
                <w:sz w:val="15"/>
                <w:szCs w:val="15"/>
                <w:color w:val="auto"/>
              </w:rPr>
            </w:pPr>
          </w:p>
        </w:tc>
        <w:tc>
          <w:tcPr>
            <w:tcW w:w="13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 1,066,097</w:t>
            </w:r>
          </w:p>
        </w:tc>
        <w:tc>
          <w:tcPr>
            <w:tcW w:w="2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1,012,792</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962,152</w:t>
            </w:r>
          </w:p>
        </w:tc>
        <w:tc>
          <w:tcPr>
            <w:tcW w:w="260" w:type="dxa"/>
            <w:vAlign w:val="bottom"/>
          </w:tcPr>
          <w:p>
            <w:pPr>
              <w:spacing w:after="0"/>
              <w:rPr>
                <w:sz w:val="15"/>
                <w:szCs w:val="15"/>
                <w:color w:val="auto"/>
              </w:rPr>
            </w:pPr>
          </w:p>
        </w:tc>
        <w:tc>
          <w:tcPr>
            <w:tcW w:w="134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 914,045</w:t>
            </w:r>
          </w:p>
        </w:tc>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Greenhouse Gas</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580" w:type="dxa"/>
            <w:vAlign w:val="bottom"/>
            <w:tcBorders>
              <w:right w:val="single" w:sz="8" w:color="auto"/>
            </w:tcBorders>
            <w:shd w:val="clear" w:color="auto" w:fill="F2F2F2"/>
          </w:tcPr>
          <w:p>
            <w:pPr>
              <w:spacing w:after="0"/>
              <w:rPr>
                <w:sz w:val="9"/>
                <w:szCs w:val="9"/>
                <w:color w:val="auto"/>
              </w:rPr>
            </w:pPr>
          </w:p>
        </w:tc>
        <w:tc>
          <w:tcPr>
            <w:tcW w:w="13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Footprint Target</w:t>
            </w:r>
          </w:p>
        </w:tc>
        <w:tc>
          <w:tcPr>
            <w:tcW w:w="0" w:type="dxa"/>
            <w:vAlign w:val="bottom"/>
          </w:tcPr>
          <w:p>
            <w:pPr>
              <w:spacing w:after="0"/>
              <w:rPr>
                <w:sz w:val="1"/>
                <w:szCs w:val="1"/>
                <w:color w:val="auto"/>
              </w:rPr>
            </w:pPr>
          </w:p>
        </w:tc>
      </w:tr>
      <w:tr>
        <w:trPr>
          <w:trHeight w:val="130"/>
        </w:trPr>
        <w:tc>
          <w:tcPr>
            <w:tcW w:w="1620" w:type="dxa"/>
            <w:vAlign w:val="bottom"/>
            <w:tcBorders>
              <w:left w:val="single" w:sz="8" w:color="auto"/>
              <w:bottom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Footprint </w:t>
            </w:r>
            <w:r>
              <w:rPr>
                <w:rFonts w:ascii="Times New Roman" w:cs="Times New Roman" w:eastAsia="Times New Roman" w:hAnsi="Times New Roman"/>
                <w:sz w:val="18"/>
                <w:szCs w:val="18"/>
                <w:color w:val="auto"/>
                <w:w w:val="98"/>
              </w:rPr>
              <w:t>(MT</w:t>
            </w:r>
          </w:p>
        </w:tc>
        <w:tc>
          <w:tcPr>
            <w:tcW w:w="1580" w:type="dxa"/>
            <w:vAlign w:val="bottom"/>
            <w:tcBorders>
              <w:bottom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1,122,207</w:t>
            </w:r>
          </w:p>
        </w:tc>
        <w:tc>
          <w:tcPr>
            <w:tcW w:w="134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vMerge w:val="continue"/>
            <w:shd w:val="clear" w:color="auto" w:fill="F2F2F2"/>
          </w:tcPr>
          <w:p>
            <w:pPr>
              <w:spacing w:after="0"/>
              <w:rPr>
                <w:sz w:val="6"/>
                <w:szCs w:val="6"/>
                <w:color w:val="auto"/>
              </w:rPr>
            </w:pPr>
          </w:p>
        </w:tc>
        <w:tc>
          <w:tcPr>
            <w:tcW w:w="1580" w:type="dxa"/>
            <w:vAlign w:val="bottom"/>
            <w:tcBorders>
              <w:right w:val="single" w:sz="8" w:color="auto"/>
            </w:tcBorders>
            <w:vMerge w:val="continue"/>
            <w:shd w:val="clear" w:color="auto" w:fill="F2F2F2"/>
          </w:tcPr>
          <w:p>
            <w:pPr>
              <w:spacing w:after="0"/>
              <w:rPr>
                <w:sz w:val="6"/>
                <w:szCs w:val="6"/>
                <w:color w:val="auto"/>
              </w:rPr>
            </w:pPr>
          </w:p>
        </w:tc>
        <w:tc>
          <w:tcPr>
            <w:tcW w:w="13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restart"/>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Greenhouse Gas</w:t>
            </w:r>
          </w:p>
        </w:tc>
        <w:tc>
          <w:tcPr>
            <w:tcW w:w="0" w:type="dxa"/>
            <w:vAlign w:val="bottom"/>
          </w:tcPr>
          <w:p>
            <w:pPr>
              <w:spacing w:after="0"/>
              <w:rPr>
                <w:sz w:val="1"/>
                <w:szCs w:val="1"/>
                <w:color w:val="auto"/>
              </w:rPr>
            </w:pPr>
          </w:p>
        </w:tc>
      </w:tr>
      <w:tr>
        <w:trPr>
          <w:trHeight w:val="104"/>
        </w:trPr>
        <w:tc>
          <w:tcPr>
            <w:tcW w:w="162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CO2e)</w:t>
            </w:r>
          </w:p>
        </w:tc>
        <w:tc>
          <w:tcPr>
            <w:tcW w:w="1580" w:type="dxa"/>
            <w:vAlign w:val="bottom"/>
            <w:tcBorders>
              <w:right w:val="single" w:sz="8" w:color="auto"/>
            </w:tcBorders>
            <w:shd w:val="clear" w:color="auto" w:fill="F2F2F2"/>
          </w:tcPr>
          <w:p>
            <w:pPr>
              <w:spacing w:after="0"/>
              <w:rPr>
                <w:sz w:val="9"/>
                <w:szCs w:val="9"/>
                <w:color w:val="auto"/>
              </w:rPr>
            </w:pPr>
          </w:p>
        </w:tc>
        <w:tc>
          <w:tcPr>
            <w:tcW w:w="13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&gt; 1,100,000</w:t>
            </w:r>
          </w:p>
        </w:tc>
        <w:tc>
          <w:tcPr>
            <w:tcW w:w="2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1,075,000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1,030,000</w:t>
            </w:r>
          </w:p>
        </w:tc>
        <w:tc>
          <w:tcPr>
            <w:tcW w:w="26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&gt; 975,000</w:t>
            </w:r>
          </w:p>
        </w:tc>
        <w:tc>
          <w:tcPr>
            <w:tcW w:w="1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vMerge w:val="continue"/>
            <w:shd w:val="clear" w:color="auto" w:fill="F2F2F2"/>
          </w:tcPr>
          <w:p>
            <w:pPr>
              <w:spacing w:after="0"/>
              <w:rPr>
                <w:sz w:val="12"/>
                <w:szCs w:val="12"/>
                <w:color w:val="auto"/>
              </w:rPr>
            </w:pPr>
          </w:p>
        </w:tc>
        <w:tc>
          <w:tcPr>
            <w:tcW w:w="1580" w:type="dxa"/>
            <w:vAlign w:val="bottom"/>
            <w:tcBorders>
              <w:right w:val="single" w:sz="8" w:color="auto"/>
            </w:tcBorders>
            <w:shd w:val="clear" w:color="auto" w:fill="F2F2F2"/>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Footprint Threshold</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1580" w:type="dxa"/>
            <w:vAlign w:val="bottom"/>
            <w:tcBorders>
              <w:bottom w:val="single" w:sz="8" w:color="auto"/>
              <w:right w:val="single" w:sz="8" w:color="auto"/>
            </w:tcBorders>
            <w:shd w:val="clear" w:color="auto" w:fill="F2F2F2"/>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6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Recordable</w:t>
            </w:r>
          </w:p>
        </w:tc>
        <w:tc>
          <w:tcPr>
            <w:tcW w:w="1580" w:type="dxa"/>
            <w:vAlign w:val="bottom"/>
            <w:tcBorders>
              <w:right w:val="single" w:sz="8" w:color="auto"/>
            </w:tcBorders>
            <w:shd w:val="clear" w:color="auto" w:fill="F2F2F2"/>
          </w:tcPr>
          <w:p>
            <w:pPr>
              <w:spacing w:after="0"/>
              <w:rPr>
                <w:sz w:val="24"/>
                <w:szCs w:val="24"/>
                <w:color w:val="auto"/>
              </w:rPr>
            </w:pPr>
          </w:p>
        </w:tc>
        <w:tc>
          <w:tcPr>
            <w:tcW w:w="1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0.85</w:t>
            </w:r>
          </w:p>
        </w:tc>
        <w:tc>
          <w:tcPr>
            <w:tcW w:w="2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0.78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0.77</w:t>
            </w: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 0.75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TRIR Target</w:t>
            </w:r>
          </w:p>
        </w:tc>
        <w:tc>
          <w:tcPr>
            <w:tcW w:w="0" w:type="dxa"/>
            <w:vAlign w:val="bottom"/>
          </w:tcPr>
          <w:p>
            <w:pPr>
              <w:spacing w:after="0"/>
              <w:rPr>
                <w:sz w:val="1"/>
                <w:szCs w:val="1"/>
                <w:color w:val="auto"/>
              </w:rPr>
            </w:pPr>
          </w:p>
        </w:tc>
      </w:tr>
      <w:tr>
        <w:trPr>
          <w:trHeight w:val="117"/>
        </w:trPr>
        <w:tc>
          <w:tcPr>
            <w:tcW w:w="1620" w:type="dxa"/>
            <w:vAlign w:val="bottom"/>
            <w:tcBorders>
              <w:left w:val="single" w:sz="8" w:color="auto"/>
              <w:bottom w:val="single" w:sz="8" w:color="F2F2F2"/>
              <w:right w:val="single" w:sz="8" w:color="auto"/>
            </w:tcBorders>
            <w:vMerge w:val="restart"/>
            <w:shd w:val="clear" w:color="auto" w:fill="F2F2F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Incident Rate</w:t>
            </w:r>
          </w:p>
        </w:tc>
        <w:tc>
          <w:tcPr>
            <w:tcW w:w="1580" w:type="dxa"/>
            <w:vAlign w:val="bottom"/>
            <w:tcBorders>
              <w:bottom w:val="single" w:sz="8" w:color="F2F2F2"/>
              <w:right w:val="single" w:sz="8" w:color="auto"/>
            </w:tcBorders>
            <w:vMerge w:val="restart"/>
            <w:shd w:val="clear" w:color="auto" w:fill="F2F2F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0.92</w:t>
            </w: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620" w:type="dxa"/>
            <w:vAlign w:val="bottom"/>
            <w:tcBorders>
              <w:left w:val="single" w:sz="8" w:color="auto"/>
              <w:right w:val="single" w:sz="8" w:color="auto"/>
            </w:tcBorders>
            <w:vMerge w:val="continue"/>
            <w:shd w:val="clear" w:color="auto" w:fill="F2F2F2"/>
          </w:tcPr>
          <w:p>
            <w:pPr>
              <w:spacing w:after="0"/>
              <w:rPr>
                <w:sz w:val="4"/>
                <w:szCs w:val="4"/>
                <w:color w:val="auto"/>
              </w:rPr>
            </w:pPr>
          </w:p>
        </w:tc>
        <w:tc>
          <w:tcPr>
            <w:tcW w:w="1580" w:type="dxa"/>
            <w:vAlign w:val="bottom"/>
            <w:tcBorders>
              <w:right w:val="single" w:sz="8" w:color="auto"/>
            </w:tcBorders>
            <w:vMerge w:val="continue"/>
            <w:shd w:val="clear" w:color="auto" w:fill="F2F2F2"/>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6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(TRIR)</w:t>
            </w:r>
          </w:p>
        </w:tc>
        <w:tc>
          <w:tcPr>
            <w:tcW w:w="1580" w:type="dxa"/>
            <w:vAlign w:val="bottom"/>
            <w:tcBorders>
              <w:right w:val="single" w:sz="8" w:color="auto"/>
            </w:tcBorders>
            <w:shd w:val="clear" w:color="auto" w:fill="F2F2F2"/>
          </w:tcPr>
          <w:p>
            <w:pPr>
              <w:spacing w:after="0"/>
              <w:rPr>
                <w:sz w:val="23"/>
                <w:szCs w:val="23"/>
                <w:color w:val="auto"/>
              </w:rPr>
            </w:pPr>
          </w:p>
        </w:tc>
        <w:tc>
          <w:tcPr>
            <w:tcW w:w="1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&gt; 0.90</w:t>
            </w:r>
          </w:p>
        </w:tc>
        <w:tc>
          <w:tcPr>
            <w:tcW w:w="2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0.87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0.82</w:t>
            </w:r>
          </w:p>
        </w:tc>
        <w:tc>
          <w:tcPr>
            <w:tcW w:w="260" w:type="dxa"/>
            <w:vAlign w:val="bottom"/>
          </w:tcPr>
          <w:p>
            <w:pPr>
              <w:spacing w:after="0"/>
              <w:rPr>
                <w:sz w:val="23"/>
                <w:szCs w:val="23"/>
                <w:color w:val="auto"/>
              </w:rPr>
            </w:pPr>
          </w:p>
        </w:tc>
        <w:tc>
          <w:tcPr>
            <w:tcW w:w="13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&gt; 0.78</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TRIR Threshold</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580" w:type="dxa"/>
            <w:vAlign w:val="bottom"/>
            <w:tcBorders>
              <w:bottom w:val="single" w:sz="8" w:color="auto"/>
              <w:right w:val="single" w:sz="8" w:color="auto"/>
            </w:tcBorders>
            <w:shd w:val="clear" w:color="auto" w:fill="F2F2F2"/>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620" w:type="dxa"/>
            <w:vAlign w:val="bottom"/>
            <w:tcBorders>
              <w:left w:val="single" w:sz="8" w:color="auto"/>
              <w:right w:val="single" w:sz="8" w:color="auto"/>
            </w:tcBorders>
            <w:shd w:val="clear" w:color="auto" w:fill="F2F2F2"/>
          </w:tcPr>
          <w:p>
            <w:pPr>
              <w:spacing w:after="0"/>
              <w:rPr>
                <w:sz w:val="15"/>
                <w:szCs w:val="15"/>
                <w:color w:val="auto"/>
              </w:rPr>
            </w:pPr>
          </w:p>
        </w:tc>
        <w:tc>
          <w:tcPr>
            <w:tcW w:w="1580" w:type="dxa"/>
            <w:vAlign w:val="bottom"/>
            <w:tcBorders>
              <w:right w:val="single" w:sz="8" w:color="auto"/>
            </w:tcBorders>
            <w:shd w:val="clear" w:color="auto" w:fill="F2F2F2"/>
          </w:tcPr>
          <w:p>
            <w:pPr>
              <w:spacing w:after="0"/>
              <w:rPr>
                <w:sz w:val="15"/>
                <w:szCs w:val="15"/>
                <w:color w:val="auto"/>
              </w:rPr>
            </w:pPr>
          </w:p>
        </w:tc>
        <w:tc>
          <w:tcPr>
            <w:tcW w:w="13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 8,000</w:t>
            </w:r>
          </w:p>
        </w:tc>
        <w:tc>
          <w:tcPr>
            <w:tcW w:w="2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7,543</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7,392</w:t>
            </w:r>
          </w:p>
        </w:tc>
        <w:tc>
          <w:tcPr>
            <w:tcW w:w="260" w:type="dxa"/>
            <w:vAlign w:val="bottom"/>
          </w:tcPr>
          <w:p>
            <w:pPr>
              <w:spacing w:after="0"/>
              <w:rPr>
                <w:sz w:val="15"/>
                <w:szCs w:val="15"/>
                <w:color w:val="auto"/>
              </w:rPr>
            </w:pPr>
          </w:p>
        </w:tc>
        <w:tc>
          <w:tcPr>
            <w:tcW w:w="134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 7,244</w:t>
            </w:r>
          </w:p>
        </w:tc>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Total Water Usage</w:t>
            </w: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Water Usage</w:t>
            </w:r>
          </w:p>
        </w:tc>
        <w:tc>
          <w:tcPr>
            <w:tcW w:w="158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8,202</w:t>
            </w:r>
          </w:p>
        </w:tc>
        <w:tc>
          <w:tcPr>
            <w:tcW w:w="13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F2F2F2"/>
              <w:right w:val="single" w:sz="8" w:color="auto"/>
            </w:tcBorders>
            <w:vMerge w:val="continue"/>
            <w:shd w:val="clear" w:color="auto" w:fill="F2F2F2"/>
          </w:tcPr>
          <w:p>
            <w:pPr>
              <w:spacing w:after="0"/>
              <w:rPr>
                <w:sz w:val="9"/>
                <w:szCs w:val="9"/>
                <w:color w:val="auto"/>
              </w:rPr>
            </w:pPr>
          </w:p>
        </w:tc>
        <w:tc>
          <w:tcPr>
            <w:tcW w:w="1580" w:type="dxa"/>
            <w:vAlign w:val="bottom"/>
            <w:tcBorders>
              <w:bottom w:val="single" w:sz="8" w:color="F2F2F2"/>
              <w:right w:val="single" w:sz="8" w:color="auto"/>
            </w:tcBorders>
            <w:vMerge w:val="continue"/>
            <w:shd w:val="clear" w:color="auto" w:fill="F2F2F2"/>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20" w:type="dxa"/>
            <w:vAlign w:val="bottom"/>
            <w:tcBorders>
              <w:left w:val="single" w:sz="8" w:color="auto"/>
              <w:right w:val="single" w:sz="8" w:color="auto"/>
            </w:tcBorders>
            <w:vMerge w:val="restart"/>
            <w:shd w:val="clear" w:color="auto" w:fill="F2F2F2"/>
          </w:tcPr>
          <w:p>
            <w:pPr>
              <w:jc w:val="center"/>
              <w:spacing w:after="0" w:line="174" w:lineRule="exact"/>
              <w:rPr>
                <w:sz w:val="20"/>
                <w:szCs w:val="20"/>
                <w:color w:val="auto"/>
              </w:rPr>
            </w:pPr>
            <w:r>
              <w:rPr>
                <w:rFonts w:ascii="Times New Roman" w:cs="Times New Roman" w:eastAsia="Times New Roman" w:hAnsi="Times New Roman"/>
                <w:sz w:val="18"/>
                <w:szCs w:val="18"/>
                <w:color w:val="auto"/>
              </w:rPr>
              <w:t>(Megaliters)</w:t>
            </w:r>
          </w:p>
        </w:tc>
        <w:tc>
          <w:tcPr>
            <w:tcW w:w="1580" w:type="dxa"/>
            <w:vAlign w:val="bottom"/>
            <w:tcBorders>
              <w:right w:val="single" w:sz="8" w:color="auto"/>
            </w:tcBorders>
            <w:vMerge w:val="continue"/>
            <w:shd w:val="clear" w:color="auto" w:fill="F2F2F2"/>
          </w:tcPr>
          <w:p>
            <w:pPr>
              <w:spacing w:after="0"/>
              <w:rPr>
                <w:sz w:val="7"/>
                <w:szCs w:val="7"/>
                <w:color w:val="auto"/>
              </w:rPr>
            </w:pPr>
          </w:p>
        </w:tc>
        <w:tc>
          <w:tcPr>
            <w:tcW w:w="13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&gt; 8,100</w:t>
            </w:r>
          </w:p>
        </w:tc>
        <w:tc>
          <w:tcPr>
            <w:tcW w:w="2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&gt; 8,000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&gt; 7,800</w:t>
            </w:r>
          </w:p>
        </w:tc>
        <w:tc>
          <w:tcPr>
            <w:tcW w:w="260" w:type="dxa"/>
            <w:vAlign w:val="bottom"/>
          </w:tcPr>
          <w:p>
            <w:pPr>
              <w:spacing w:after="0"/>
              <w:rPr>
                <w:sz w:val="7"/>
                <w:szCs w:val="7"/>
                <w:color w:val="auto"/>
              </w:rPr>
            </w:pPr>
          </w:p>
        </w:tc>
        <w:tc>
          <w:tcPr>
            <w:tcW w:w="134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&gt; 7,500</w:t>
            </w:r>
          </w:p>
        </w:tc>
        <w:tc>
          <w:tcPr>
            <w:tcW w:w="1720" w:type="dxa"/>
            <w:vAlign w:val="bottom"/>
            <w:tcBorders>
              <w:right w:val="single" w:sz="8" w:color="auto"/>
            </w:tcBorders>
            <w:vMerge w:val="restart"/>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Total Water Usage</w:t>
            </w:r>
          </w:p>
        </w:tc>
        <w:tc>
          <w:tcPr>
            <w:tcW w:w="0" w:type="dxa"/>
            <w:vAlign w:val="bottom"/>
          </w:tcPr>
          <w:p>
            <w:pPr>
              <w:spacing w:after="0"/>
              <w:rPr>
                <w:sz w:val="1"/>
                <w:szCs w:val="1"/>
                <w:color w:val="auto"/>
              </w:rPr>
            </w:pPr>
          </w:p>
        </w:tc>
      </w:tr>
      <w:tr>
        <w:trPr>
          <w:trHeight w:val="86"/>
        </w:trPr>
        <w:tc>
          <w:tcPr>
            <w:tcW w:w="162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1580" w:type="dxa"/>
            <w:vAlign w:val="bottom"/>
            <w:tcBorders>
              <w:right w:val="single" w:sz="8" w:color="auto"/>
            </w:tcBorders>
            <w:shd w:val="clear" w:color="auto" w:fill="F2F2F2"/>
          </w:tcPr>
          <w:p>
            <w:pPr>
              <w:spacing w:after="0"/>
              <w:rPr>
                <w:sz w:val="7"/>
                <w:szCs w:val="7"/>
                <w:color w:val="auto"/>
              </w:rPr>
            </w:pPr>
          </w:p>
        </w:tc>
        <w:tc>
          <w:tcPr>
            <w:tcW w:w="13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shd w:val="clear" w:color="auto" w:fill="F2F2F2"/>
          </w:tcPr>
          <w:p>
            <w:pPr>
              <w:spacing w:after="0"/>
              <w:rPr>
                <w:sz w:val="12"/>
                <w:szCs w:val="12"/>
                <w:color w:val="auto"/>
              </w:rPr>
            </w:pPr>
          </w:p>
        </w:tc>
        <w:tc>
          <w:tcPr>
            <w:tcW w:w="1580" w:type="dxa"/>
            <w:vAlign w:val="bottom"/>
            <w:tcBorders>
              <w:right w:val="single" w:sz="8" w:color="auto"/>
            </w:tcBorders>
            <w:shd w:val="clear" w:color="auto" w:fill="F2F2F2"/>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0" w:type="dxa"/>
            <w:vAlign w:val="bottom"/>
          </w:tcPr>
          <w:p>
            <w:pPr>
              <w:spacing w:after="0"/>
              <w:rPr>
                <w:sz w:val="1"/>
                <w:szCs w:val="1"/>
                <w:color w:val="auto"/>
              </w:rPr>
            </w:pPr>
          </w:p>
        </w:tc>
      </w:tr>
      <w:tr>
        <w:trPr>
          <w:trHeight w:val="95"/>
        </w:trPr>
        <w:tc>
          <w:tcPr>
            <w:tcW w:w="162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1580" w:type="dxa"/>
            <w:vAlign w:val="bottom"/>
            <w:tcBorders>
              <w:bottom w:val="single" w:sz="8" w:color="auto"/>
              <w:right w:val="single" w:sz="8" w:color="auto"/>
            </w:tcBorders>
            <w:shd w:val="clear" w:color="auto" w:fill="F2F2F2"/>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2.17 TO AMENDED CREDIT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Sustainability Certificate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New York Branch,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 Columbus Circle, 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Jason.Rotkowitz@DB.com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212-250-4512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Jason Rotkowitz</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Reference is made to that certain Amended and Restated Credit Agreement, dated as of April 7, 2017 (as amended by that certain First Amendment to Amended and Restated Credit Agreement, dated as of December 28, 2017, that certain Incremental Amendment No. 1, dated as of January 29, 2018, that certain Second Amendment to Amended and Restated Credit Agreement, First Amendment to the U.S. Guarantee Agreement and First Amendment to U.S. Indemnity, Subrogation and Contribution Agreement, dated as of March 23, 2018, that certain Incremental Amendment No. 2 and Third Amendment to Amended and Restated Credit Agreement, dated as of December 13, 2019, that certain Fourth Amendment to Amended and Restated Credit Agreement, dated as of October 4, 2021, that certain Incremental Amendment No. 3 and Fifth Amendment to Amended and Restated Credit Agreement, dated as of August 8, 2022, that certain Sixth Amendment to Amended and Restated Credit Agreement, dated as of June 28, 2024, that certain Seventh Amendment to Amended and Restated Credit Agreement, dated as of November 11, 2024, and as further amended, supplemented, amended and restated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CROWN AMERICAS LLC, a Pennsylvania limited liability company, CROWN EUROPEAN HOLDINGS S.A., a corporation</w:t>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organized under the laws of France, each of the Subsidiary Borrowers party thereto, CROWN METAL PACKAGING CANADA LP, a limited partnership organized under the laws of the Province of Ontario, Canada, CROWN CORK &amp; SEAL COMPANY, INC., a Pennsylvania corporation, Crown Holdings, and CROWN INTERNATIONAL HOLDINGS, INC., a Delaware corporation, the Lenders from time to time party thereto, DEUTSCHE BANK AG NEW YORK BRANCH, as the Administrative Agent, DEUTSCHE BANK AG, LONDON BRANCH, as U.K. administrative agent, and DEUTSCHE BANK AG, CANADA BRANCH, as Canadian administrative agent. Unless otherwise defined herein, terms defined in the Credit Agreement and used herein shall have the meanings given to them in the Credit Agreement. This Sustainability Certificate (this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is furnished pursuant to Section 7.7(a) of the Credit Agreement.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SOLELY IN [HIS/HER] CAPACITY AS RESPONSIBLE OFFICER OF CROWN HOLDINGS AND NOT IN AN INDIVIDUAL CAPACITY (AND WITHOUT PERSONAL LIABILITY) THAT: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am the duly elected Responsible Officer of Crown Holdings, and I am authorized to deliver this Certificate on behalf of Crown Holdings.</w:t>
      </w:r>
    </w:p>
    <w:p>
      <w:pPr>
        <w:spacing w:after="0" w:line="252"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(2. Attached as Annex A hereto are the calculations of KPI Metrics for the 20[__] Reference Year, and evidences Crown Holdings’ qualification for [(x)] a Sustainability Rate Adjustment equal to [+][-][___]% per annum and (y) a Sustainability Applicable Commitment Fee Adjustment, equal to [+][-] [___]% per annum. The Dollar LC Commission, Multicurrency LC Commission, Applicable Adjusted Term SOFR Margin, Applicable Base Rate Margin, Applicable Eurocurrency Margin, Applicable RFR Margin or Applicable Canadian Prime Rate Margin, as applicable, will never be reduced or increased more than 0.05% per annum pursuant to the Sustainability Rate Adjustment . The Applicable Commitment Fee Percentage will never be reduced or increased more than 0.01% per annum pursuant to the Sustainability Applicable Commitment Fee Adjustment .</w:t>
      </w:r>
    </w:p>
    <w:p>
      <w:pPr>
        <w:spacing w:after="0" w:line="214"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(3. Attached as Annex B hereto is a true and complete review report of the Sustainability Metric Auditor confirming that the Sustainability Metric Auditor is not aware of any modifications that should be made to such computations in order for them to be presented in all material respects in conformity with the reporting criteria and ESG Standards.</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02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10120"/>
          </w:cols>
          <w:pgMar w:left="1440" w:top="1269"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10120"/>
          </w:cols>
          <w:pgMar w:left="1440" w:top="144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_______________________</w:t>
      </w:r>
    </w:p>
    <w:p>
      <w:pPr>
        <w:spacing w:after="0" w:line="8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$800,000,000 Dollar Revolving Facility</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$800,000,000 Multicurrency Revolving Facility</w:t>
      </w:r>
    </w:p>
    <w:p>
      <w:pPr>
        <w:spacing w:after="0" w:line="1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$50,000,000 Canadian Revolving Facility</w:t>
      </w:r>
    </w:p>
    <w:p>
      <w:pPr>
        <w:spacing w:after="0" w:line="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$1,800,000,000 Term Loan A Facility</w:t>
      </w:r>
    </w:p>
    <w:p>
      <w:pPr>
        <w:spacing w:after="0" w:line="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€540,000,000 Term Euro Facility</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_________________________</w:t>
      </w:r>
    </w:p>
    <w:p>
      <w:pPr>
        <w:spacing w:after="0" w:line="200" w:lineRule="exact"/>
        <w:rPr>
          <w:sz w:val="20"/>
          <w:szCs w:val="20"/>
          <w:color w:val="auto"/>
        </w:rPr>
      </w:pPr>
    </w:p>
    <w:p>
      <w:pPr>
        <w:spacing w:after="0" w:line="24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Dated April 7, 2017,</w:t>
      </w:r>
    </w:p>
    <w:p>
      <w:pPr>
        <w:spacing w:after="0" w:line="10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auto"/>
        </w:rPr>
        <w:t>as amended by the First Amendment, dated as of December 28, 2017,</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as further amended by Incremental Amendment No. 1, dated as of January 29, 2018,</w:t>
      </w:r>
    </w:p>
    <w:p>
      <w:pPr>
        <w:spacing w:after="0" w:line="1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b w:val="1"/>
          <w:bCs w:val="1"/>
          <w:color w:val="auto"/>
        </w:rPr>
        <w:t>as further amended by the Second Amendment, dated as of March 23,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further amended by the Incremental Amendment No. 2 and Third Amendment, dated as of December 13, 2019</w:t>
      </w:r>
    </w:p>
    <w:p>
      <w:pPr>
        <w:spacing w:after="0" w:line="1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b w:val="1"/>
          <w:bCs w:val="1"/>
          <w:color w:val="auto"/>
        </w:rPr>
        <w:t>as further amended by the Fourth Amendment, dated as of October 4, 2021,</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as further amended by the Incremental Amendment No. 3 and Fifth Amendment, dated as of August 8, 2022,</w:t>
      </w:r>
    </w:p>
    <w:p>
      <w:pPr>
        <w:spacing w:after="0" w:line="1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as further amended by the Sixth Amendment, dated as of June 28, 2024,</w:t>
      </w:r>
    </w:p>
    <w:p>
      <w:pPr>
        <w:spacing w:after="0" w:line="1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as further amended by the Seventh Amendment, dated as of November 11, 2024,</w:t>
      </w:r>
    </w:p>
    <w:p>
      <w:pPr>
        <w:spacing w:after="0" w:line="1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10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CROWN AMERICAS LLC,</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as a U.S. Borrower,</w:t>
      </w:r>
    </w:p>
    <w:p>
      <w:pPr>
        <w:spacing w:after="0" w:line="8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CROWN EUROPEAN HOLDINGS S.A.,</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as European Borrower,</w:t>
      </w:r>
    </w:p>
    <w:p>
      <w:pPr>
        <w:spacing w:after="0" w:line="10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CROWN METAL PACKAGING CANADA LP,</w:t>
      </w:r>
    </w:p>
    <w:p>
      <w:pPr>
        <w:spacing w:after="0" w:line="2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as Canadian Borrower,</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THE SUBSIDIARY BORROWERS NAMED HEREIN,</w:t>
      </w:r>
    </w:p>
    <w:p>
      <w:pPr>
        <w:sectPr>
          <w:pgSz w:w="11900" w:h="16838" w:orient="portrait"/>
          <w:cols w:equalWidth="0" w:num="1">
            <w:col w:w="10400"/>
          </w:cols>
          <w:pgMar w:left="1160" w:top="1247" w:right="339" w:bottom="1440" w:gutter="0" w:footer="0" w:header="0"/>
        </w:sectPr>
      </w:pPr>
    </w:p>
    <w:bookmarkStart w:id="120" w:name="page121"/>
    <w:bookmarkEnd w:id="120"/>
    <w:p>
      <w:pPr>
        <w:ind w:left="4200"/>
        <w:spacing w:after="0"/>
        <w:rPr>
          <w:sz w:val="20"/>
          <w:szCs w:val="20"/>
          <w:color w:val="auto"/>
        </w:rPr>
      </w:pPr>
      <w:r>
        <w:rPr>
          <w:rFonts w:ascii="Times New Roman" w:cs="Times New Roman" w:eastAsia="Times New Roman" w:hAnsi="Times New Roman"/>
          <w:sz w:val="20"/>
          <w:szCs w:val="20"/>
          <w:b w:val="1"/>
          <w:bCs w:val="1"/>
          <w:color w:val="auto"/>
        </w:rPr>
        <w:t>CROWN HOLDINGS, INC.,</w:t>
      </w:r>
    </w:p>
    <w:p>
      <w:pPr>
        <w:spacing w:after="0" w:line="3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CROWN INTERNATIONAL HOLDINGS, INC. and</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CROWN CORK &amp; SEAL COMPANY, INC.,</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as Parent Guarantors,</w:t>
      </w:r>
    </w:p>
    <w:p>
      <w:pPr>
        <w:spacing w:after="0" w:line="10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DEUTSCHE BANK AG NEW YORK BRANCH,</w:t>
      </w:r>
    </w:p>
    <w:p>
      <w:pPr>
        <w:spacing w:after="0" w:line="2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9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0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DEUTSCHE BANK AG, LONDON BRANCH,</w:t>
      </w:r>
    </w:p>
    <w:p>
      <w:pPr>
        <w:spacing w:after="0" w:line="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as U.K. Administrative Agent</w:t>
      </w:r>
    </w:p>
    <w:p>
      <w:pPr>
        <w:spacing w:after="0" w:line="1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0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DEUTSCHE BANK AG, CANADA BRANCH,</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as Canadian Administrative Agent</w:t>
      </w:r>
    </w:p>
    <w:p>
      <w:pPr>
        <w:spacing w:after="0" w:line="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DEUTSCHE BANK SECURITIES INC.,</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COÖPERATIEVE RABOBANK U.A., NEW YORK BRANCH,</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9"/>
          <w:szCs w:val="19"/>
          <w:b w:val="1"/>
          <w:bCs w:val="1"/>
          <w:color w:val="auto"/>
        </w:rPr>
        <w:t>CRÉDIT AGRICOLE CORPORATE AND INVESTMENT BANK,</w:t>
      </w:r>
    </w:p>
    <w:p>
      <w:pPr>
        <w:spacing w:after="0" w:line="1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ING CAPITAL LLC,</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UNICREDIT BANK GMBH,</w:t>
      </w:r>
    </w:p>
    <w:p>
      <w:pPr>
        <w:spacing w:after="0" w:line="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as Joint Sustainability Coordinators,</w:t>
      </w:r>
    </w:p>
    <w:p>
      <w:pPr>
        <w:spacing w:after="0" w:line="9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2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b w:val="1"/>
          <w:bCs w:val="1"/>
          <w:color w:val="auto"/>
        </w:rPr>
        <w:t>VARIOUS LENDING INSTITUTIONS</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Arranged by</w:t>
      </w:r>
    </w:p>
    <w:p>
      <w:pPr>
        <w:spacing w:after="0" w:line="10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DEUTSCHE BANK SECURITIES INC.,</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CITIBANK, N.A.,</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BANCO SANTANDER, S.A.,</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MIZUHO BANK, LTD.</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PNC CAPITAL MARKETS LLC</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UNICREDIT BANK AG</w:t>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TD SECURITIES (USA) LLC,</w:t>
      </w:r>
    </w:p>
    <w:p>
      <w:pPr>
        <w:sectPr>
          <w:pgSz w:w="11900" w:h="16838" w:orient="portrait"/>
          <w:cols w:equalWidth="0" w:num="1">
            <w:col w:w="9939"/>
          </w:cols>
          <w:pgMar w:left="520" w:top="1017" w:right="1440" w:bottom="1440" w:gutter="0" w:footer="0" w:header="0"/>
        </w:sectPr>
      </w:pPr>
    </w:p>
    <w:bookmarkStart w:id="121" w:name="page122"/>
    <w:bookmarkEnd w:id="121"/>
    <w:p>
      <w:pPr>
        <w:ind w:left="3100"/>
        <w:spacing w:after="0"/>
        <w:rPr>
          <w:sz w:val="20"/>
          <w:szCs w:val="20"/>
          <w:color w:val="auto"/>
        </w:rPr>
      </w:pPr>
      <w:r>
        <w:rPr>
          <w:rFonts w:ascii="Times New Roman" w:cs="Times New Roman" w:eastAsia="Times New Roman" w:hAnsi="Times New Roman"/>
          <w:sz w:val="20"/>
          <w:szCs w:val="20"/>
          <w:b w:val="1"/>
          <w:bCs w:val="1"/>
          <w:color w:val="auto"/>
        </w:rPr>
        <w:t>THE BANK OF NOVA SCOTIA,</w:t>
      </w:r>
    </w:p>
    <w:p>
      <w:pPr>
        <w:spacing w:after="0" w:line="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WELLS FARGO SECURITIES,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Incremental Amendment No. 3 and Fifth Amendment Arrangers,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21" w:lineRule="exact"/>
        <w:rPr>
          <w:sz w:val="20"/>
          <w:szCs w:val="20"/>
          <w:color w:val="auto"/>
        </w:rPr>
      </w:pPr>
    </w:p>
    <w:p>
      <w:pPr>
        <w:jc w:val="center"/>
        <w:ind w:left="980" w:right="999"/>
        <w:spacing w:after="0" w:line="253" w:lineRule="auto"/>
        <w:rPr>
          <w:sz w:val="20"/>
          <w:szCs w:val="20"/>
          <w:color w:val="auto"/>
        </w:rPr>
      </w:pPr>
      <w:r>
        <w:rPr>
          <w:rFonts w:ascii="Times New Roman" w:cs="Times New Roman" w:eastAsia="Times New Roman" w:hAnsi="Times New Roman"/>
          <w:sz w:val="20"/>
          <w:szCs w:val="20"/>
          <w:b w:val="1"/>
          <w:bCs w:val="1"/>
          <w:color w:val="auto"/>
        </w:rPr>
        <w:t>COÖPERATIEVE RABOBANK U.A., NEW YORK BRANCH, CREDIT AGRICOLE CORPORATE AND INVESTMENT BANK, ING BANK N.V., DUBLIN BRANCH</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MUFG BANK, LTD.,</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COBANK, ACB,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HUNTINGTON NATIONAL BANK,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Incremental Amendment No. 3 and Fifth Amendment Co-Documentation Agents</w:t>
      </w:r>
    </w:p>
    <w:p>
      <w:pPr>
        <w:spacing w:after="0" w:line="34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_______________________</w:t>
      </w:r>
    </w:p>
    <w:p>
      <w:pPr>
        <w:sectPr>
          <w:pgSz w:w="11900" w:h="16838" w:orient="portrait"/>
          <w:cols w:equalWidth="0" w:num="1">
            <w:col w:w="9019"/>
          </w:cols>
          <w:pgMar w:left="1440" w:top="1017"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80" w:type="dxa"/>
            <w:vAlign w:val="bottom"/>
            <w:gridSpan w:val="3"/>
          </w:tcPr>
          <w:p>
            <w:pPr>
              <w:jc w:val="center"/>
              <w:ind w:right="446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457"/>
        </w:trPr>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ARTICLE I</w:t>
            </w:r>
          </w:p>
        </w:tc>
        <w:tc>
          <w:tcPr>
            <w:tcW w:w="4560" w:type="dxa"/>
            <w:vAlign w:val="bottom"/>
            <w:gridSpan w:val="2"/>
          </w:tcPr>
          <w:p>
            <w:pPr>
              <w:spacing w:after="0"/>
              <w:rPr>
                <w:sz w:val="24"/>
                <w:szCs w:val="24"/>
                <w:color w:val="auto"/>
              </w:rPr>
            </w:pPr>
          </w:p>
        </w:tc>
      </w:tr>
      <w:tr>
        <w:trPr>
          <w:trHeight w:val="258"/>
        </w:trPr>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240" w:type="dxa"/>
            <w:vAlign w:val="bottom"/>
            <w:gridSpan w:val="4"/>
          </w:tcPr>
          <w:p>
            <w:pPr>
              <w:jc w:val="center"/>
              <w:ind w:right="2881"/>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r>
      <w:tr>
        <w:trPr>
          <w:trHeight w:val="413"/>
        </w:trPr>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57"/>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1.1</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1480" w:type="dxa"/>
            <w:vAlign w:val="bottom"/>
          </w:tcPr>
          <w:p>
            <w:pPr>
              <w:jc w:val="right"/>
              <w:ind w:right="1261"/>
              <w:spacing w:after="0"/>
              <w:rPr>
                <w:sz w:val="20"/>
                <w:szCs w:val="20"/>
                <w:color w:val="auto"/>
              </w:rPr>
            </w:pPr>
            <w:r>
              <w:rPr>
                <w:rFonts w:ascii="Times New Roman" w:cs="Times New Roman" w:eastAsia="Times New Roman" w:hAnsi="Times New Roman"/>
                <w:sz w:val="20"/>
                <w:szCs w:val="20"/>
                <w:color w:val="auto"/>
                <w:w w:val="99"/>
              </w:rPr>
              <w:t>1</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1.2</w:t>
            </w:r>
          </w:p>
        </w:tc>
        <w:tc>
          <w:tcPr>
            <w:tcW w:w="108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Terms Generally; Financial Statements  71</w:t>
            </w:r>
          </w:p>
        </w:tc>
      </w:tr>
      <w:tr>
        <w:trPr>
          <w:trHeight w:val="230"/>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1.3</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Luxembourg terms  72</w:t>
            </w:r>
          </w:p>
        </w:tc>
        <w:tc>
          <w:tcPr>
            <w:tcW w:w="15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1.4</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French terms</w:t>
            </w:r>
          </w:p>
        </w:tc>
        <w:tc>
          <w:tcPr>
            <w:tcW w:w="148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72</w:t>
            </w:r>
          </w:p>
        </w:tc>
        <w:tc>
          <w:tcPr>
            <w:tcW w:w="15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1.5</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Calculation of Exchange Rate</w:t>
            </w:r>
          </w:p>
        </w:tc>
        <w:tc>
          <w:tcPr>
            <w:tcW w:w="1560" w:type="dxa"/>
            <w:vAlign w:val="bottom"/>
          </w:tcPr>
          <w:p>
            <w:pPr>
              <w:jc w:val="right"/>
              <w:ind w:right="1241"/>
              <w:spacing w:after="0"/>
              <w:rPr>
                <w:sz w:val="20"/>
                <w:szCs w:val="20"/>
                <w:color w:val="auto"/>
              </w:rPr>
            </w:pPr>
            <w:r>
              <w:rPr>
                <w:rFonts w:ascii="Times New Roman" w:cs="Times New Roman" w:eastAsia="Times New Roman" w:hAnsi="Times New Roman"/>
                <w:sz w:val="20"/>
                <w:szCs w:val="20"/>
                <w:color w:val="auto"/>
                <w:w w:val="99"/>
              </w:rPr>
              <w:t>73</w:t>
            </w:r>
          </w:p>
        </w:tc>
        <w:tc>
          <w:tcPr>
            <w:tcW w:w="2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1.6</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Limited Condition Transactions</w:t>
            </w:r>
          </w:p>
        </w:tc>
        <w:tc>
          <w:tcPr>
            <w:tcW w:w="156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73</w:t>
            </w:r>
          </w:p>
        </w:tc>
        <w:tc>
          <w:tcPr>
            <w:tcW w:w="2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1.7</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Sanctions Limitations  75</w:t>
            </w:r>
          </w:p>
        </w:tc>
        <w:tc>
          <w:tcPr>
            <w:tcW w:w="15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9"/>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1.8</w:t>
            </w:r>
          </w:p>
        </w:tc>
        <w:tc>
          <w:tcPr>
            <w:tcW w:w="108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Effect of Amendment and Restatement of the Existing Credit Agreement  75</w:t>
            </w:r>
          </w:p>
        </w:tc>
      </w:tr>
      <w:tr>
        <w:trPr>
          <w:trHeight w:val="258"/>
        </w:trPr>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5"/>
              </w:rPr>
              <w:t>1.9</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Divisions  75</w:t>
            </w:r>
          </w:p>
        </w:tc>
        <w:tc>
          <w:tcPr>
            <w:tcW w:w="15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 AND TERMS OF U.S. DOLLAR, STERLING AND EURO CREDITS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Commitments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6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Evidence of Indebtedness; Repayment of Loans  79</w:t>
            </w: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6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Minimum Amount of Each Borrowing; Maximum Number of Borrowings</w:t>
            </w:r>
          </w:p>
        </w:tc>
        <w:tc>
          <w:tcPr>
            <w:tcW w:w="7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79</w:t>
            </w: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Borrowing Options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Notice of Borrowing</w:t>
            </w:r>
          </w:p>
        </w:tc>
        <w:tc>
          <w:tcPr>
            <w:tcW w:w="58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w w:val="99"/>
              </w:rPr>
              <w:t>80</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Conversion or Continuation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81</w:t>
            </w: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Disbursement of Funds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81</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6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Utilization of Revolving Commitments in an Alternative Currency  82</w:t>
            </w: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Facility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2.10</w:t>
            </w: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Letters of Credit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 Rata Borrowings</w:t>
            </w:r>
          </w:p>
        </w:tc>
        <w:tc>
          <w:tcPr>
            <w:tcW w:w="120" w:type="dxa"/>
            <w:vAlign w:val="bottom"/>
          </w:tcPr>
          <w:p>
            <w:pPr>
              <w:spacing w:after="0"/>
              <w:rPr>
                <w:sz w:val="19"/>
                <w:szCs w:val="19"/>
                <w:color w:val="auto"/>
              </w:rPr>
            </w:pP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97</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2.12</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Defaulting Lenders</w:t>
            </w:r>
          </w:p>
        </w:tc>
        <w:tc>
          <w:tcPr>
            <w:tcW w:w="5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w w:val="89"/>
              </w:rPr>
              <w:t>97</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2.13</w:t>
            </w:r>
          </w:p>
        </w:tc>
        <w:tc>
          <w:tcPr>
            <w:tcW w:w="338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Replacement Revolving Credit Facility</w:t>
            </w:r>
          </w:p>
        </w:tc>
        <w:tc>
          <w:tcPr>
            <w:tcW w:w="2700" w:type="dxa"/>
            <w:vAlign w:val="bottom"/>
          </w:tcPr>
          <w:p>
            <w:pPr>
              <w:jc w:val="right"/>
              <w:ind w:right="2341"/>
              <w:spacing w:after="0"/>
              <w:rPr>
                <w:sz w:val="20"/>
                <w:szCs w:val="20"/>
                <w:color w:val="auto"/>
              </w:rPr>
            </w:pPr>
            <w:r>
              <w:rPr>
                <w:rFonts w:ascii="Times New Roman" w:cs="Times New Roman" w:eastAsia="Times New Roman" w:hAnsi="Times New Roman"/>
                <w:sz w:val="20"/>
                <w:szCs w:val="20"/>
                <w:color w:val="auto"/>
              </w:rPr>
              <w:t>99</w:t>
            </w: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2.14</w:t>
            </w: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Replacement Term Loans  101</w:t>
            </w: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2.15</w:t>
            </w:r>
          </w:p>
        </w:tc>
        <w:tc>
          <w:tcPr>
            <w:tcW w:w="24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Extension of Maturity Date</w:t>
            </w:r>
          </w:p>
        </w:tc>
        <w:tc>
          <w:tcPr>
            <w:tcW w:w="940" w:type="dxa"/>
            <w:vAlign w:val="bottom"/>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102</w:t>
            </w: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2.16</w:t>
            </w: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U.S. Borrower Representative</w:t>
            </w: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104</w:t>
            </w: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2A.1</w:t>
            </w:r>
          </w:p>
        </w:tc>
        <w:tc>
          <w:tcPr>
            <w:tcW w:w="338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w w:val="99"/>
              </w:rPr>
              <w:t>The Canadian Revolving Commitments</w:t>
            </w:r>
          </w:p>
        </w:tc>
        <w:tc>
          <w:tcPr>
            <w:tcW w:w="2700" w:type="dxa"/>
            <w:vAlign w:val="bottom"/>
          </w:tcPr>
          <w:p>
            <w:pPr>
              <w:jc w:val="right"/>
              <w:ind w:right="2161"/>
              <w:spacing w:after="0"/>
              <w:rPr>
                <w:sz w:val="20"/>
                <w:szCs w:val="20"/>
                <w:color w:val="auto"/>
              </w:rPr>
            </w:pPr>
            <w:r>
              <w:rPr>
                <w:rFonts w:ascii="Times New Roman" w:cs="Times New Roman" w:eastAsia="Times New Roman" w:hAnsi="Times New Roman"/>
                <w:sz w:val="20"/>
                <w:szCs w:val="20"/>
                <w:color w:val="auto"/>
              </w:rPr>
              <w:t>104</w:t>
            </w:r>
          </w:p>
        </w:tc>
        <w:tc>
          <w:tcPr>
            <w:tcW w:w="72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2A.2</w:t>
            </w:r>
          </w:p>
        </w:tc>
        <w:tc>
          <w:tcPr>
            <w:tcW w:w="1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Notes  104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2A.3</w:t>
            </w:r>
          </w:p>
        </w:tc>
        <w:tc>
          <w:tcPr>
            <w:tcW w:w="60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8"/>
              </w:rPr>
              <w:t>Minimum Amount of Each Borrowing; Maximum Number of Borrowings</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105</w:t>
            </w: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2A.4</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Borrowing Options</w:t>
            </w:r>
          </w:p>
        </w:tc>
        <w:tc>
          <w:tcPr>
            <w:tcW w:w="5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2A.5</w:t>
            </w: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Notice of Canadian Borrowing</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105</w:t>
            </w: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2A.6</w:t>
            </w:r>
          </w:p>
        </w:tc>
        <w:tc>
          <w:tcPr>
            <w:tcW w:w="24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Conversion or Continuation</w:t>
            </w:r>
          </w:p>
        </w:tc>
        <w:tc>
          <w:tcPr>
            <w:tcW w:w="94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105</w:t>
            </w: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2A.7</w:t>
            </w:r>
          </w:p>
        </w:tc>
        <w:tc>
          <w:tcPr>
            <w:tcW w:w="680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Disbursement of Funds and Presumptions by Canadian Administrative Agent  106</w:t>
            </w: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2A.8</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Pro Rata Borrowings</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2A.9</w:t>
            </w:r>
          </w:p>
        </w:tc>
        <w:tc>
          <w:tcPr>
            <w:tcW w:w="19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Bankers’ Acceptances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8"/>
        </w:trPr>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2A.10  Miscellaneous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110</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ectPr>
          <w:pgSz w:w="11900" w:h="16838" w:orient="portrait"/>
          <w:cols w:equalWidth="0" w:num="1">
            <w:col w:w="11240"/>
          </w:cols>
          <w:pgMar w:left="320" w:top="1394" w:right="339" w:bottom="1440" w:gutter="0" w:footer="0" w:header="0"/>
        </w:sectPr>
      </w:pPr>
    </w:p>
    <w:bookmarkStart w:id="123" w:name="page124"/>
    <w:bookmarkEnd w:id="123"/>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ARTICLE III</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INTEREST AND FEES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110</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Fees</w:t>
            </w:r>
          </w:p>
        </w:tc>
        <w:tc>
          <w:tcPr>
            <w:tcW w:w="6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27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80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113</w:t>
            </w:r>
          </w:p>
        </w:tc>
        <w:tc>
          <w:tcPr>
            <w:tcW w:w="466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Interest Periods</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113</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27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Compensation for Funding Losses</w:t>
            </w:r>
          </w:p>
        </w:tc>
        <w:tc>
          <w:tcPr>
            <w:tcW w:w="8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114</w:t>
            </w: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Increased Costs, Illegality, Etc.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824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Mitigation Obligations; Replacement of Affected Lenders  117</w:t>
            </w:r>
          </w:p>
        </w:tc>
      </w:tr>
      <w:tr>
        <w:trPr>
          <w:trHeight w:val="430"/>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20"/>
                <w:szCs w:val="20"/>
                <w:color w:val="auto"/>
                <w:w w:val="97"/>
              </w:rPr>
              <w:t>ARTICLE IV</w:t>
            </w:r>
          </w:p>
        </w:tc>
      </w:tr>
      <w:tr>
        <w:trPr>
          <w:trHeight w:val="258"/>
        </w:trPr>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0" w:type="dxa"/>
            <w:vAlign w:val="bottom"/>
            <w:gridSpan w:val="5"/>
          </w:tcPr>
          <w:p>
            <w:pPr>
              <w:jc w:val="center"/>
              <w:ind w:left="61"/>
              <w:spacing w:after="0"/>
              <w:rPr>
                <w:sz w:val="20"/>
                <w:szCs w:val="20"/>
                <w:color w:val="auto"/>
              </w:rPr>
            </w:pPr>
            <w:r>
              <w:rPr>
                <w:rFonts w:ascii="Times New Roman" w:cs="Times New Roman" w:eastAsia="Times New Roman" w:hAnsi="Times New Roman"/>
                <w:sz w:val="20"/>
                <w:szCs w:val="20"/>
                <w:color w:val="auto"/>
                <w:w w:val="97"/>
              </w:rPr>
              <w:t>REDUCTION OF COMMITMENTS; PAYMENTS AND PREPAYMENTS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308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7"/>
              </w:rPr>
              <w:t>Voluntary Reduction of Commitments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4660" w:type="dxa"/>
            <w:vAlign w:val="bottom"/>
          </w:tcPr>
          <w:p>
            <w:pPr>
              <w:spacing w:after="0"/>
              <w:rPr>
                <w:sz w:val="24"/>
                <w:szCs w:val="24"/>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24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Mandatory Reductions of Term Commitments  119</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Voluntary Prepayments</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9"/>
              </w:rPr>
              <w:t>Mandatory Prepayments</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24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Application of Prepayments; Waiver of Certain Prepayments  122</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Method and Place of Payment</w:t>
            </w: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w w:val="99"/>
              </w:rPr>
              <w:t>123</w:t>
            </w: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Net Payments</w:t>
            </w:r>
          </w:p>
        </w:tc>
        <w:tc>
          <w:tcPr>
            <w:tcW w:w="86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124</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430"/>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jc w:val="center"/>
              <w:ind w:right="1261"/>
              <w:spacing w:after="0"/>
              <w:rPr>
                <w:sz w:val="20"/>
                <w:szCs w:val="20"/>
                <w:color w:val="auto"/>
              </w:rPr>
            </w:pPr>
            <w:r>
              <w:rPr>
                <w:rFonts w:ascii="Times New Roman" w:cs="Times New Roman" w:eastAsia="Times New Roman" w:hAnsi="Times New Roman"/>
                <w:sz w:val="20"/>
                <w:szCs w:val="20"/>
                <w:color w:val="auto"/>
                <w:w w:val="98"/>
              </w:rPr>
              <w:t>ARTICLE V</w:t>
            </w:r>
          </w:p>
        </w:tc>
      </w:tr>
      <w:tr>
        <w:trPr>
          <w:trHeight w:val="258"/>
        </w:trPr>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20"/>
                <w:szCs w:val="20"/>
                <w:color w:val="auto"/>
                <w:w w:val="99"/>
              </w:rPr>
              <w:t>CONDITIONS OF CREDIT</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Conditions Precedent to the Effective Date</w:t>
            </w:r>
          </w:p>
        </w:tc>
        <w:tc>
          <w:tcPr>
            <w:tcW w:w="4660" w:type="dxa"/>
            <w:vAlign w:val="bottom"/>
          </w:tcPr>
          <w:p>
            <w:pPr>
              <w:jc w:val="right"/>
              <w:ind w:right="4201"/>
              <w:spacing w:after="0"/>
              <w:rPr>
                <w:sz w:val="20"/>
                <w:szCs w:val="20"/>
                <w:color w:val="auto"/>
              </w:rPr>
            </w:pPr>
            <w:r>
              <w:rPr>
                <w:rFonts w:ascii="Times New Roman" w:cs="Times New Roman" w:eastAsia="Times New Roman" w:hAnsi="Times New Roman"/>
                <w:sz w:val="20"/>
                <w:szCs w:val="20"/>
                <w:color w:val="auto"/>
              </w:rPr>
              <w:t>134</w:t>
            </w: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Conditions Precedent to All Credit Events</w:t>
            </w:r>
          </w:p>
        </w:tc>
        <w:tc>
          <w:tcPr>
            <w:tcW w:w="4660" w:type="dxa"/>
            <w:vAlign w:val="bottom"/>
          </w:tcPr>
          <w:p>
            <w:pPr>
              <w:jc w:val="right"/>
              <w:ind w:right="4261"/>
              <w:spacing w:after="0"/>
              <w:rPr>
                <w:sz w:val="20"/>
                <w:szCs w:val="20"/>
                <w:color w:val="auto"/>
              </w:rPr>
            </w:pPr>
            <w:r>
              <w:rPr>
                <w:rFonts w:ascii="Times New Roman" w:cs="Times New Roman" w:eastAsia="Times New Roman" w:hAnsi="Times New Roman"/>
                <w:sz w:val="20"/>
                <w:szCs w:val="20"/>
                <w:color w:val="auto"/>
                <w:w w:val="93"/>
              </w:rPr>
              <w:t>137</w:t>
            </w:r>
          </w:p>
        </w:tc>
      </w:tr>
      <w:tr>
        <w:trPr>
          <w:trHeight w:val="444"/>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20"/>
                <w:szCs w:val="20"/>
                <w:color w:val="auto"/>
                <w:w w:val="97"/>
              </w:rPr>
              <w:t>ARTICLE VI</w:t>
            </w:r>
          </w:p>
        </w:tc>
      </w:tr>
      <w:tr>
        <w:trPr>
          <w:trHeight w:val="258"/>
        </w:trPr>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160" w:type="dxa"/>
            <w:vAlign w:val="bottom"/>
            <w:gridSpan w:val="2"/>
          </w:tcPr>
          <w:p>
            <w:pPr>
              <w:jc w:val="center"/>
              <w:ind w:right="781"/>
              <w:spacing w:after="0"/>
              <w:rPr>
                <w:sz w:val="20"/>
                <w:szCs w:val="20"/>
                <w:color w:val="auto"/>
              </w:rPr>
            </w:pPr>
            <w:r>
              <w:rPr>
                <w:rFonts w:ascii="Times New Roman" w:cs="Times New Roman" w:eastAsia="Times New Roman" w:hAnsi="Times New Roman"/>
                <w:sz w:val="20"/>
                <w:szCs w:val="20"/>
                <w:color w:val="auto"/>
                <w:w w:val="97"/>
              </w:rPr>
              <w:t>REPRESENTATIONS AND WARRANTIES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Corporate Status</w:t>
            </w:r>
          </w:p>
        </w:tc>
        <w:tc>
          <w:tcPr>
            <w:tcW w:w="6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139</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w:t>
            </w: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Corporate Power and Authority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6.3</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No Violation</w:t>
            </w:r>
          </w:p>
        </w:tc>
        <w:tc>
          <w:tcPr>
            <w:tcW w:w="86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139</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6.4</w:t>
            </w:r>
          </w:p>
        </w:tc>
        <w:tc>
          <w:tcPr>
            <w:tcW w:w="308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Governmental and Other Approvals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139</w:t>
            </w:r>
          </w:p>
        </w:tc>
        <w:tc>
          <w:tcPr>
            <w:tcW w:w="466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6.5</w:t>
            </w:r>
          </w:p>
        </w:tc>
        <w:tc>
          <w:tcPr>
            <w:tcW w:w="824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Financial Statements; Financial Condition; Undisclosed Liabilities Projections; Etc.  140</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6.6</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6"/>
              </w:rPr>
              <w:t>Litigation</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141</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6.7</w:t>
            </w: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True and Complete Disclosure</w:t>
            </w:r>
          </w:p>
        </w:tc>
        <w:tc>
          <w:tcPr>
            <w:tcW w:w="4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141</w:t>
            </w: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6.8</w:t>
            </w:r>
          </w:p>
        </w:tc>
        <w:tc>
          <w:tcPr>
            <w:tcW w:w="308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9"/>
              </w:rPr>
              <w:t>Use of Proceeds; Margin Regulations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466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6.9</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w:t>
            </w: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142</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6.10</w:t>
            </w:r>
          </w:p>
        </w:tc>
        <w:tc>
          <w:tcPr>
            <w:tcW w:w="824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Compliance With ERISA; Foreign Pension Plans  142</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6.11</w:t>
            </w:r>
          </w:p>
        </w:tc>
        <w:tc>
          <w:tcPr>
            <w:tcW w:w="262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Security Documents  143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6.12</w:t>
            </w:r>
          </w:p>
        </w:tc>
        <w:tc>
          <w:tcPr>
            <w:tcW w:w="20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Ownership of Property</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6.13</w:t>
            </w:r>
          </w:p>
        </w:tc>
        <w:tc>
          <w:tcPr>
            <w:tcW w:w="26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Capitalization of Credit Parties</w:t>
            </w:r>
          </w:p>
        </w:tc>
        <w:tc>
          <w:tcPr>
            <w:tcW w:w="160" w:type="dxa"/>
            <w:vAlign w:val="bottom"/>
          </w:tcPr>
          <w:p>
            <w:pPr>
              <w:spacing w:after="0"/>
              <w:rPr>
                <w:sz w:val="21"/>
                <w:szCs w:val="21"/>
                <w:color w:val="auto"/>
              </w:rPr>
            </w:pPr>
          </w:p>
        </w:tc>
        <w:tc>
          <w:tcPr>
            <w:tcW w:w="8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w w:val="99"/>
              </w:rPr>
              <w:t>145</w:t>
            </w:r>
          </w:p>
        </w:tc>
        <w:tc>
          <w:tcPr>
            <w:tcW w:w="466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6.14</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145</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29"/>
        </w:trPr>
        <w:tc>
          <w:tcPr>
            <w:tcW w:w="3480" w:type="dxa"/>
            <w:vAlign w:val="bottom"/>
            <w:gridSpan w:val="9"/>
          </w:tcPr>
          <w:p>
            <w:pPr>
              <w:jc w:val="right"/>
              <w:ind w:right="41"/>
              <w:spacing w:after="0"/>
              <w:rPr>
                <w:sz w:val="20"/>
                <w:szCs w:val="20"/>
                <w:color w:val="auto"/>
              </w:rPr>
            </w:pPr>
            <w:r>
              <w:rPr>
                <w:rFonts w:ascii="Times New Roman" w:cs="Times New Roman" w:eastAsia="Times New Roman" w:hAnsi="Times New Roman"/>
                <w:sz w:val="20"/>
                <w:szCs w:val="20"/>
                <w:color w:val="auto"/>
              </w:rPr>
              <w:t>6.15  Compliance With Laws, Etc.  145</w:t>
            </w:r>
          </w:p>
        </w:tc>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6.16</w:t>
            </w:r>
          </w:p>
        </w:tc>
        <w:tc>
          <w:tcPr>
            <w:tcW w:w="27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Investment Company Act  145</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6.17</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86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145</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40" w:right="1440"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6.18</w:t>
            </w: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146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6.19</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6.20</w:t>
            </w:r>
          </w:p>
        </w:tc>
        <w:tc>
          <w:tcPr>
            <w:tcW w:w="78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Intellectual Property, Licenses, Franchises and Formulas  147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6.21</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9"/>
              </w:rPr>
              <w:t>Anti-Terrorism Laws</w:t>
            </w:r>
          </w:p>
        </w:tc>
        <w:tc>
          <w:tcPr>
            <w:tcW w:w="8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6.22</w:t>
            </w:r>
          </w:p>
        </w:tc>
        <w:tc>
          <w:tcPr>
            <w:tcW w:w="35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8"/>
              </w:rPr>
              <w:t>Patriot Act; Foreign Corrupt Practices Act</w:t>
            </w:r>
          </w:p>
        </w:tc>
        <w:tc>
          <w:tcPr>
            <w:tcW w:w="4300" w:type="dxa"/>
            <w:vAlign w:val="bottom"/>
          </w:tcPr>
          <w:p>
            <w:pPr>
              <w:jc w:val="right"/>
              <w:ind w:right="3721"/>
              <w:spacing w:after="0"/>
              <w:rPr>
                <w:sz w:val="20"/>
                <w:szCs w:val="20"/>
                <w:color w:val="auto"/>
              </w:rPr>
            </w:pPr>
            <w:r>
              <w:rPr>
                <w:rFonts w:ascii="Times New Roman" w:cs="Times New Roman" w:eastAsia="Times New Roman" w:hAnsi="Times New Roman"/>
                <w:sz w:val="20"/>
                <w:szCs w:val="20"/>
                <w:color w:val="auto"/>
              </w:rPr>
              <w:t>148</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6.23</w:t>
            </w: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Insolvency Proceedings</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6.24</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8"/>
              </w:rPr>
              <w:t>Beneficial Ownership Certification</w:t>
            </w: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148</w:t>
            </w:r>
          </w:p>
        </w:tc>
        <w:tc>
          <w:tcPr>
            <w:tcW w:w="4300" w:type="dxa"/>
            <w:vAlign w:val="bottom"/>
          </w:tcPr>
          <w:p>
            <w:pPr>
              <w:spacing w:after="0"/>
              <w:rPr>
                <w:sz w:val="22"/>
                <w:szCs w:val="22"/>
                <w:color w:val="auto"/>
              </w:rPr>
            </w:pPr>
          </w:p>
        </w:tc>
      </w:tr>
      <w:tr>
        <w:trPr>
          <w:trHeight w:val="430"/>
        </w:trPr>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7"/>
              </w:rPr>
              <w:t>ARTICLE VII</w:t>
            </w:r>
          </w:p>
        </w:tc>
      </w:tr>
      <w:tr>
        <w:trPr>
          <w:trHeight w:val="258"/>
        </w:trPr>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w w:val="98"/>
              </w:rPr>
              <w:t>AFFIRMATIVE COVENANTS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82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148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7.2</w:t>
            </w: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9"/>
              </w:rPr>
              <w:t>150</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Notices</w:t>
            </w:r>
          </w:p>
        </w:tc>
        <w:tc>
          <w:tcPr>
            <w:tcW w:w="90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151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7.4</w:t>
            </w:r>
          </w:p>
        </w:tc>
        <w:tc>
          <w:tcPr>
            <w:tcW w:w="78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Conduct of Business and Maintenance of Existence  151</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Compliance with Laws, etc.  151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7.6</w:t>
            </w: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9"/>
              </w:rPr>
              <w:t>Maintenance of Properties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7.7</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7.8</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Payment of Taxes</w:t>
            </w: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152</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7.9</w:t>
            </w:r>
          </w:p>
        </w:tc>
        <w:tc>
          <w:tcPr>
            <w:tcW w:w="352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9"/>
              </w:rPr>
              <w:t>Inspection of Property, Books and Records</w:t>
            </w:r>
          </w:p>
        </w:tc>
        <w:tc>
          <w:tcPr>
            <w:tcW w:w="4300" w:type="dxa"/>
            <w:vAlign w:val="bottom"/>
          </w:tcPr>
          <w:p>
            <w:pPr>
              <w:jc w:val="right"/>
              <w:ind w:right="3781"/>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7.10</w:t>
            </w:r>
          </w:p>
        </w:tc>
        <w:tc>
          <w:tcPr>
            <w:tcW w:w="26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ERISA; Foreign Pension Plan</w:t>
            </w: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152</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153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7.12</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Environmental Laws</w:t>
            </w:r>
          </w:p>
        </w:tc>
        <w:tc>
          <w:tcPr>
            <w:tcW w:w="8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7.13</w:t>
            </w: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Use of Proceeds</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154</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7.14</w:t>
            </w:r>
          </w:p>
        </w:tc>
        <w:tc>
          <w:tcPr>
            <w:tcW w:w="78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Guarantees; Pledge of Additional Collateral  154</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7.15</w:t>
            </w:r>
          </w:p>
        </w:tc>
        <w:tc>
          <w:tcPr>
            <w:tcW w:w="32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End of Fiscal Years; Fiscal Quarters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157</w:t>
            </w: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7.16</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Information Regarding Collateral</w:t>
            </w: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157</w:t>
            </w: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7.17</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Excluded Companies</w:t>
            </w: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7.18</w:t>
            </w: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Facilities Rating</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157</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7.19</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Post Closing  157</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7.20</w:t>
            </w:r>
          </w:p>
        </w:tc>
        <w:tc>
          <w:tcPr>
            <w:tcW w:w="35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Release and Reinstatement of Collateral</w:t>
            </w:r>
          </w:p>
        </w:tc>
        <w:tc>
          <w:tcPr>
            <w:tcW w:w="4300" w:type="dxa"/>
            <w:vAlign w:val="bottom"/>
          </w:tcPr>
          <w:p>
            <w:pPr>
              <w:jc w:val="right"/>
              <w:ind w:right="3901"/>
              <w:spacing w:after="0"/>
              <w:rPr>
                <w:sz w:val="20"/>
                <w:szCs w:val="20"/>
                <w:color w:val="auto"/>
              </w:rPr>
            </w:pPr>
            <w:r>
              <w:rPr>
                <w:rFonts w:ascii="Times New Roman" w:cs="Times New Roman" w:eastAsia="Times New Roman" w:hAnsi="Times New Roman"/>
                <w:sz w:val="20"/>
                <w:szCs w:val="20"/>
                <w:color w:val="auto"/>
                <w:w w:val="93"/>
              </w:rPr>
              <w:t>160</w:t>
            </w:r>
          </w:p>
        </w:tc>
      </w:tr>
      <w:tr>
        <w:trPr>
          <w:trHeight w:val="430"/>
        </w:trPr>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8"/>
              </w:rPr>
              <w:t>ARTICLE VIII</w:t>
            </w:r>
          </w:p>
        </w:tc>
      </w:tr>
      <w:tr>
        <w:trPr>
          <w:trHeight w:val="258"/>
        </w:trPr>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7"/>
              </w:rPr>
              <w:t>NEGATIVE COVENANTS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w:t>
            </w:r>
          </w:p>
        </w:tc>
        <w:tc>
          <w:tcPr>
            <w:tcW w:w="32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8"/>
              </w:rPr>
              <w:t>Indebtedness; Certain Equity Securities</w:t>
            </w:r>
          </w:p>
        </w:tc>
        <w:tc>
          <w:tcPr>
            <w:tcW w:w="4620" w:type="dxa"/>
            <w:vAlign w:val="bottom"/>
            <w:gridSpan w:val="2"/>
          </w:tcPr>
          <w:p>
            <w:pPr>
              <w:jc w:val="right"/>
              <w:ind w:right="4041"/>
              <w:spacing w:after="0"/>
              <w:rPr>
                <w:sz w:val="20"/>
                <w:szCs w:val="20"/>
                <w:color w:val="auto"/>
              </w:rPr>
            </w:pPr>
            <w:r>
              <w:rPr>
                <w:rFonts w:ascii="Times New Roman" w:cs="Times New Roman" w:eastAsia="Times New Roman" w:hAnsi="Times New Roman"/>
                <w:sz w:val="20"/>
                <w:szCs w:val="20"/>
                <w:color w:val="auto"/>
              </w:rPr>
              <w:t>160</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8.2</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166</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8.3</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9"/>
              </w:rPr>
              <w:t>Fundamental Changes</w:t>
            </w: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8.4</w:t>
            </w:r>
          </w:p>
        </w:tc>
        <w:tc>
          <w:tcPr>
            <w:tcW w:w="78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Investments, Loans, Advances, Guarantee Obligations and Acquisitions  172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8.5</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Sales</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8.6</w:t>
            </w: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Sale and Leaseback Transactions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8.7</w:t>
            </w: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Sale or Discount of Receivables</w:t>
            </w: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178</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8.8</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179</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8.9</w:t>
            </w: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Transactions with Affiliates  180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8.10</w:t>
            </w: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Restrictive Agreements</w:t>
            </w: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182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8.11</w:t>
            </w:r>
          </w:p>
        </w:tc>
        <w:tc>
          <w:tcPr>
            <w:tcW w:w="782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auto"/>
              </w:rPr>
              <w:t>Amendments or Waivers of Certain Documents; Prepayments of Indebtedness  183</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8.12</w:t>
            </w:r>
          </w:p>
        </w:tc>
        <w:tc>
          <w:tcPr>
            <w:tcW w:w="78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w w:val="99"/>
              </w:rPr>
              <w:t>Limitation on Activities of Crown Holdings, Crown Finance, Crown Finance II and CCSC  184</w:t>
            </w: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8.13</w:t>
            </w:r>
          </w:p>
        </w:tc>
        <w:tc>
          <w:tcPr>
            <w:tcW w:w="21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Anti-Money Laundering</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413" w:right="1440"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8.14</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Accounting Changes</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185</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8.15</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Canadian Defined Benefit Plans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185</w:t>
            </w: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8.16</w:t>
            </w: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Sanctions</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185</w:t>
            </w: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43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jc w:val="center"/>
              <w:ind w:right="2081"/>
              <w:spacing w:after="0"/>
              <w:rPr>
                <w:sz w:val="20"/>
                <w:szCs w:val="20"/>
                <w:color w:val="auto"/>
              </w:rPr>
            </w:pPr>
            <w:r>
              <w:rPr>
                <w:rFonts w:ascii="Times New Roman" w:cs="Times New Roman" w:eastAsia="Times New Roman" w:hAnsi="Times New Roman"/>
                <w:sz w:val="20"/>
                <w:szCs w:val="20"/>
                <w:color w:val="auto"/>
                <w:w w:val="97"/>
              </w:rPr>
              <w:t>ARTICLE IX</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jc w:val="center"/>
              <w:ind w:right="2081"/>
              <w:spacing w:after="0"/>
              <w:rPr>
                <w:sz w:val="20"/>
                <w:szCs w:val="20"/>
                <w:color w:val="auto"/>
              </w:rPr>
            </w:pPr>
            <w:r>
              <w:rPr>
                <w:rFonts w:ascii="Times New Roman" w:cs="Times New Roman" w:eastAsia="Times New Roman" w:hAnsi="Times New Roman"/>
                <w:sz w:val="20"/>
                <w:szCs w:val="20"/>
                <w:color w:val="auto"/>
                <w:w w:val="98"/>
              </w:rPr>
              <w:t>FINANCIAL COVENANT</w:t>
            </w:r>
          </w:p>
        </w:tc>
      </w:tr>
      <w:tr>
        <w:trPr>
          <w:trHeight w:val="44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jc w:val="center"/>
              <w:ind w:right="2061"/>
              <w:spacing w:after="0"/>
              <w:rPr>
                <w:sz w:val="20"/>
                <w:szCs w:val="20"/>
                <w:color w:val="auto"/>
              </w:rPr>
            </w:pPr>
            <w:r>
              <w:rPr>
                <w:rFonts w:ascii="Times New Roman" w:cs="Times New Roman" w:eastAsia="Times New Roman" w:hAnsi="Times New Roman"/>
                <w:sz w:val="20"/>
                <w:szCs w:val="20"/>
                <w:color w:val="auto"/>
                <w:w w:val="98"/>
              </w:rPr>
              <w:t>ARTICLE X</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jc w:val="center"/>
              <w:ind w:right="2061"/>
              <w:spacing w:after="0"/>
              <w:rPr>
                <w:sz w:val="20"/>
                <w:szCs w:val="20"/>
                <w:color w:val="auto"/>
              </w:rPr>
            </w:pPr>
            <w:r>
              <w:rPr>
                <w:rFonts w:ascii="Times New Roman" w:cs="Times New Roman" w:eastAsia="Times New Roman" w:hAnsi="Times New Roman"/>
                <w:sz w:val="20"/>
                <w:szCs w:val="20"/>
                <w:color w:val="auto"/>
                <w:w w:val="97"/>
              </w:rPr>
              <w:t>EVENTS OF DEFAULT</w:t>
            </w:r>
          </w:p>
        </w:tc>
      </w:tr>
      <w:tr>
        <w:trPr>
          <w:trHeight w:val="4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w:t>
            </w: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Listing of 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Action if Bankruptcy</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188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10.3</w:t>
            </w: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Action if Other Event of Default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5"/>
              </w:rPr>
              <w:t>[Reserved]</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189</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10.5</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6"/>
              </w:rPr>
              <w:t>Rights Not Exclusive</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189</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43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jc w:val="center"/>
              <w:ind w:right="2081"/>
              <w:spacing w:after="0"/>
              <w:rPr>
                <w:sz w:val="20"/>
                <w:szCs w:val="20"/>
                <w:color w:val="auto"/>
              </w:rPr>
            </w:pPr>
            <w:r>
              <w:rPr>
                <w:rFonts w:ascii="Times New Roman" w:cs="Times New Roman" w:eastAsia="Times New Roman" w:hAnsi="Times New Roman"/>
                <w:sz w:val="20"/>
                <w:szCs w:val="20"/>
                <w:color w:val="auto"/>
                <w:w w:val="97"/>
              </w:rPr>
              <w:t>ARTICLE XI</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jc w:val="center"/>
              <w:ind w:right="2061"/>
              <w:spacing w:after="0"/>
              <w:rPr>
                <w:sz w:val="20"/>
                <w:szCs w:val="20"/>
                <w:color w:val="auto"/>
              </w:rPr>
            </w:pPr>
            <w:r>
              <w:rPr>
                <w:rFonts w:ascii="Times New Roman" w:cs="Times New Roman" w:eastAsia="Times New Roman" w:hAnsi="Times New Roman"/>
                <w:sz w:val="20"/>
                <w:szCs w:val="20"/>
                <w:color w:val="auto"/>
                <w:w w:val="99"/>
              </w:rPr>
              <w:t>THE AGENTS</w:t>
            </w:r>
          </w:p>
        </w:tc>
      </w:tr>
      <w:tr>
        <w:trPr>
          <w:trHeight w:val="4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Appointment</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190</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1"/>
                <w:szCs w:val="21"/>
                <w:color w:val="auto"/>
              </w:rPr>
            </w:pPr>
          </w:p>
        </w:tc>
        <w:tc>
          <w:tcPr>
            <w:tcW w:w="852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The Administrative Agent in Its Individual Capacity  191</w:t>
            </w:r>
          </w:p>
        </w:tc>
      </w:t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19"/>
                <w:szCs w:val="19"/>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Nature of Duties  192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Reliance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192</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Delegation of Duties</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21"/>
                <w:szCs w:val="21"/>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Resignation by the Administrative Agent  193</w:t>
            </w:r>
          </w:p>
        </w:tc>
        <w:tc>
          <w:tcPr>
            <w:tcW w:w="4620" w:type="dxa"/>
            <w:vAlign w:val="bottom"/>
          </w:tcPr>
          <w:p>
            <w:pPr>
              <w:spacing w:after="0"/>
              <w:rPr>
                <w:sz w:val="21"/>
                <w:szCs w:val="21"/>
                <w:color w:val="auto"/>
              </w:rPr>
            </w:pP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19"/>
                <w:szCs w:val="19"/>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Lack of Reliance on the Administrative Agent</w:t>
            </w:r>
          </w:p>
        </w:tc>
        <w:tc>
          <w:tcPr>
            <w:tcW w:w="4620" w:type="dxa"/>
            <w:vAlign w:val="bottom"/>
          </w:tcPr>
          <w:p>
            <w:pPr>
              <w:jc w:val="right"/>
              <w:ind w:right="4221"/>
              <w:spacing w:after="0"/>
              <w:rPr>
                <w:sz w:val="20"/>
                <w:szCs w:val="20"/>
                <w:color w:val="auto"/>
              </w:rPr>
            </w:pPr>
            <w:r>
              <w:rPr>
                <w:rFonts w:ascii="Times New Roman" w:cs="Times New Roman" w:eastAsia="Times New Roman" w:hAnsi="Times New Roman"/>
                <w:sz w:val="20"/>
                <w:szCs w:val="20"/>
                <w:color w:val="auto"/>
                <w:w w:val="93"/>
              </w:rPr>
              <w:t>194</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11.8</w:t>
            </w:r>
          </w:p>
        </w:tc>
        <w:tc>
          <w:tcPr>
            <w:tcW w:w="24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No Other Duties, Etc.  194</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1"/>
                <w:szCs w:val="21"/>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9"/>
              </w:rPr>
              <w:t>Administrative Agent May File Proofs of Claim</w:t>
            </w:r>
          </w:p>
        </w:tc>
        <w:tc>
          <w:tcPr>
            <w:tcW w:w="4620" w:type="dxa"/>
            <w:vAlign w:val="bottom"/>
          </w:tcPr>
          <w:p>
            <w:pPr>
              <w:jc w:val="right"/>
              <w:ind w:right="4081"/>
              <w:spacing w:after="0"/>
              <w:rPr>
                <w:sz w:val="20"/>
                <w:szCs w:val="20"/>
                <w:color w:val="auto"/>
              </w:rPr>
            </w:pPr>
            <w:r>
              <w:rPr>
                <w:rFonts w:ascii="Times New Roman" w:cs="Times New Roman" w:eastAsia="Times New Roman" w:hAnsi="Times New Roman"/>
                <w:sz w:val="20"/>
                <w:szCs w:val="20"/>
                <w:color w:val="auto"/>
              </w:rPr>
              <w:t>195</w:t>
            </w: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11.10</w:t>
            </w: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112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195</w:t>
            </w:r>
          </w:p>
        </w:tc>
        <w:tc>
          <w:tcPr>
            <w:tcW w:w="462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11.11</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Bank Related Debt</w:t>
            </w: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197</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11.12</w:t>
            </w: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8"/>
              </w:rPr>
              <w:t>Withholding Tax Indemnity</w:t>
            </w: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197</w:t>
            </w: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11.13</w:t>
            </w:r>
          </w:p>
        </w:tc>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44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20" w:type="dxa"/>
            <w:vAlign w:val="bottom"/>
          </w:tcPr>
          <w:p>
            <w:pPr>
              <w:jc w:val="center"/>
              <w:ind w:right="2061"/>
              <w:spacing w:after="0"/>
              <w:rPr>
                <w:sz w:val="20"/>
                <w:szCs w:val="20"/>
                <w:color w:val="auto"/>
              </w:rPr>
            </w:pPr>
            <w:r>
              <w:rPr>
                <w:rFonts w:ascii="Times New Roman" w:cs="Times New Roman" w:eastAsia="Times New Roman" w:hAnsi="Times New Roman"/>
                <w:sz w:val="20"/>
                <w:szCs w:val="20"/>
                <w:color w:val="auto"/>
                <w:w w:val="97"/>
              </w:rPr>
              <w:t>ARTICLE XII</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jc w:val="center"/>
              <w:ind w:right="2081"/>
              <w:spacing w:after="0"/>
              <w:rPr>
                <w:sz w:val="20"/>
                <w:szCs w:val="20"/>
                <w:color w:val="auto"/>
              </w:rPr>
            </w:pPr>
            <w:r>
              <w:rPr>
                <w:rFonts w:ascii="Times New Roman" w:cs="Times New Roman" w:eastAsia="Times New Roman" w:hAnsi="Times New Roman"/>
                <w:sz w:val="20"/>
                <w:szCs w:val="20"/>
                <w:color w:val="auto"/>
                <w:w w:val="98"/>
              </w:rPr>
              <w:t>MISCELLANEOUS</w:t>
            </w:r>
          </w:p>
        </w:tc>
      </w:tr>
      <w:tr>
        <w:trPr>
          <w:trHeight w:val="4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 Waiver; Modifications in Writing</w:t>
            </w: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197</w:t>
            </w:r>
          </w:p>
        </w:tc>
        <w:tc>
          <w:tcPr>
            <w:tcW w:w="4620" w:type="dxa"/>
            <w:vAlign w:val="bottom"/>
          </w:tcPr>
          <w:p>
            <w:pPr>
              <w:spacing w:after="0"/>
              <w:rPr>
                <w:sz w:val="24"/>
                <w:szCs w:val="24"/>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12.2</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Further Assurances</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201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12.3</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Notices, Etc.</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201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12.4</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Costs and Expenses; Indemnification</w:t>
            </w: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202</w:t>
            </w:r>
          </w:p>
        </w:tc>
        <w:tc>
          <w:tcPr>
            <w:tcW w:w="462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12.5</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Confirmations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12.6</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Adjustment; Setoff</w:t>
            </w:r>
          </w:p>
        </w:tc>
        <w:tc>
          <w:tcPr>
            <w:tcW w:w="6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3"/>
              </w:rPr>
              <w:t>204</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12.7</w:t>
            </w:r>
          </w:p>
        </w:tc>
        <w:tc>
          <w:tcPr>
            <w:tcW w:w="39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Execution in Counterparts; Electronic Execution</w:t>
            </w:r>
          </w:p>
        </w:tc>
        <w:tc>
          <w:tcPr>
            <w:tcW w:w="4620" w:type="dxa"/>
            <w:vAlign w:val="bottom"/>
          </w:tcPr>
          <w:p>
            <w:pPr>
              <w:jc w:val="right"/>
              <w:ind w:right="4021"/>
              <w:spacing w:after="0"/>
              <w:rPr>
                <w:sz w:val="20"/>
                <w:szCs w:val="20"/>
                <w:color w:val="auto"/>
              </w:rPr>
            </w:pPr>
            <w:r>
              <w:rPr>
                <w:rFonts w:ascii="Times New Roman" w:cs="Times New Roman" w:eastAsia="Times New Roman" w:hAnsi="Times New Roman"/>
                <w:sz w:val="20"/>
                <w:szCs w:val="20"/>
                <w:color w:val="auto"/>
              </w:rPr>
              <w:t>206</w:t>
            </w: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12.8</w:t>
            </w:r>
          </w:p>
        </w:tc>
        <w:tc>
          <w:tcPr>
            <w:tcW w:w="852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Binding Effect; Assignment; Addition and Substitution of Lenders  206</w:t>
            </w: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12.9</w:t>
            </w:r>
          </w:p>
        </w:tc>
        <w:tc>
          <w:tcPr>
            <w:tcW w:w="852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9"/>
              </w:rPr>
              <w:t>CONSENT TO JURISDICTION; MUTUAL WAIVER OF JURY TRIAL; SERVICE OF PROCESS  210</w:t>
            </w: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12.10</w:t>
            </w: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211</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12.11</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Transfers of Notes</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211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12.12</w:t>
            </w:r>
          </w:p>
        </w:tc>
        <w:tc>
          <w:tcPr>
            <w:tcW w:w="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Registry</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212</w:t>
            </w: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413" w:right="1440"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12.13</w:t>
            </w:r>
          </w:p>
        </w:tc>
        <w:tc>
          <w:tcPr>
            <w:tcW w:w="596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USA PATRIOT Act and Beneficial Ownership Certificate Notice  212</w:t>
            </w: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12.14</w:t>
            </w: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Headings</w:t>
            </w:r>
          </w:p>
        </w:tc>
        <w:tc>
          <w:tcPr>
            <w:tcW w:w="114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213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12.15</w:t>
            </w: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Termination of Agreement</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213</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12.16</w:t>
            </w:r>
          </w:p>
        </w:tc>
        <w:tc>
          <w:tcPr>
            <w:tcW w:w="42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7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213</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12.17</w:t>
            </w:r>
          </w:p>
        </w:tc>
        <w:tc>
          <w:tcPr>
            <w:tcW w:w="42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9"/>
              </w:rPr>
              <w:t>Concerning the Collateral and the Loan Documents</w:t>
            </w: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214</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12.18</w:t>
            </w:r>
          </w:p>
        </w:tc>
        <w:tc>
          <w:tcPr>
            <w:tcW w:w="596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9"/>
              </w:rPr>
              <w:t>U.K. Administrative Agent and Euro Collateral Agent as Joint Creditors</w:t>
            </w: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215</w:t>
            </w: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12.19</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Dutch Parallel Debt  215</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12.20</w:t>
            </w:r>
          </w:p>
        </w:tc>
        <w:tc>
          <w:tcPr>
            <w:tcW w:w="596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216</w:t>
            </w: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12.21</w:t>
            </w:r>
          </w:p>
        </w:tc>
        <w:tc>
          <w:tcPr>
            <w:tcW w:w="50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Redesignation of Unrestricted Entities as Subsidiaries  217</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12.22</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7"/>
              </w:rPr>
              <w:t>No Fiduciary Responsibility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12.23</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Joint and Several Liability</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217</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12.24</w:t>
            </w:r>
          </w:p>
        </w:tc>
        <w:tc>
          <w:tcPr>
            <w:tcW w:w="42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w w:val="98"/>
              </w:rPr>
              <w:t>Acknowledgement Regarding Any Supported QFCs</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218</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12.25</w:t>
            </w: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Certain ERISA Matters.</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219</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430"/>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ARTICLE XIII</w:t>
            </w: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80" w:type="dxa"/>
            <w:vAlign w:val="bottom"/>
            <w:gridSpan w:val="5"/>
          </w:tcPr>
          <w:p>
            <w:pPr>
              <w:jc w:val="center"/>
              <w:ind w:left="481"/>
              <w:spacing w:after="0"/>
              <w:rPr>
                <w:sz w:val="20"/>
                <w:szCs w:val="20"/>
                <w:color w:val="auto"/>
              </w:rPr>
            </w:pPr>
            <w:r>
              <w:rPr>
                <w:rFonts w:ascii="Times New Roman" w:cs="Times New Roman" w:eastAsia="Times New Roman" w:hAnsi="Times New Roman"/>
                <w:sz w:val="20"/>
                <w:szCs w:val="20"/>
                <w:color w:val="auto"/>
                <w:w w:val="98"/>
              </w:rPr>
              <w:t>COLLECTION ACTION MECHANISM</w:t>
            </w:r>
          </w:p>
        </w:tc>
      </w:tr>
      <w:tr>
        <w:trPr>
          <w:trHeight w:val="444"/>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13.1</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Implementation of CAM</w:t>
            </w:r>
          </w:p>
        </w:tc>
        <w:tc>
          <w:tcPr>
            <w:tcW w:w="80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220</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13.2</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221</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430"/>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ARTICLE XIV</w:t>
            </w: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GUARANTY</w:t>
            </w:r>
          </w:p>
        </w:tc>
        <w:tc>
          <w:tcPr>
            <w:tcW w:w="820" w:type="dxa"/>
            <w:vAlign w:val="bottom"/>
          </w:tcPr>
          <w:p>
            <w:pPr>
              <w:spacing w:after="0"/>
              <w:rPr>
                <w:sz w:val="22"/>
                <w:szCs w:val="22"/>
                <w:color w:val="auto"/>
              </w:rPr>
            </w:pPr>
          </w:p>
        </w:tc>
      </w:tr>
      <w:tr>
        <w:trPr>
          <w:trHeight w:val="4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Guarantee of Each of the Parent Guarantors</w:t>
            </w: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223</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14.2</w:t>
            </w: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Guarantee of European Borrower</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6"/>
              </w:rPr>
              <w:t>223</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14.3</w:t>
            </w: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Guarantee of Crown Finance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14.4</w:t>
            </w:r>
          </w:p>
        </w:tc>
        <w:tc>
          <w:tcPr>
            <w:tcW w:w="500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9"/>
              </w:rPr>
              <w:t>Amendments, etc. with Respect to the Applicable Obligations</w:t>
            </w:r>
          </w:p>
        </w:tc>
        <w:tc>
          <w:tcPr>
            <w:tcW w:w="96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224</w:t>
            </w: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14.5</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Guarantee Absolute and Unconditional  225</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14.6</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Reinstatement</w:t>
            </w: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3"/>
              </w:rPr>
              <w:t>225</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14.7</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14.8</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Independent Obligations</w:t>
            </w:r>
          </w:p>
        </w:tc>
        <w:tc>
          <w:tcPr>
            <w:tcW w:w="80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226</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14.9</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9"/>
              </w:rPr>
              <w:t>Guarantee Limitations for French Guarantees</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226</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14.10</w:t>
            </w:r>
          </w:p>
        </w:tc>
        <w:tc>
          <w:tcPr>
            <w:tcW w:w="42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9"/>
              </w:rPr>
              <w:t>Guarantee Limitations for Luxembourg Guarantees</w:t>
            </w: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226</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14.11</w:t>
            </w:r>
          </w:p>
        </w:tc>
        <w:tc>
          <w:tcPr>
            <w:tcW w:w="500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Guarantee Limitations for Spanish Guarantees and Security</w:t>
            </w:r>
          </w:p>
        </w:tc>
        <w:tc>
          <w:tcPr>
            <w:tcW w:w="96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227</w:t>
            </w: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14.12</w:t>
            </w:r>
          </w:p>
        </w:tc>
        <w:tc>
          <w:tcPr>
            <w:tcW w:w="50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w w:val="99"/>
              </w:rPr>
              <w:t>Guarantee Limitations for German Guarantees and Security.</w:t>
            </w: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227</w:t>
            </w: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14.13</w:t>
            </w: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Keepwell</w:t>
            </w:r>
          </w:p>
        </w:tc>
        <w:tc>
          <w:tcPr>
            <w:tcW w:w="114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228</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14.14</w:t>
            </w: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Executive Proceedings</w:t>
            </w: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229</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14.15</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Spanish Public Document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230</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14.16</w:t>
            </w: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Guarantee of Each U.S. Borrower</w:t>
            </w: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230</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13" w:right="1440" w:bottom="1440" w:gutter="0" w:footer="0" w:header="0"/>
        </w:sectPr>
      </w:pPr>
    </w:p>
    <w:bookmarkStart w:id="127" w:name="page128"/>
    <w:bookmarkEnd w:id="127"/>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INDEX OF SCHEDULES AND EXHIBITS</w:t>
      </w:r>
    </w:p>
    <w:p>
      <w:pPr>
        <w:spacing w:after="0" w:line="1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112" w:lineRule="exact"/>
        <w:rPr>
          <w:sz w:val="20"/>
          <w:szCs w:val="20"/>
          <w:color w:val="auto"/>
        </w:rPr>
      </w:pPr>
    </w:p>
    <w:p>
      <w:pPr>
        <w:ind w:right="4819"/>
        <w:spacing w:after="0" w:line="258" w:lineRule="auto"/>
        <w:rPr>
          <w:sz w:val="20"/>
          <w:szCs w:val="20"/>
          <w:color w:val="auto"/>
        </w:rPr>
      </w:pPr>
      <w:r>
        <w:rPr>
          <w:rFonts w:ascii="Times New Roman" w:cs="Times New Roman" w:eastAsia="Times New Roman" w:hAnsi="Times New Roman"/>
          <w:sz w:val="20"/>
          <w:szCs w:val="20"/>
          <w:color w:val="auto"/>
        </w:rPr>
        <w:t>Exhibit 2.1(c) Form of Swing Line Loan Participation Certificate Exhibit 2.2(a)(1) Form of Term Note</w:t>
      </w: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Exhibit 2.2(a)(2)</w:t>
      </w:r>
      <w:r>
        <w:rPr>
          <w:sz w:val="20"/>
          <w:szCs w:val="20"/>
          <w:color w:val="auto"/>
        </w:rPr>
        <w:tab/>
      </w:r>
      <w:r>
        <w:rPr>
          <w:rFonts w:ascii="Times New Roman" w:cs="Times New Roman" w:eastAsia="Times New Roman" w:hAnsi="Times New Roman"/>
          <w:sz w:val="19"/>
          <w:szCs w:val="19"/>
          <w:color w:val="auto"/>
        </w:rPr>
        <w:t>Form of Revolving Note</w:t>
      </w:r>
    </w:p>
    <w:p>
      <w:pPr>
        <w:spacing w:after="0" w:line="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Exhibit 2.5</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Exhibit 2.6</w:t>
      </w:r>
      <w:r>
        <w:rPr>
          <w:sz w:val="20"/>
          <w:szCs w:val="20"/>
          <w:color w:val="auto"/>
        </w:rPr>
        <w:tab/>
      </w:r>
      <w:r>
        <w:rPr>
          <w:rFonts w:ascii="Times New Roman" w:cs="Times New Roman" w:eastAsia="Times New Roman" w:hAnsi="Times New Roman"/>
          <w:sz w:val="19"/>
          <w:szCs w:val="19"/>
          <w:color w:val="auto"/>
        </w:rPr>
        <w:t>Form of Notice of Conversion or Continuation</w:t>
      </w:r>
    </w:p>
    <w:p>
      <w:pPr>
        <w:spacing w:after="0" w:line="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2.10(c)</w:t>
      </w:r>
      <w:r>
        <w:rPr>
          <w:sz w:val="20"/>
          <w:szCs w:val="20"/>
          <w:color w:val="auto"/>
        </w:rPr>
        <w:tab/>
      </w:r>
      <w:r>
        <w:rPr>
          <w:rFonts w:ascii="Times New Roman" w:cs="Times New Roman" w:eastAsia="Times New Roman" w:hAnsi="Times New Roman"/>
          <w:sz w:val="19"/>
          <w:szCs w:val="19"/>
          <w:color w:val="auto"/>
        </w:rPr>
        <w:t>Form of Notice of Issuance</w:t>
      </w:r>
    </w:p>
    <w:p>
      <w:pPr>
        <w:spacing w:after="0" w:line="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2.17</w:t>
      </w:r>
      <w:r>
        <w:rPr>
          <w:sz w:val="20"/>
          <w:szCs w:val="20"/>
          <w:color w:val="auto"/>
        </w:rPr>
        <w:tab/>
      </w:r>
      <w:r>
        <w:rPr>
          <w:rFonts w:ascii="Times New Roman" w:cs="Times New Roman" w:eastAsia="Times New Roman" w:hAnsi="Times New Roman"/>
          <w:sz w:val="19"/>
          <w:szCs w:val="19"/>
          <w:color w:val="auto"/>
        </w:rPr>
        <w:t>Form of Sustainability Certificate</w:t>
      </w:r>
    </w:p>
    <w:p>
      <w:pPr>
        <w:spacing w:after="0" w:line="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Exhibit 2A.2(a)</w:t>
      </w:r>
      <w:r>
        <w:rPr>
          <w:sz w:val="20"/>
          <w:szCs w:val="20"/>
          <w:color w:val="auto"/>
        </w:rPr>
        <w:tab/>
      </w:r>
      <w:r>
        <w:rPr>
          <w:rFonts w:ascii="Times New Roman" w:cs="Times New Roman" w:eastAsia="Times New Roman" w:hAnsi="Times New Roman"/>
          <w:sz w:val="19"/>
          <w:szCs w:val="19"/>
          <w:color w:val="auto"/>
        </w:rPr>
        <w:t>Form of Canadian Revolving Note</w:t>
      </w:r>
    </w:p>
    <w:p>
      <w:pPr>
        <w:spacing w:after="0" w:line="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2A.5</w:t>
      </w:r>
      <w:r>
        <w:rPr>
          <w:sz w:val="20"/>
          <w:szCs w:val="20"/>
          <w:color w:val="auto"/>
        </w:rPr>
        <w:tab/>
      </w:r>
      <w:r>
        <w:rPr>
          <w:rFonts w:ascii="Times New Roman" w:cs="Times New Roman" w:eastAsia="Times New Roman" w:hAnsi="Times New Roman"/>
          <w:sz w:val="19"/>
          <w:szCs w:val="19"/>
          <w:color w:val="auto"/>
        </w:rPr>
        <w:t>Form of Notice of Canadian Borrowing</w:t>
      </w:r>
    </w:p>
    <w:p>
      <w:pPr>
        <w:spacing w:after="0" w:line="13" w:lineRule="exact"/>
        <w:rPr>
          <w:sz w:val="20"/>
          <w:szCs w:val="20"/>
          <w:color w:val="auto"/>
        </w:rPr>
      </w:pPr>
    </w:p>
    <w:p>
      <w:pPr>
        <w:ind w:right="4419"/>
        <w:spacing w:after="0" w:line="246" w:lineRule="auto"/>
        <w:rPr>
          <w:sz w:val="20"/>
          <w:szCs w:val="20"/>
          <w:color w:val="auto"/>
        </w:rPr>
      </w:pPr>
      <w:r>
        <w:rPr>
          <w:rFonts w:ascii="Times New Roman" w:cs="Times New Roman" w:eastAsia="Times New Roman" w:hAnsi="Times New Roman"/>
          <w:sz w:val="20"/>
          <w:szCs w:val="20"/>
          <w:color w:val="auto"/>
        </w:rPr>
        <w:t>Exhibit 2A.6 Form of Notice of Canadian Conversion or Continuation Exhibit 4.7(d) Form of U.S. Tax Compliance Certificate</w:t>
      </w: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Exhibit 5.1(a)(ii)</w:t>
            </w:r>
          </w:p>
        </w:tc>
        <w:tc>
          <w:tcPr>
            <w:tcW w:w="5680" w:type="dxa"/>
            <w:vAlign w:val="bottom"/>
            <w:gridSpan w:val="2"/>
          </w:tcPr>
          <w:p>
            <w:pPr>
              <w:ind w:left="20"/>
              <w:spacing w:after="0" w:line="215" w:lineRule="exact"/>
              <w:rPr>
                <w:sz w:val="20"/>
                <w:szCs w:val="20"/>
                <w:color w:val="auto"/>
              </w:rPr>
            </w:pPr>
            <w:r>
              <w:rPr>
                <w:rFonts w:ascii="Times New Roman" w:cs="Times New Roman" w:eastAsia="Times New Roman" w:hAnsi="Times New Roman"/>
                <w:sz w:val="20"/>
                <w:szCs w:val="20"/>
                <w:color w:val="auto"/>
              </w:rPr>
              <w:t>Form of U.S. Guarantee Agreement</w:t>
            </w:r>
          </w:p>
        </w:tc>
      </w:tr>
      <w:tr>
        <w:trPr>
          <w:trHeight w:val="243"/>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5.1(a)(iii)(A)</w:t>
            </w:r>
          </w:p>
        </w:tc>
        <w:tc>
          <w:tcPr>
            <w:tcW w:w="5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U.S. Security Agreement</w:t>
            </w:r>
          </w:p>
        </w:tc>
      </w:tr>
      <w:tr>
        <w:trPr>
          <w:trHeight w:val="243"/>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Exhibit 5.1(a)(iii)(B)(I)</w:t>
            </w:r>
          </w:p>
        </w:tc>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U.S. Pledge Agreement</w:t>
            </w: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5.1(a)(iv)(A)</w:t>
            </w: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Form of Non-U.S. Guarantee Agreement</w:t>
            </w:r>
          </w:p>
        </w:tc>
      </w:tr>
      <w:tr>
        <w:trPr>
          <w:trHeight w:val="243"/>
        </w:trPr>
        <w:tc>
          <w:tcPr>
            <w:tcW w:w="7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5.1(a)(v)  Form of Euro Bank Pledge Agreement</w:t>
            </w:r>
          </w:p>
        </w:tc>
      </w:tr>
      <w:tr>
        <w:trPr>
          <w:trHeight w:val="229"/>
        </w:trPr>
        <w:tc>
          <w:tcPr>
            <w:tcW w:w="1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5.1(a)(vii)(A)</w:t>
            </w:r>
          </w:p>
        </w:tc>
        <w:tc>
          <w:tcPr>
            <w:tcW w:w="5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Form of U.S. Indemnity, Subrogation and Contribution Agreement</w:t>
            </w: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w w:val="99"/>
              </w:rPr>
              <w:t>Exhibit 5.1(a)(viii)</w:t>
            </w: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Receivables Intercreditor Agreement</w:t>
            </w:r>
          </w:p>
        </w:tc>
      </w:tr>
      <w:tr>
        <w:trPr>
          <w:trHeight w:val="229"/>
        </w:trPr>
        <w:tc>
          <w:tcPr>
            <w:tcW w:w="7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5.1(e)(i)  Form of Officer’s Certificate</w:t>
            </w: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Exhibit 5.1(e)(ii)</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Form of Secretary’s Certificate</w:t>
            </w: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Exhibit 5.1(e)(iv)</w:t>
            </w:r>
          </w:p>
        </w:tc>
        <w:tc>
          <w:tcPr>
            <w:tcW w:w="5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 of Solvency Certificate</w:t>
            </w:r>
          </w:p>
        </w:tc>
      </w:tr>
    </w:tbl>
    <w:p>
      <w:pPr>
        <w:spacing w:after="0"/>
        <w:tabs>
          <w:tab w:leader="none" w:pos="1280" w:val="left"/>
        </w:tabs>
        <w:rPr>
          <w:sz w:val="20"/>
          <w:szCs w:val="20"/>
          <w:color w:val="auto"/>
        </w:rPr>
      </w:pPr>
      <w:r>
        <w:rPr>
          <w:rFonts w:ascii="Times New Roman" w:cs="Times New Roman" w:eastAsia="Times New Roman" w:hAnsi="Times New Roman"/>
          <w:sz w:val="20"/>
          <w:szCs w:val="20"/>
          <w:color w:val="auto"/>
        </w:rPr>
        <w:t>Exhibit 7.2(a)</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12.1(c)</w:t>
      </w:r>
      <w:r>
        <w:rPr>
          <w:sz w:val="20"/>
          <w:szCs w:val="20"/>
          <w:color w:val="auto"/>
        </w:rPr>
        <w:tab/>
      </w:r>
      <w:r>
        <w:rPr>
          <w:rFonts w:ascii="Times New Roman" w:cs="Times New Roman" w:eastAsia="Times New Roman" w:hAnsi="Times New Roman"/>
          <w:sz w:val="19"/>
          <w:szCs w:val="19"/>
          <w:color w:val="auto"/>
        </w:rPr>
        <w:t>Form of Joinder Agreement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Exhibit 12.8(d)</w:t>
            </w:r>
          </w:p>
        </w:tc>
        <w:tc>
          <w:tcPr>
            <w:tcW w:w="300" w:type="dxa"/>
            <w:vAlign w:val="bottom"/>
          </w:tcPr>
          <w:p>
            <w:pPr>
              <w:spacing w:after="0"/>
              <w:rPr>
                <w:sz w:val="22"/>
                <w:szCs w:val="22"/>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Form of Assignment and Assumption Agreement</w:t>
            </w:r>
          </w:p>
        </w:tc>
      </w:tr>
      <w:tr>
        <w:trPr>
          <w:trHeight w:val="276"/>
        </w:trPr>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Schedules</w:t>
            </w:r>
          </w:p>
        </w:tc>
      </w:tr>
      <w:tr>
        <w:trPr>
          <w:trHeight w:val="362"/>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Commitments</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Revolver Sublimits</w:t>
            </w:r>
          </w:p>
        </w:tc>
      </w:tr>
      <w:tr>
        <w:trPr>
          <w:trHeight w:val="243"/>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1.1(d)  Subsidiary Borrowers/Subsidiary Guarantors</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1.1(e)</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Unrestricted Entities</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1.1(g)</w:t>
            </w:r>
          </w:p>
        </w:tc>
        <w:tc>
          <w:tcPr>
            <w:tcW w:w="300" w:type="dxa"/>
            <w:vAlign w:val="bottom"/>
          </w:tcPr>
          <w:p>
            <w:pPr>
              <w:spacing w:after="0"/>
              <w:rPr>
                <w:sz w:val="21"/>
                <w:szCs w:val="21"/>
                <w:color w:val="auto"/>
              </w:rPr>
            </w:pPr>
          </w:p>
        </w:tc>
        <w:tc>
          <w:tcPr>
            <w:tcW w:w="4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Applicable LC Sublimit</w:t>
            </w:r>
          </w:p>
        </w:tc>
      </w:tr>
      <w:tr>
        <w:trPr>
          <w:trHeight w:val="243"/>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2.10(j)  Letters of Credit Outstanding</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2.17</w:t>
            </w: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Sustainability Table</w:t>
            </w:r>
          </w:p>
        </w:tc>
      </w:tr>
      <w:tr>
        <w:trPr>
          <w:trHeight w:val="243"/>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5.1(d)   Opinions of Counsel</w:t>
            </w:r>
          </w:p>
        </w:tc>
      </w:tr>
      <w:tr>
        <w:trPr>
          <w:trHeight w:val="230"/>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6.5(b)(i)</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Indebtedness</w:t>
            </w:r>
          </w:p>
        </w:tc>
      </w:tr>
      <w:tr>
        <w:trPr>
          <w:trHeight w:val="243"/>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6.5(b)(ii)</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Existing Non-U.S. Facilities</w:t>
            </w:r>
          </w:p>
        </w:tc>
      </w:tr>
      <w:tr>
        <w:trPr>
          <w:trHeight w:val="243"/>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6.5(b)(iii)</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Factoring Facilities</w:t>
            </w:r>
          </w:p>
        </w:tc>
      </w:tr>
      <w:tr>
        <w:trPr>
          <w:trHeight w:val="230"/>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6.10(c)  Canadian Defined Benefit Plans</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6.14</w:t>
            </w: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Subsidiaries</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8.2(c)</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43"/>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8.4  Existing Investments</w:t>
            </w:r>
          </w:p>
        </w:tc>
      </w:tr>
      <w:tr>
        <w:trPr>
          <w:trHeight w:val="243"/>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8.5(b)(i)</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Permitted Transfers</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8.5(h)</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Permitted Divestitures</w:t>
            </w:r>
          </w:p>
        </w:tc>
      </w:tr>
      <w:tr>
        <w:trPr>
          <w:trHeight w:val="243"/>
        </w:trPr>
        <w:tc>
          <w:tcPr>
            <w:tcW w:w="6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8.9(f)  Transactions with Affiliates</w:t>
            </w: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Schedule 8.10</w:t>
            </w: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Restrictive Agreements</w:t>
            </w:r>
          </w:p>
        </w:tc>
      </w:tr>
    </w:tbl>
    <w:p>
      <w:pPr>
        <w:spacing w:after="0" w:line="200" w:lineRule="exact"/>
        <w:rPr>
          <w:sz w:val="20"/>
          <w:szCs w:val="20"/>
          <w:color w:val="auto"/>
        </w:rPr>
      </w:pP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0139"/>
          </w:cols>
          <w:pgMar w:left="320" w:top="1409" w:right="1440"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Amended and Restated Credit Agreement is entered into as of April 7, 2017 by and among CROWN AMERICAS LLC, a Pennsylvania limited liability company, CROWN EUROPEAN HOLDINGS S.A., a corporation organized under the laws of France (“</w:t>
      </w:r>
      <w:r>
        <w:rPr>
          <w:rFonts w:ascii="Times New Roman" w:cs="Times New Roman" w:eastAsia="Times New Roman" w:hAnsi="Times New Roman"/>
          <w:sz w:val="20"/>
          <w:szCs w:val="20"/>
          <w:u w:val="single" w:color="auto"/>
          <w:color w:val="auto"/>
        </w:rPr>
        <w:t>European Borrower</w:t>
      </w:r>
      <w:r>
        <w:rPr>
          <w:rFonts w:ascii="Times New Roman" w:cs="Times New Roman" w:eastAsia="Times New Roman" w:hAnsi="Times New Roman"/>
          <w:sz w:val="20"/>
          <w:szCs w:val="20"/>
          <w:color w:val="auto"/>
        </w:rPr>
        <w:t>”), each of the Subsidiary Borrowers from time to time party hereto, CROWN METAL PACKAGING CANADA LP, a limited partnership organized under the laws of the Province of Ontario, Canada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and together with U.S. Borrower, European Borrower and the Subsidiary Borrowers,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CROWN CORK &amp; SEAL COMPANY, INC., a Pennsylvania corporation (“</w:t>
      </w:r>
      <w:r>
        <w:rPr>
          <w:rFonts w:ascii="Times New Roman" w:cs="Times New Roman" w:eastAsia="Times New Roman" w:hAnsi="Times New Roman"/>
          <w:sz w:val="20"/>
          <w:szCs w:val="20"/>
          <w:u w:val="single" w:color="auto"/>
          <w:color w:val="auto"/>
        </w:rPr>
        <w:t>CCSC</w:t>
      </w:r>
      <w:r>
        <w:rPr>
          <w:rFonts w:ascii="Times New Roman" w:cs="Times New Roman" w:eastAsia="Times New Roman" w:hAnsi="Times New Roman"/>
          <w:sz w:val="20"/>
          <w:szCs w:val="20"/>
          <w:color w:val="auto"/>
        </w:rPr>
        <w:t>”), CROWN HOLDINGS, INC., a Pennsylvania corporation (“</w:t>
      </w:r>
      <w:r>
        <w:rPr>
          <w:rFonts w:ascii="Times New Roman" w:cs="Times New Roman" w:eastAsia="Times New Roman" w:hAnsi="Times New Roman"/>
          <w:sz w:val="20"/>
          <w:szCs w:val="20"/>
          <w:u w:val="single" w:color="auto"/>
          <w:color w:val="auto"/>
        </w:rPr>
        <w:t>Crown Holdings</w:t>
      </w:r>
      <w:r>
        <w:rPr>
          <w:rFonts w:ascii="Times New Roman" w:cs="Times New Roman" w:eastAsia="Times New Roman" w:hAnsi="Times New Roman"/>
          <w:sz w:val="20"/>
          <w:szCs w:val="20"/>
          <w:color w:val="auto"/>
        </w:rPr>
        <w:t>”) and CROWN INTERNATIONAL HOLDINGS, INC., a Delaware corporation (“</w:t>
      </w:r>
      <w:r>
        <w:rPr>
          <w:rFonts w:ascii="Times New Roman" w:cs="Times New Roman" w:eastAsia="Times New Roman" w:hAnsi="Times New Roman"/>
          <w:sz w:val="20"/>
          <w:szCs w:val="20"/>
          <w:u w:val="single" w:color="auto"/>
          <w:color w:val="auto"/>
        </w:rPr>
        <w:t>Crown International</w:t>
      </w:r>
      <w:r>
        <w:rPr>
          <w:rFonts w:ascii="Times New Roman" w:cs="Times New Roman" w:eastAsia="Times New Roman" w:hAnsi="Times New Roman"/>
          <w:sz w:val="20"/>
          <w:szCs w:val="20"/>
          <w:color w:val="auto"/>
        </w:rPr>
        <w:t>”) as Parent Guarantors, each other Credit Party from time to time party hereto, the undersigned financial institutions in their capacities as lenders hereunder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DEUTSCHE BANK AG CANADA BRANCH, as Canadian administrative agent (“</w:t>
      </w:r>
      <w:r>
        <w:rPr>
          <w:rFonts w:ascii="Times New Roman" w:cs="Times New Roman" w:eastAsia="Times New Roman" w:hAnsi="Times New Roman"/>
          <w:sz w:val="20"/>
          <w:szCs w:val="20"/>
          <w:u w:val="single" w:color="auto"/>
          <w:color w:val="auto"/>
        </w:rPr>
        <w:t>Canadian 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for the Canadian Revolving Lenders, DEUTSCHE BANK AG LONDON BRANCH, as U.K. Administrative Agent (“</w:t>
      </w:r>
      <w:r>
        <w:rPr>
          <w:rFonts w:ascii="Times New Roman" w:cs="Times New Roman" w:eastAsia="Times New Roman" w:hAnsi="Times New Roman"/>
          <w:sz w:val="20"/>
          <w:szCs w:val="20"/>
          <w:u w:val="single" w:color="auto"/>
          <w:color w:val="auto"/>
        </w:rPr>
        <w:t>U.K.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Multicurrency Revolving Lenders and Term Euro Lenders, and DEUTSCHE BANK AG NEW YORK BRANCH, as administrative agent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Dollar Revolving Lenders and the Term Loan A Lenders.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a credit agreement exists in favor of Borrowers, dated as of December 19, 2013, by and among Borrowers, the Guarantors party thereto, the lenders from time to time party thereto, Canadian Administrative Agent, U.K. Administrative Agent and Administrative Agent (as amended, restated, amended and restated or otherwise modified prior to the Effective Date,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WHEREAS, the Borrowers have requested that the (a) (i) Existing Credit Agreement be amended and restated as provided herein and</w:t>
      </w:r>
    </w:p>
    <w:p>
      <w:pPr>
        <w:spacing w:after="0" w:line="40" w:lineRule="exact"/>
        <w:rPr>
          <w:sz w:val="20"/>
          <w:szCs w:val="20"/>
          <w:color w:val="auto"/>
        </w:rPr>
      </w:pPr>
    </w:p>
    <w:p>
      <w:pPr>
        <w:jc w:val="both"/>
        <w:ind w:firstLine="8"/>
        <w:spacing w:after="0" w:line="253" w:lineRule="auto"/>
        <w:tabs>
          <w:tab w:leader="none" w:pos="29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1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of the mutual covenants herein contained and, among other things, the parties hereto agree as follows:</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-24765</wp:posOffset>
            </wp:positionV>
            <wp:extent cx="25165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18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herein, and unless the context requires a different meaning, the following terms have the meanings indicated:</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1996 Indenture</w:t>
      </w:r>
      <w:r>
        <w:rPr>
          <w:rFonts w:ascii="Times New Roman" w:cs="Times New Roman" w:eastAsia="Times New Roman" w:hAnsi="Times New Roman"/>
          <w:sz w:val="20"/>
          <w:szCs w:val="20"/>
          <w:color w:val="auto"/>
        </w:rPr>
        <w:t>” means the Indenture dated as of December 17, 1996 among CCSC, Crown Cork &amp; Seal Finance PLC, Crown Cork &amp; Seal Finance S.A. and The Bank of New York, as trustee.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Acceptance Fee</w:t>
      </w:r>
      <w:r>
        <w:rPr>
          <w:rFonts w:ascii="Times New Roman" w:cs="Times New Roman" w:eastAsia="Times New Roman" w:hAnsi="Times New Roman"/>
          <w:sz w:val="20"/>
          <w:szCs w:val="20"/>
          <w:color w:val="auto"/>
        </w:rPr>
        <w:t>” means a fee payable in Canadian Dollars by Canadian Borrower to a Canadian Revolving Lender with respect to the acceptance of a B/A or the making of a B/A Equivalent Loan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29" w:name="page130"/>
    <w:bookmarkEnd w:id="129"/>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date of such acceptance or loan, equal to the Applicable B/A Margin of the face amount of such B/A or B/A Equivalent Loan calculated on the basis of the number of days in the applicable Contract Period (including the date of acceptance and excluding the date of maturity) and a year of 365 days (it being agreed that the rate per annum applicable to the B/A Equivalent Loan is equivalent to the rate per annum otherwise applicable to the Bankers’ Acceptance which has been replaced by the making of such B/A Equivalent Loan pursuant to </w:t>
      </w:r>
      <w:r>
        <w:rPr>
          <w:rFonts w:ascii="Times New Roman" w:cs="Times New Roman" w:eastAsia="Times New Roman" w:hAnsi="Times New Roman"/>
          <w:sz w:val="19"/>
          <w:szCs w:val="19"/>
          <w:u w:val="single" w:color="auto"/>
          <w:color w:val="auto"/>
        </w:rPr>
        <w:t>Section 2A.9</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Acceptances to be Converted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series of related transactions for the purpose of or resulting, directly or indirectly, in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Consideration</w:t>
      </w:r>
      <w:r>
        <w:rPr>
          <w:rFonts w:ascii="Times New Roman" w:cs="Times New Roman" w:eastAsia="Times New Roman" w:hAnsi="Times New Roman"/>
          <w:sz w:val="20"/>
          <w:szCs w:val="20"/>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Euro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Facilities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Facility Commitment</w:t>
      </w:r>
      <w:r>
        <w:rPr>
          <w:rFonts w:ascii="Times New Roman" w:cs="Times New Roman" w:eastAsia="Times New Roman" w:hAnsi="Times New Roman"/>
          <w:sz w:val="20"/>
          <w:szCs w:val="20"/>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Security Documents</w:t>
      </w:r>
      <w:r>
        <w:rPr>
          <w:rFonts w:ascii="Times New Roman" w:cs="Times New Roman" w:eastAsia="Times New Roman" w:hAnsi="Times New Roman"/>
          <w:sz w:val="20"/>
          <w:szCs w:val="20"/>
          <w:color w:val="auto"/>
        </w:rPr>
        <w:t xml:space="preserve">” means all pledge agreements, security agreements and other security documents entered into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with respect to Additional Collateral, in each case, as amended,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U.S.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30" w:name="page131"/>
    <w:bookmarkEnd w:id="130"/>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means, for purposes of any calculation, the rate per annum equal to (a) Term CORRA for such calculation plus (b) the Term CORRA Adjustment.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w:t>
      </w:r>
      <w:r>
        <w:rPr>
          <w:rFonts w:ascii="Times New Roman" w:cs="Times New Roman" w:eastAsia="Times New Roman" w:hAnsi="Times New Roman"/>
          <w:sz w:val="19"/>
          <w:szCs w:val="19"/>
          <w:color w:val="auto"/>
        </w:rPr>
        <w:t>” means, for purposes of any calculation, the rate per annum equal to (a) Term SOFR for such calculation plus</w:t>
      </w:r>
    </w:p>
    <w:p>
      <w:pPr>
        <w:spacing w:after="0" w:line="40" w:lineRule="exact"/>
        <w:rPr>
          <w:sz w:val="20"/>
          <w:szCs w:val="20"/>
          <w:color w:val="auto"/>
        </w:rPr>
      </w:pPr>
    </w:p>
    <w:p>
      <w:pPr>
        <w:ind w:right="20" w:firstLine="8"/>
        <w:spacing w:after="0" w:line="253" w:lineRule="auto"/>
        <w:tabs>
          <w:tab w:leader="none" w:pos="28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SOFR Adjustment; provided that if Adjusted Term SOFR as so determined shall ever be less than the Floor, then Adjusted Term SOFR shall be deemed to be the Floor.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has the meaning assigned to that term in the preamble to this Agreement and any successor Administrative Agent in such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(i) when used in respect of payments and notices pertaining to Canadian Revolving Loans, the term “Administrative Agent” shall mean Canadian Administrative Agent and (ii) when used in respect of payments and notices pertaining to Multicurrency Revolving Loans, to Term Euro Loans, or to any other Term Loans denominated in an Alternative Currency, the term “Administrative Agent” shall mean U.K. Administrative Agent.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being an officer or director of a person shall not, in and of itself, be deemed “control” of such person. None of the Agents, the Sustainability Coordinators, the Arrangers, the Bookrunners, any Lender or any of their respective Affiliates shall be considered an Affiliate of Crown Holdings or any of its Subsidiaries.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Administrative Agent, Canadian Administrative Agent and/or U.K. Administrative Agent, as the context may require.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Alternative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Guaranty and Security Principles</w:t>
      </w:r>
      <w:r>
        <w:rPr>
          <w:rFonts w:ascii="Times New Roman" w:cs="Times New Roman" w:eastAsia="Times New Roman" w:hAnsi="Times New Roman"/>
          <w:sz w:val="20"/>
          <w:szCs w:val="20"/>
          <w:color w:val="auto"/>
        </w:rPr>
        <w:t>” means, with respect to any Subsidiary incorporated or formed under the laws of any jurisdiction, that a 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after the Incremental Amendment No. 3 and Fifth Amendment Effective Date to the extent that such guaranty, pledge or grant:</w:t>
      </w:r>
    </w:p>
    <w:p>
      <w:pPr>
        <w:spacing w:after="0" w:line="173" w:lineRule="exact"/>
        <w:rPr>
          <w:sz w:val="20"/>
          <w:szCs w:val="20"/>
          <w:color w:val="auto"/>
        </w:rPr>
      </w:pPr>
    </w:p>
    <w:p>
      <w:pPr>
        <w:jc w:val="both"/>
        <w:ind w:firstLine="656"/>
        <w:spacing w:after="0" w:line="276" w:lineRule="auto"/>
        <w:tabs>
          <w:tab w:leader="none" w:pos="109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656"/>
        <w:spacing w:after="0" w:line="261" w:lineRule="auto"/>
        <w:tabs>
          <w:tab w:leader="none" w:pos="119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3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each case of clauses (a) through (d) of this definition, as determined in good faith by Crown Holdings in consultation with the Administrative Agent.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the same may at any time be amended, supplemented or otherwise modified in accordance with the terms hereof and in effect.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AHYDO Payment</w:t>
      </w:r>
      <w:r>
        <w:rPr>
          <w:rFonts w:ascii="Times New Roman" w:cs="Times New Roman" w:eastAsia="Times New Roman" w:hAnsi="Times New Roman"/>
          <w:sz w:val="20"/>
          <w:szCs w:val="20"/>
          <w:color w:val="auto"/>
        </w:rPr>
        <w:t xml:space="preserve">” means any interest payment, mandatory prepayment or redemption pursuant to the terms of this Agreement or any other Loan Document or any other loan document with respect to any Indebtedness described in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in an amount that is the minimum amount necessary to ensure that such Indebtedness is not treated as an “applicable high yield discount obligation” within the meaning of Section 163(i) of the Code.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means, at any time, Euro, Sterling and any Agreed Alternative Currency.</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Alternate Rate</w:t>
      </w:r>
      <w:r>
        <w:rPr>
          <w:rFonts w:ascii="Times New Roman" w:cs="Times New Roman" w:eastAsia="Times New Roman" w:hAnsi="Times New Roman"/>
          <w:sz w:val="20"/>
          <w:szCs w:val="20"/>
          <w:color w:val="auto"/>
        </w:rPr>
        <w:t xml:space="preserve">” means, with respect to any Alternative Currency in any jurisdiction, the rate of interest per annum notified to the Administrative Agent by that Lender as soon as practicable after notice is given under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and in any event before interest is due to be paid in respect of the applicable Borrowing, based on the cost to that Lender of funding its participation in that Loan. Notwithstanding anything to the contrary contained herein, Loans may be made or maintained as Daily Rate Loans only to the extent specified in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any Loan denominated in a currency other than Dollars or Canadian Dollars.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its Affiliates from time to time concerning or relating to bribery or corruption.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B/A Margin</w:t>
      </w:r>
      <w:r>
        <w:rPr>
          <w:rFonts w:ascii="Times New Roman" w:cs="Times New Roman" w:eastAsia="Times New Roman" w:hAnsi="Times New Roman"/>
          <w:sz w:val="20"/>
          <w:szCs w:val="20"/>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1.25%, and (ii) at any date thereafter, the applicable percentage rate per annum set forth in the following table under column Applicable B/A Margin opposite the Most Recent Total Leverage Ratio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32" w:name="page133"/>
    <w:bookmarkEnd w:id="1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B/A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8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rPr>
              <w:t>1.00%</w:t>
            </w:r>
          </w:p>
        </w:tc>
        <w:tc>
          <w:tcPr>
            <w:tcW w:w="184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260" w:type="dxa"/>
            <w:vAlign w:val="bottom"/>
            <w:tcBorders>
              <w:right w:val="single" w:sz="8" w:color="auto"/>
            </w:tcBorders>
            <w:gridSpan w:val="2"/>
          </w:tcPr>
          <w:p>
            <w:pPr>
              <w:jc w:val="center"/>
              <w:ind w:right="136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3780" w:type="dxa"/>
            <w:vAlign w:val="bottom"/>
            <w:gridSpan w:val="2"/>
          </w:tcPr>
          <w:p>
            <w:pPr>
              <w:jc w:val="center"/>
              <w:ind w:left="1721"/>
              <w:spacing w:after="0" w:line="186" w:lineRule="exact"/>
              <w:rPr>
                <w:sz w:val="20"/>
                <w:szCs w:val="20"/>
                <w:color w:val="auto"/>
              </w:rPr>
            </w:pPr>
            <w:r>
              <w:rPr>
                <w:rFonts w:ascii="Times New Roman" w:cs="Times New Roman" w:eastAsia="Times New Roman" w:hAnsi="Times New Roman"/>
                <w:sz w:val="20"/>
                <w:szCs w:val="20"/>
                <w:color w:val="auto"/>
              </w:rPr>
              <w:t>1.25%</w:t>
            </w:r>
          </w:p>
        </w:tc>
        <w:tc>
          <w:tcPr>
            <w:tcW w:w="184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8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rPr>
              <w:t>1.50%</w:t>
            </w:r>
          </w:p>
        </w:tc>
        <w:tc>
          <w:tcPr>
            <w:tcW w:w="18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B/A Margin shall be adjusted pursuant to the Sustainability Rating Adjustment. Any adjustment in the Applicable B/A Margin shall be applicable to all applicable Loans then existing or subsequently made or issued.</w:t>
      </w:r>
      <w:r>
        <w:rPr>
          <w:rFonts w:ascii="Times New Roman" w:cs="Times New Roman" w:eastAsia="Times New Roman" w:hAnsi="Times New Roman"/>
          <w:sz w:val="25"/>
          <w:szCs w:val="25"/>
          <w:color w:val="auto"/>
          <w:vertAlign w:val="superscript"/>
        </w:rPr>
        <w:t>1</w:t>
      </w:r>
    </w:p>
    <w:p>
      <w:pPr>
        <w:spacing w:after="0" w:line="7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Adjusted Term SOFR Margin</w:t>
      </w:r>
      <w:r>
        <w:rPr>
          <w:rFonts w:ascii="Times New Roman" w:cs="Times New Roman" w:eastAsia="Times New Roman" w:hAnsi="Times New Roman"/>
          <w:sz w:val="20"/>
          <w:szCs w:val="20"/>
          <w:color w:val="auto"/>
        </w:rPr>
        <w:t>” means, with respect to Dollar Revolving Loans, Multicurrency Revolving Loans and Term A Loans, (i) from the Incremental Amendment No. 3 and Fifth Amendment Effective Date to the date upon which the Administrative Agent receives the Compliance Certificate related to the financial statements for the Fiscal Quarter ending September 30, 2022, 1.25%, and</w:t>
      </w:r>
    </w:p>
    <w:p>
      <w:pPr>
        <w:spacing w:after="0" w:line="1" w:lineRule="exact"/>
        <w:rPr>
          <w:sz w:val="20"/>
          <w:szCs w:val="20"/>
          <w:color w:val="auto"/>
        </w:rPr>
      </w:pPr>
    </w:p>
    <w:p>
      <w:pPr>
        <w:ind w:right="20" w:firstLine="8"/>
        <w:spacing w:after="0" w:line="253" w:lineRule="auto"/>
        <w:tabs>
          <w:tab w:leader="none" w:pos="3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date thereafter, the applicable percentage rate per annum set forth in the following table under the column Applicable Adjusted Term SOFR Margin opposite the Most Recent Total Leverage Ratio as of such date:</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Adjusted Term SOFR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00" w:type="dxa"/>
            <w:vAlign w:val="bottom"/>
            <w:tcBorders>
              <w:top w:val="single" w:sz="8" w:color="auto"/>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454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20"/>
                <w:szCs w:val="20"/>
                <w:color w:val="auto"/>
              </w:rPr>
              <w:t>1.00%</w:t>
            </w:r>
          </w:p>
        </w:tc>
        <w:tc>
          <w:tcPr>
            <w:tcW w:w="1080" w:type="dxa"/>
            <w:vAlign w:val="bottom"/>
            <w:tcBorders>
              <w:bottom w:val="single" w:sz="8" w:color="auto"/>
              <w:right w:val="single" w:sz="8" w:color="auto"/>
            </w:tcBorders>
          </w:tcPr>
          <w:p>
            <w:pPr>
              <w:spacing w:after="0"/>
              <w:rPr>
                <w:sz w:val="21"/>
                <w:szCs w:val="21"/>
                <w:color w:val="auto"/>
              </w:rPr>
            </w:pPr>
          </w:p>
        </w:tc>
      </w:tr>
      <w:tr>
        <w:trPr>
          <w:trHeight w:val="183"/>
        </w:trPr>
        <w:tc>
          <w:tcPr>
            <w:tcW w:w="1380" w:type="dxa"/>
            <w:vAlign w:val="bottom"/>
            <w:tcBorders>
              <w:left w:val="single" w:sz="8" w:color="auto"/>
            </w:tcBorders>
          </w:tcPr>
          <w:p>
            <w:pPr>
              <w:spacing w:after="0"/>
              <w:rPr>
                <w:sz w:val="15"/>
                <w:szCs w:val="15"/>
                <w:color w:val="auto"/>
              </w:rPr>
            </w:pPr>
          </w:p>
        </w:tc>
        <w:tc>
          <w:tcPr>
            <w:tcW w:w="4260" w:type="dxa"/>
            <w:vAlign w:val="bottom"/>
            <w:tcBorders>
              <w:right w:val="single" w:sz="8" w:color="auto"/>
            </w:tcBorders>
            <w:gridSpan w:val="2"/>
          </w:tcPr>
          <w:p>
            <w:pPr>
              <w:jc w:val="center"/>
              <w:ind w:right="1360"/>
              <w:spacing w:after="0" w:line="183"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540" w:type="dxa"/>
            <w:vAlign w:val="bottom"/>
            <w:gridSpan w:val="2"/>
          </w:tcPr>
          <w:p>
            <w:pPr>
              <w:jc w:val="center"/>
              <w:ind w:left="961"/>
              <w:spacing w:after="0" w:line="183" w:lineRule="exact"/>
              <w:rPr>
                <w:sz w:val="20"/>
                <w:szCs w:val="20"/>
                <w:color w:val="auto"/>
              </w:rPr>
            </w:pPr>
            <w:r>
              <w:rPr>
                <w:rFonts w:ascii="Times New Roman" w:cs="Times New Roman" w:eastAsia="Times New Roman" w:hAnsi="Times New Roman"/>
                <w:sz w:val="20"/>
                <w:szCs w:val="20"/>
                <w:color w:val="auto"/>
              </w:rPr>
              <w:t>1.25%</w:t>
            </w:r>
          </w:p>
        </w:tc>
        <w:tc>
          <w:tcPr>
            <w:tcW w:w="1080" w:type="dxa"/>
            <w:vAlign w:val="bottom"/>
            <w:tcBorders>
              <w:right w:val="single" w:sz="8" w:color="auto"/>
            </w:tcBorders>
          </w:tcPr>
          <w:p>
            <w:pPr>
              <w:spacing w:after="0"/>
              <w:rPr>
                <w:sz w:val="15"/>
                <w:szCs w:val="15"/>
                <w:color w:val="auto"/>
              </w:rPr>
            </w:pPr>
          </w:p>
        </w:tc>
      </w:tr>
      <w:tr>
        <w:trPr>
          <w:trHeight w:val="257"/>
        </w:trPr>
        <w:tc>
          <w:tcPr>
            <w:tcW w:w="1380" w:type="dxa"/>
            <w:vAlign w:val="bottom"/>
            <w:tcBorders>
              <w:left w:val="single" w:sz="8" w:color="auto"/>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04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54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20"/>
                <w:szCs w:val="20"/>
                <w:color w:val="auto"/>
              </w:rPr>
              <w:t>1.50%</w:t>
            </w:r>
          </w:p>
        </w:tc>
        <w:tc>
          <w:tcPr>
            <w:tcW w:w="1080" w:type="dxa"/>
            <w:vAlign w:val="bottom"/>
            <w:tcBorders>
              <w:bottom w:val="single" w:sz="8" w:color="auto"/>
              <w:right w:val="single" w:sz="8" w:color="auto"/>
            </w:tcBorders>
          </w:tcPr>
          <w:p>
            <w:pPr>
              <w:spacing w:after="0"/>
              <w:rPr>
                <w:sz w:val="21"/>
                <w:szCs w:val="21"/>
                <w:color w:val="auto"/>
              </w:rPr>
            </w:pPr>
          </w:p>
        </w:tc>
      </w:tr>
    </w:tbl>
    <w:p>
      <w:pPr>
        <w:spacing w:after="0" w:line="27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Adjusted Term SOFR Margin shall be adjusted from time to time on an annual basis based upon the Sustainability Rate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Rate Adjustment shall be 0.000% and there shall be no Sustainability Rate Adjustment to the Applicable Adjusted Term SOFR Margin.</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Base Rate Margin</w:t>
      </w:r>
      <w:r>
        <w:rPr>
          <w:rFonts w:ascii="Times New Roman" w:cs="Times New Roman" w:eastAsia="Times New Roman" w:hAnsi="Times New Roman"/>
          <w:sz w:val="20"/>
          <w:szCs w:val="20"/>
          <w:color w:val="auto"/>
        </w:rPr>
        <w:t>” means, at any date, with respect to Dollar Revolving Loans and Term A Loans, (i) from the Incremental Amendment No. 3 and Fifth Amendment Effective Date to the date upon which the Administrative Agent receives the Compliance Certificate related to the financial statements for the Fiscal Quarter ending September 30, 2022, 0.25%, and (ii) at any date thereafter, the applicable percentage rate per annum set forth in the following applicable table under the column Applicable Base Rate Margin opposite the Most Recent Total Leverage Ratio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NTD: We did not update this def given Borrower agreed to suspend B/A Loans in suspension of rights letter.</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16" w:lineRule="exact"/>
        <w:rPr>
          <w:rFonts w:ascii="Times New Roman" w:cs="Times New Roman" w:eastAsia="Times New Roman" w:hAnsi="Times New Roman"/>
          <w:sz w:val="26"/>
          <w:szCs w:val="26"/>
          <w:color w:val="auto"/>
          <w:vertAlign w:val="superscript"/>
        </w:rPr>
      </w:pPr>
    </w:p>
    <w:p>
      <w:pPr>
        <w:ind w:left="55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5</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12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14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Base Rate Margin</w:t>
            </w: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8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0"/>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Times New Roman" w:cs="Times New Roman" w:eastAsia="Times New Roman" w:hAnsi="Times New Roman"/>
                <w:sz w:val="20"/>
                <w:szCs w:val="20"/>
                <w:color w:val="auto"/>
              </w:rPr>
              <w:t>0.00%</w:t>
            </w:r>
          </w:p>
        </w:tc>
        <w:tc>
          <w:tcPr>
            <w:tcW w:w="1340" w:type="dxa"/>
            <w:vAlign w:val="bottom"/>
            <w:tcBorders>
              <w:bottom w:val="single" w:sz="8" w:color="auto"/>
              <w:right w:val="single" w:sz="8" w:color="auto"/>
            </w:tcBorders>
          </w:tcPr>
          <w:p>
            <w:pPr>
              <w:spacing w:after="0"/>
              <w:rPr>
                <w:sz w:val="21"/>
                <w:szCs w:val="21"/>
                <w:color w:val="auto"/>
              </w:rPr>
            </w:pPr>
          </w:p>
        </w:tc>
      </w:tr>
      <w:tr>
        <w:trPr>
          <w:trHeight w:val="187"/>
        </w:trPr>
        <w:tc>
          <w:tcPr>
            <w:tcW w:w="1620" w:type="dxa"/>
            <w:vAlign w:val="bottom"/>
            <w:tcBorders>
              <w:left w:val="single" w:sz="8" w:color="auto"/>
            </w:tcBorders>
          </w:tcPr>
          <w:p>
            <w:pPr>
              <w:spacing w:after="0"/>
              <w:rPr>
                <w:sz w:val="16"/>
                <w:szCs w:val="16"/>
                <w:color w:val="auto"/>
              </w:rPr>
            </w:pPr>
          </w:p>
        </w:tc>
        <w:tc>
          <w:tcPr>
            <w:tcW w:w="4500" w:type="dxa"/>
            <w:vAlign w:val="bottom"/>
            <w:tcBorders>
              <w:right w:val="single" w:sz="8" w:color="auto"/>
            </w:tcBorders>
            <w:gridSpan w:val="2"/>
          </w:tcPr>
          <w:p>
            <w:pPr>
              <w:jc w:val="center"/>
              <w:ind w:right="1620"/>
              <w:spacing w:after="0" w:line="186" w:lineRule="exact"/>
              <w:rPr>
                <w:sz w:val="20"/>
                <w:szCs w:val="20"/>
                <w:color w:val="auto"/>
              </w:rPr>
            </w:pPr>
            <w:r>
              <w:rPr>
                <w:rFonts w:ascii="Times New Roman" w:cs="Times New Roman" w:eastAsia="Times New Roman" w:hAnsi="Times New Roman"/>
                <w:sz w:val="20"/>
                <w:szCs w:val="20"/>
                <w:color w:val="auto"/>
                <w:w w:val="99"/>
              </w:rPr>
              <w:t>Equal to or greater than 3.00 to 1.00</w:t>
            </w:r>
          </w:p>
        </w:tc>
        <w:tc>
          <w:tcPr>
            <w:tcW w:w="3800" w:type="dxa"/>
            <w:vAlign w:val="bottom"/>
            <w:gridSpan w:val="2"/>
          </w:tcPr>
          <w:p>
            <w:pPr>
              <w:jc w:val="center"/>
              <w:ind w:left="1221"/>
              <w:spacing w:after="0" w:line="186" w:lineRule="exact"/>
              <w:rPr>
                <w:sz w:val="20"/>
                <w:szCs w:val="20"/>
                <w:color w:val="auto"/>
              </w:rPr>
            </w:pPr>
            <w:r>
              <w:rPr>
                <w:rFonts w:ascii="Times New Roman" w:cs="Times New Roman" w:eastAsia="Times New Roman" w:hAnsi="Times New Roman"/>
                <w:sz w:val="20"/>
                <w:szCs w:val="20"/>
                <w:color w:val="auto"/>
              </w:rPr>
              <w:t>0.25%</w:t>
            </w:r>
          </w:p>
        </w:tc>
        <w:tc>
          <w:tcPr>
            <w:tcW w:w="1340" w:type="dxa"/>
            <w:vAlign w:val="bottom"/>
            <w:tcBorders>
              <w:right w:val="single" w:sz="8" w:color="auto"/>
            </w:tcBorders>
          </w:tcPr>
          <w:p>
            <w:pPr>
              <w:spacing w:after="0"/>
              <w:rPr>
                <w:sz w:val="16"/>
                <w:szCs w:val="16"/>
                <w:color w:val="auto"/>
              </w:rPr>
            </w:pPr>
          </w:p>
        </w:tc>
      </w:tr>
      <w:tr>
        <w:trPr>
          <w:trHeight w:val="252"/>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but less than 4.00 to 1.00</w:t>
            </w:r>
          </w:p>
        </w:tc>
        <w:tc>
          <w:tcPr>
            <w:tcW w:w="13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r>
      <w:tr>
        <w:trPr>
          <w:trHeight w:val="250"/>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Equal to or greater than 4.00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Times New Roman" w:cs="Times New Roman" w:eastAsia="Times New Roman" w:hAnsi="Times New Roman"/>
                <w:sz w:val="20"/>
                <w:szCs w:val="20"/>
                <w:color w:val="auto"/>
              </w:rPr>
              <w:t>0.50%</w:t>
            </w:r>
          </w:p>
        </w:tc>
        <w:tc>
          <w:tcPr>
            <w:tcW w:w="13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Base Rate Margin shall be adjusted from time to time on an annual basis based upon the Sustainability Rate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Rate Adjustment shall be 0.000% and there shall be no Sustainability Rate Adjustment to the Applicable Base Rate Margin.</w:t>
      </w:r>
    </w:p>
    <w:p>
      <w:pPr>
        <w:spacing w:after="0" w:line="19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Canadian Prime Rate Margin</w:t>
      </w:r>
      <w:r>
        <w:rPr>
          <w:rFonts w:ascii="Times New Roman" w:cs="Times New Roman" w:eastAsia="Times New Roman" w:hAnsi="Times New Roman"/>
          <w:sz w:val="19"/>
          <w:szCs w:val="19"/>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0.25%, and (ii) at any date thereafter, the applicable percentage rate per annum set forth in the following table under the column Applicable Canadian Prime Rate Margin opposite the Most Recent Total Leverage Ratio as of such date:</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440" w:type="dxa"/>
            <w:vAlign w:val="bottom"/>
            <w:tcBorders>
              <w:top w:val="single" w:sz="8" w:color="auto"/>
              <w:left w:val="single" w:sz="8" w:color="auto"/>
            </w:tcBorders>
          </w:tcPr>
          <w:p>
            <w:pPr>
              <w:spacing w:after="0"/>
              <w:rPr>
                <w:sz w:val="18"/>
                <w:szCs w:val="18"/>
                <w:color w:val="auto"/>
              </w:rPr>
            </w:pPr>
          </w:p>
        </w:tc>
        <w:tc>
          <w:tcPr>
            <w:tcW w:w="4340" w:type="dxa"/>
            <w:vAlign w:val="bottom"/>
            <w:tcBorders>
              <w:top w:val="single" w:sz="8" w:color="auto"/>
              <w:right w:val="single" w:sz="8" w:color="auto"/>
            </w:tcBorders>
            <w:gridSpan w:val="2"/>
          </w:tcPr>
          <w:p>
            <w:pPr>
              <w:jc w:val="center"/>
              <w:ind w:right="14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980" w:type="dxa"/>
            <w:vAlign w:val="bottom"/>
            <w:tcBorders>
              <w:top w:val="single" w:sz="8" w:color="auto"/>
            </w:tcBorders>
          </w:tcPr>
          <w:p>
            <w:pPr>
              <w:spacing w:after="0"/>
              <w:rPr>
                <w:sz w:val="18"/>
                <w:szCs w:val="18"/>
                <w:color w:val="auto"/>
              </w:rPr>
            </w:pPr>
          </w:p>
        </w:tc>
        <w:tc>
          <w:tcPr>
            <w:tcW w:w="4500" w:type="dxa"/>
            <w:vAlign w:val="bottom"/>
            <w:tcBorders>
              <w:top w:val="single" w:sz="8" w:color="auto"/>
              <w:right w:val="single" w:sz="8" w:color="auto"/>
            </w:tcBorders>
            <w:gridSpan w:val="2"/>
          </w:tcPr>
          <w:p>
            <w:pPr>
              <w:jc w:val="center"/>
              <w:ind w:right="10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Canadian Prime Rate Margin</w:t>
            </w:r>
          </w:p>
        </w:tc>
      </w:tr>
      <w:tr>
        <w:trPr>
          <w:trHeight w:val="34"/>
        </w:trPr>
        <w:tc>
          <w:tcPr>
            <w:tcW w:w="1440" w:type="dxa"/>
            <w:vAlign w:val="bottom"/>
            <w:tcBorders>
              <w:left w:val="single" w:sz="8" w:color="auto"/>
              <w:bottom w:val="single" w:sz="8" w:color="auto"/>
            </w:tcBorders>
          </w:tcPr>
          <w:p>
            <w:pPr>
              <w:spacing w:after="0"/>
              <w:rPr>
                <w:sz w:val="2"/>
                <w:szCs w:val="2"/>
                <w:color w:val="auto"/>
              </w:rPr>
            </w:pPr>
          </w:p>
        </w:tc>
        <w:tc>
          <w:tcPr>
            <w:tcW w:w="290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8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Less than 3.00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0.00%</w:t>
            </w:r>
          </w:p>
        </w:tc>
        <w:tc>
          <w:tcPr>
            <w:tcW w:w="1020" w:type="dxa"/>
            <w:vAlign w:val="bottom"/>
            <w:tcBorders>
              <w:bottom w:val="single" w:sz="8" w:color="auto"/>
              <w:right w:val="single" w:sz="8" w:color="auto"/>
            </w:tcBorders>
          </w:tcPr>
          <w:p>
            <w:pPr>
              <w:spacing w:after="0"/>
              <w:rPr>
                <w:sz w:val="21"/>
                <w:szCs w:val="21"/>
                <w:color w:val="auto"/>
              </w:rPr>
            </w:pPr>
          </w:p>
        </w:tc>
      </w:tr>
      <w:tr>
        <w:trPr>
          <w:trHeight w:val="187"/>
        </w:trPr>
        <w:tc>
          <w:tcPr>
            <w:tcW w:w="1440" w:type="dxa"/>
            <w:vAlign w:val="bottom"/>
            <w:tcBorders>
              <w:left w:val="single" w:sz="8" w:color="auto"/>
            </w:tcBorders>
          </w:tcPr>
          <w:p>
            <w:pPr>
              <w:spacing w:after="0"/>
              <w:rPr>
                <w:sz w:val="16"/>
                <w:szCs w:val="16"/>
                <w:color w:val="auto"/>
              </w:rPr>
            </w:pPr>
          </w:p>
        </w:tc>
        <w:tc>
          <w:tcPr>
            <w:tcW w:w="4340" w:type="dxa"/>
            <w:vAlign w:val="bottom"/>
            <w:tcBorders>
              <w:right w:val="single" w:sz="8" w:color="auto"/>
            </w:tcBorders>
            <w:gridSpan w:val="2"/>
          </w:tcPr>
          <w:p>
            <w:pPr>
              <w:jc w:val="center"/>
              <w:ind w:right="144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460" w:type="dxa"/>
            <w:vAlign w:val="bottom"/>
            <w:gridSpan w:val="2"/>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6"/>
              </w:rPr>
              <w:t>0.25%</w:t>
            </w:r>
          </w:p>
        </w:tc>
        <w:tc>
          <w:tcPr>
            <w:tcW w:w="1020" w:type="dxa"/>
            <w:vAlign w:val="bottom"/>
            <w:tcBorders>
              <w:right w:val="single" w:sz="8" w:color="auto"/>
            </w:tcBorders>
          </w:tcPr>
          <w:p>
            <w:pPr>
              <w:spacing w:after="0"/>
              <w:rPr>
                <w:sz w:val="16"/>
                <w:szCs w:val="16"/>
                <w:color w:val="auto"/>
              </w:rPr>
            </w:pPr>
          </w:p>
        </w:tc>
      </w:tr>
      <w:tr>
        <w:trPr>
          <w:trHeight w:val="252"/>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98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50"/>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0.50%</w:t>
            </w:r>
          </w:p>
        </w:tc>
        <w:tc>
          <w:tcPr>
            <w:tcW w:w="102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Canadian Prime Rate Margin shall be adjusted from time to time on an annual basis based upon the Sustainability Rate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Rate Adjustment shall be 0.000% and there shall be no Sustainability Rate Adjustment to the Applicable Canadian Prime Rate Margin.</w:t>
      </w:r>
    </w:p>
    <w:p>
      <w:pPr>
        <w:spacing w:after="0" w:line="19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Commitment Fee Percentage</w:t>
      </w:r>
      <w:r>
        <w:rPr>
          <w:rFonts w:ascii="Times New Roman" w:cs="Times New Roman" w:eastAsia="Times New Roman" w:hAnsi="Times New Roman"/>
          <w:sz w:val="19"/>
          <w:szCs w:val="19"/>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0.20%, and (ii) at any date thereafter, the applicable percentage rate per annum set forth in the following table under the column Applicable Commitment Fee Percentage opposite the Most Recent Total Leverage Ratio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60"/>
          </w:cols>
          <w:pgMar w:left="320" w:top="1440" w:right="319" w:bottom="1440" w:gutter="0" w:footer="0" w:header="0"/>
        </w:sectPr>
      </w:pPr>
    </w:p>
    <w:bookmarkStart w:id="134" w:name="page135"/>
    <w:bookmarkEnd w:id="134"/>
    <w:p>
      <w:pPr>
        <w:spacing w:after="0" w:line="3"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5680" w:type="dxa"/>
            <w:vAlign w:val="bottom"/>
            <w:tcBorders>
              <w:top w:val="single" w:sz="8" w:color="auto"/>
              <w:left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46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Applicable Commitment Fee Percentage</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90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20" w:type="dxa"/>
            <w:vAlign w:val="bottom"/>
            <w:tcBorders>
              <w:top w:val="single" w:sz="8" w:color="auto"/>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Less than 3.00 to 1.00</w:t>
            </w:r>
          </w:p>
        </w:tc>
        <w:tc>
          <w:tcPr>
            <w:tcW w:w="442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0.15%</w:t>
            </w:r>
          </w:p>
        </w:tc>
        <w:tc>
          <w:tcPr>
            <w:tcW w:w="104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300" w:type="dxa"/>
            <w:vAlign w:val="bottom"/>
            <w:tcBorders>
              <w:right w:val="single" w:sz="8" w:color="auto"/>
            </w:tcBorders>
            <w:gridSpan w:val="2"/>
          </w:tcPr>
          <w:p>
            <w:pPr>
              <w:jc w:val="center"/>
              <w:ind w:right="140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420" w:type="dxa"/>
            <w:vAlign w:val="bottom"/>
            <w:gridSpan w:val="2"/>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6"/>
              </w:rPr>
              <w:t>0.20%</w:t>
            </w:r>
          </w:p>
        </w:tc>
        <w:tc>
          <w:tcPr>
            <w:tcW w:w="104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0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42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0.25%</w:t>
            </w:r>
          </w:p>
        </w:tc>
        <w:tc>
          <w:tcPr>
            <w:tcW w:w="10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Commitment Fee Percentage shall be adjusted from time to time on an annual basis based upon the Sustainability Applicable Commitment Fee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Applicable Commitment Fee Adjustment shall be 0.000% and there shall be no Sustainability Applicable Commitment Fee Adjustment to the Applicable Commitment Fee Percentage.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Currency</w:t>
      </w:r>
      <w:r>
        <w:rPr>
          <w:rFonts w:ascii="Times New Roman" w:cs="Times New Roman" w:eastAsia="Times New Roman" w:hAnsi="Times New Roman"/>
          <w:sz w:val="20"/>
          <w:szCs w:val="20"/>
          <w:color w:val="auto"/>
        </w:rPr>
        <w:t>” means as to any particular payment or Loan, the currency in which it is denominated or is payable (i.e.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Canadian Dollars or the applicable Alternative Currency).</w:t>
      </w:r>
    </w:p>
    <w:p>
      <w:pPr>
        <w:spacing w:after="0" w:line="20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Eurocurrency Margin</w:t>
      </w:r>
      <w:r>
        <w:rPr>
          <w:rFonts w:ascii="Times New Roman" w:cs="Times New Roman" w:eastAsia="Times New Roman" w:hAnsi="Times New Roman"/>
          <w:sz w:val="20"/>
          <w:szCs w:val="20"/>
          <w:color w:val="auto"/>
        </w:rPr>
        <w:t>” means, at any date, with respect to Multicurrency Revolving Loans and Term Euro Loans, (i) from the Incremental Amendment No. 3 and Fifth Amendment Effective Date to the date upon which the Administrative Agent receives the Compliance Certificate related to the financial statements for the Fiscal Quarter ending September 30, 2022, 1.25% and (ii) at any date thereafter, the applicable percentage rate per annum set forth in the following table under the column Applicable Eurocurrency Margin opposite the Most Recent Total Leverage Ratio as of such date: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9"/>
              </w:rPr>
              <w:t>Applicable Eurocurrency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4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4220" w:type="dxa"/>
            <w:vAlign w:val="bottom"/>
            <w:tcBorders>
              <w:bottom w:val="single" w:sz="8" w:color="auto"/>
            </w:tcBorders>
            <w:gridSpan w:val="2"/>
          </w:tcPr>
          <w:p>
            <w:pPr>
              <w:jc w:val="center"/>
              <w:ind w:left="1281"/>
              <w:spacing w:after="0"/>
              <w:rPr>
                <w:sz w:val="20"/>
                <w:szCs w:val="20"/>
                <w:color w:val="auto"/>
              </w:rPr>
            </w:pPr>
            <w:r>
              <w:rPr>
                <w:rFonts w:ascii="Times New Roman" w:cs="Times New Roman" w:eastAsia="Times New Roman" w:hAnsi="Times New Roman"/>
                <w:sz w:val="20"/>
                <w:szCs w:val="20"/>
                <w:color w:val="auto"/>
              </w:rPr>
              <w:t>1.00%</w:t>
            </w:r>
          </w:p>
        </w:tc>
        <w:tc>
          <w:tcPr>
            <w:tcW w:w="140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260" w:type="dxa"/>
            <w:vAlign w:val="bottom"/>
            <w:tcBorders>
              <w:right w:val="single" w:sz="8" w:color="auto"/>
            </w:tcBorders>
            <w:gridSpan w:val="2"/>
          </w:tcPr>
          <w:p>
            <w:pPr>
              <w:jc w:val="center"/>
              <w:ind w:right="136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220" w:type="dxa"/>
            <w:vAlign w:val="bottom"/>
            <w:gridSpan w:val="2"/>
          </w:tcPr>
          <w:p>
            <w:pPr>
              <w:jc w:val="center"/>
              <w:ind w:left="1281"/>
              <w:spacing w:after="0" w:line="186" w:lineRule="exact"/>
              <w:rPr>
                <w:sz w:val="20"/>
                <w:szCs w:val="20"/>
                <w:color w:val="auto"/>
              </w:rPr>
            </w:pPr>
            <w:r>
              <w:rPr>
                <w:rFonts w:ascii="Times New Roman" w:cs="Times New Roman" w:eastAsia="Times New Roman" w:hAnsi="Times New Roman"/>
                <w:sz w:val="20"/>
                <w:szCs w:val="20"/>
                <w:color w:val="auto"/>
              </w:rPr>
              <w:t>1.25%</w:t>
            </w:r>
          </w:p>
        </w:tc>
        <w:tc>
          <w:tcPr>
            <w:tcW w:w="140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3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220" w:type="dxa"/>
            <w:vAlign w:val="bottom"/>
            <w:tcBorders>
              <w:bottom w:val="single" w:sz="8" w:color="auto"/>
            </w:tcBorders>
            <w:gridSpan w:val="2"/>
          </w:tcPr>
          <w:p>
            <w:pPr>
              <w:jc w:val="center"/>
              <w:ind w:left="1281"/>
              <w:spacing w:after="0"/>
              <w:rPr>
                <w:sz w:val="20"/>
                <w:szCs w:val="20"/>
                <w:color w:val="auto"/>
              </w:rPr>
            </w:pPr>
            <w:r>
              <w:rPr>
                <w:rFonts w:ascii="Times New Roman" w:cs="Times New Roman" w:eastAsia="Times New Roman" w:hAnsi="Times New Roman"/>
                <w:sz w:val="20"/>
                <w:szCs w:val="20"/>
                <w:color w:val="auto"/>
              </w:rPr>
              <w:t>1.50%</w:t>
            </w:r>
          </w:p>
        </w:tc>
        <w:tc>
          <w:tcPr>
            <w:tcW w:w="140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Eurocurrency Margin shall be adjusted from time to time on an annual basis based upon the Sustainability Rate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Rate Adjustment shall be 0.000% and there shall be no Sustainability Rate Adjustment to the Applicable Eurocurrency Margin.</w:t>
      </w:r>
    </w:p>
    <w:p>
      <w:pPr>
        <w:spacing w:after="0" w:line="19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LC Sublimit</w:t>
      </w:r>
      <w:r>
        <w:rPr>
          <w:rFonts w:ascii="Times New Roman" w:cs="Times New Roman" w:eastAsia="Times New Roman" w:hAnsi="Times New Roman"/>
          <w:sz w:val="20"/>
          <w:szCs w:val="20"/>
          <w:color w:val="auto"/>
        </w:rPr>
        <w:t xml:space="preserve">” means, (i) with respect to each of the Facing Agents on the Incremental Amendment No. 3 and Fifth Amendment Effective Date, the amount set forth opposite such Facing Agent’s name on </w:t>
      </w:r>
      <w:r>
        <w:rPr>
          <w:rFonts w:ascii="Times New Roman" w:cs="Times New Roman" w:eastAsia="Times New Roman" w:hAnsi="Times New Roman"/>
          <w:sz w:val="20"/>
          <w:szCs w:val="20"/>
          <w:u w:val="single" w:color="auto"/>
          <w:color w:val="auto"/>
        </w:rPr>
        <w:t>Schedule 1.1(g)</w:t>
      </w:r>
      <w:r>
        <w:rPr>
          <w:rFonts w:ascii="Times New Roman" w:cs="Times New Roman" w:eastAsia="Times New Roman" w:hAnsi="Times New Roman"/>
          <w:sz w:val="20"/>
          <w:szCs w:val="20"/>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which such entity agrees to become a Facing Agent hereunder, as each of the foregoing amounts may be decreased or increased from time to time with the written consent of Crown Holdings and the Facing Agents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the Applicable LC Sublimit with respect to any Facing Agent shall only require the consent of Crown Holdings and such Facing Agent).</w:t>
      </w:r>
    </w:p>
    <w:p>
      <w:pPr>
        <w:spacing w:after="0" w:line="18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RFR Margin</w:t>
      </w:r>
      <w:r>
        <w:rPr>
          <w:rFonts w:ascii="Times New Roman" w:cs="Times New Roman" w:eastAsia="Times New Roman" w:hAnsi="Times New Roman"/>
          <w:sz w:val="20"/>
          <w:szCs w:val="20"/>
          <w:color w:val="auto"/>
        </w:rPr>
        <w:t>” means, with respect to Multicurrency Revolving Loans, (i) from the Incremental Amendment No. 3 and Fifth Amendment Effective Date to the date upon which the Administrative Agent receives the Compliance Certificate related to the financial statements for the Fiscal Quarter ending September 30, 2022, 1.2826%, and (ii) at any date thereafter, the applicable percentage rate per annum set forth in the following table under the column Applicable Daily Simple RFR Margin opposite the Most Recent Total Leverage Ratio as of such date:</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RFR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40" w:type="dxa"/>
            <w:vAlign w:val="bottom"/>
            <w:tcBorders>
              <w:top w:val="single" w:sz="8" w:color="auto"/>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8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20"/>
                <w:szCs w:val="20"/>
                <w:color w:val="auto"/>
              </w:rPr>
              <w:t>1.0326%</w:t>
            </w:r>
          </w:p>
        </w:tc>
        <w:tc>
          <w:tcPr>
            <w:tcW w:w="1800" w:type="dxa"/>
            <w:vAlign w:val="bottom"/>
            <w:tcBorders>
              <w:bottom w:val="single" w:sz="8" w:color="auto"/>
              <w:right w:val="single" w:sz="8" w:color="auto"/>
            </w:tcBorders>
          </w:tcPr>
          <w:p>
            <w:pPr>
              <w:spacing w:after="0"/>
              <w:rPr>
                <w:sz w:val="21"/>
                <w:szCs w:val="21"/>
                <w:color w:val="auto"/>
              </w:rPr>
            </w:pPr>
          </w:p>
        </w:tc>
      </w:tr>
      <w:tr>
        <w:trPr>
          <w:trHeight w:val="183"/>
        </w:trPr>
        <w:tc>
          <w:tcPr>
            <w:tcW w:w="1380" w:type="dxa"/>
            <w:vAlign w:val="bottom"/>
            <w:tcBorders>
              <w:left w:val="single" w:sz="8" w:color="auto"/>
            </w:tcBorders>
          </w:tcPr>
          <w:p>
            <w:pPr>
              <w:spacing w:after="0"/>
              <w:rPr>
                <w:sz w:val="15"/>
                <w:szCs w:val="15"/>
                <w:color w:val="auto"/>
              </w:rPr>
            </w:pPr>
          </w:p>
        </w:tc>
        <w:tc>
          <w:tcPr>
            <w:tcW w:w="4260" w:type="dxa"/>
            <w:vAlign w:val="bottom"/>
            <w:tcBorders>
              <w:right w:val="single" w:sz="8" w:color="auto"/>
            </w:tcBorders>
            <w:gridSpan w:val="2"/>
          </w:tcPr>
          <w:p>
            <w:pPr>
              <w:jc w:val="center"/>
              <w:ind w:right="1360"/>
              <w:spacing w:after="0" w:line="183"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3820" w:type="dxa"/>
            <w:vAlign w:val="bottom"/>
            <w:gridSpan w:val="2"/>
          </w:tcPr>
          <w:p>
            <w:pPr>
              <w:jc w:val="center"/>
              <w:ind w:left="1681"/>
              <w:spacing w:after="0" w:line="183" w:lineRule="exact"/>
              <w:rPr>
                <w:sz w:val="20"/>
                <w:szCs w:val="20"/>
                <w:color w:val="auto"/>
              </w:rPr>
            </w:pPr>
            <w:r>
              <w:rPr>
                <w:rFonts w:ascii="Times New Roman" w:cs="Times New Roman" w:eastAsia="Times New Roman" w:hAnsi="Times New Roman"/>
                <w:sz w:val="20"/>
                <w:szCs w:val="20"/>
                <w:color w:val="auto"/>
              </w:rPr>
              <w:t>1.2826%</w:t>
            </w:r>
          </w:p>
        </w:tc>
        <w:tc>
          <w:tcPr>
            <w:tcW w:w="1800" w:type="dxa"/>
            <w:vAlign w:val="bottom"/>
            <w:tcBorders>
              <w:right w:val="single" w:sz="8" w:color="auto"/>
            </w:tcBorders>
          </w:tcPr>
          <w:p>
            <w:pPr>
              <w:spacing w:after="0"/>
              <w:rPr>
                <w:sz w:val="15"/>
                <w:szCs w:val="15"/>
                <w:color w:val="auto"/>
              </w:rPr>
            </w:pPr>
          </w:p>
        </w:tc>
      </w:tr>
      <w:tr>
        <w:trPr>
          <w:trHeight w:val="257"/>
        </w:trPr>
        <w:tc>
          <w:tcPr>
            <w:tcW w:w="1380" w:type="dxa"/>
            <w:vAlign w:val="bottom"/>
            <w:tcBorders>
              <w:left w:val="single" w:sz="8" w:color="auto"/>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7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38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20"/>
                <w:szCs w:val="20"/>
                <w:color w:val="auto"/>
              </w:rPr>
              <w:t>1.5326%</w:t>
            </w:r>
          </w:p>
        </w:tc>
        <w:tc>
          <w:tcPr>
            <w:tcW w:w="1800" w:type="dxa"/>
            <w:vAlign w:val="bottom"/>
            <w:tcBorders>
              <w:bottom w:val="single" w:sz="8" w:color="auto"/>
              <w:right w:val="single" w:sz="8" w:color="auto"/>
            </w:tcBorders>
          </w:tcPr>
          <w:p>
            <w:pPr>
              <w:spacing w:after="0"/>
              <w:rPr>
                <w:sz w:val="21"/>
                <w:szCs w:val="21"/>
                <w:color w:val="auto"/>
              </w:rPr>
            </w:pPr>
          </w:p>
        </w:tc>
      </w:tr>
    </w:tbl>
    <w:p>
      <w:pPr>
        <w:spacing w:after="0" w:line="27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Following the Seventh Amendment Effective Date, it is hereby understood and agreed that the Applicable RFR Margin shall be adjusted from time to time on an annual basis based upon the Sustainability Rate Adjustment (to be calculated and applied as set forth in Section 2.17). Notwithstanding anything to the contrary herein, until the delivery of (or failure to deliver) the Sustainability Certificate delivered in respect of the Reference Year ending December 31, 2024 pursuant to Section 2.17(e), the Sustainability Rate Adjustment shall be 0.000% and there shall be no Sustainability Rate Adjustment to the Applicable RFR Margin.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has the meaning assigned to that term in the definition of “Cash Equivalents.”</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Member State</w:t>
      </w:r>
      <w:r>
        <w:rPr>
          <w:rFonts w:ascii="Times New Roman" w:cs="Times New Roman" w:eastAsia="Times New Roman" w:hAnsi="Times New Roman"/>
          <w:sz w:val="20"/>
          <w:szCs w:val="20"/>
          <w:color w:val="auto"/>
        </w:rPr>
        <w:t>” means Belgium, France, Germany, Ireland, Italy, Luxembourg, The Netherlands, Spain, Sweden and the United Kingdom.</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means each of Deutsche Bank Securities Inc., Citibank, N.A., Wells Fargo Securities, LLC, Merrill Lynch, Pierce, Fenner</w:t>
      </w:r>
    </w:p>
    <w:p>
      <w:pPr>
        <w:spacing w:after="0" w:line="40" w:lineRule="exact"/>
        <w:rPr>
          <w:sz w:val="20"/>
          <w:szCs w:val="20"/>
          <w:color w:val="auto"/>
        </w:rPr>
      </w:pPr>
    </w:p>
    <w:p>
      <w:pPr>
        <w:ind w:right="20" w:firstLine="8"/>
        <w:spacing w:after="0" w:line="253" w:lineRule="auto"/>
        <w:tabs>
          <w:tab w:leader="none" w:pos="21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Smith Incorporated, BNP Paribas, Banco Santander, S.A., Mizuho Bank, Ltd., The Bank of Nova Scotia and TD Bank, N.A., each in its capacity as a joint lead arranger under this Agreement, and each Incremental Amendment No. 3 and Fifth Amendment Arranger.</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Asbestos Payment</w:t>
      </w:r>
      <w:r>
        <w:rPr>
          <w:rFonts w:ascii="Times New Roman" w:cs="Times New Roman" w:eastAsia="Times New Roman" w:hAnsi="Times New Roman"/>
          <w:sz w:val="20"/>
          <w:szCs w:val="20"/>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8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Disposition</w:t>
      </w:r>
      <w:r>
        <w:rPr>
          <w:rFonts w:ascii="Times New Roman" w:cs="Times New Roman" w:eastAsia="Times New Roman" w:hAnsi="Times New Roman"/>
          <w:sz w:val="20"/>
          <w:szCs w:val="20"/>
          <w:color w:val="auto"/>
        </w:rPr>
        <w:t>” means any sale, transfer, lease, conveyance or other disposition (or series of related sales, leases, transfers or dispositions) of all or any part of (i) an interest in shares of Capital Stock of a Subsidiary of Crown Holdings (other than directors’ qualifying shares) or (ii) property or other assets (each of (i) and (ii) referred to for the purposes of this definition as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by Crown Holdings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asset dispositions following the Incremental Amendment No. 3 and Fifth Amendment Effective Date having an aggregate fair market value not in excess of $750,000,000 shall not be deemed an “Asset Disposition” for purposes of this Agreement</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60"/>
          </w:cols>
          <w:pgMar w:left="320" w:top="1440" w:right="31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12.8(d)</w:t>
      </w:r>
      <w:r>
        <w:rPr>
          <w:rFonts w:ascii="Times New Roman" w:cs="Times New Roman" w:eastAsia="Times New Roman" w:hAnsi="Times New Roman"/>
          <w:sz w:val="20"/>
          <w:szCs w:val="20"/>
          <w:color w:val="auto"/>
        </w:rPr>
        <w:t xml:space="preserve"> (or such other form as mutually agreed by Crown Holdings and the Administrative Agent) by any applicable Lender, as assignor, and such Lender’s assignee in accordance with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all reasonable, documented and out-of-pocket fees and disbursements of any law firm or other external counsel, which, in the absence of an Event of Default which is continuing, shall include only the fees and expenses of one joint outside counsel for the Administrative Agent and the Lenders (and special and local counsels in each appropriate jurisdiction, to the extent reasonably necessary).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 the liquidation or preference value of outstanding Disqualified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Attributable Debt shall not constitute Attributable Debt.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of determination, an amount equal to the sum of (A) 50% of the Consolidated Net Income of 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 Effective Date (other than Capital Stock that is not permitted to be issued under Section 8.1(b)), plus (C) $200,000,000 plus (D) the Retained Declined Proceeds minus (E) the amount of any usage of such Available Amount pursuant to Section 8.4(l), Section 8.8(m) and Section 8.11(b)(s), in each case in this clause (E), prior to such date.</w:t>
      </w:r>
    </w:p>
    <w:p>
      <w:pPr>
        <w:spacing w:after="0" w:line="19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Canadian Revolving Commitment</w:t>
      </w:r>
      <w:r>
        <w:rPr>
          <w:rFonts w:ascii="Times New Roman" w:cs="Times New Roman" w:eastAsia="Times New Roman" w:hAnsi="Times New Roman"/>
          <w:sz w:val="19"/>
          <w:szCs w:val="19"/>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Dollar Revolving Commitment</w:t>
      </w:r>
      <w:r>
        <w:rPr>
          <w:rFonts w:ascii="Times New Roman" w:cs="Times New Roman" w:eastAsia="Times New Roman" w:hAnsi="Times New Roman"/>
          <w:sz w:val="20"/>
          <w:szCs w:val="20"/>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Multicurrency Revolving Commitment</w:t>
      </w:r>
      <w:r>
        <w:rPr>
          <w:rFonts w:ascii="Times New Roman" w:cs="Times New Roman" w:eastAsia="Times New Roman" w:hAnsi="Times New Roman"/>
          <w:sz w:val="20"/>
          <w:szCs w:val="20"/>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Multicurrency Revolving Sublimit</w:t>
      </w:r>
      <w:r>
        <w:rPr>
          <w:rFonts w:ascii="Times New Roman" w:cs="Times New Roman" w:eastAsia="Times New Roman" w:hAnsi="Times New Roman"/>
          <w:sz w:val="19"/>
          <w:szCs w:val="19"/>
          <w:color w:val="auto"/>
        </w:rPr>
        <w:t>” means, as to European Borrower or any Subsidiary Borrower at any time an amount equal to (i) such Borrower’s Multicurrency Revolving Sublimit at such time minus (ii) the sum of (a) the aggregate Effective Amount of then outstanding Multicurrency Revolving Loans made to such Borrower plus (b) the Effective Amount of such Borrower’s LC Obligations 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the aggregate Effective Amount of then outstanding Swing Line Loans made to such Borrower.</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3.8.</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 Equivalent Loan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2A.9(h)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 Loan</w:t>
      </w:r>
      <w:r>
        <w:rPr>
          <w:rFonts w:ascii="Times New Roman" w:cs="Times New Roman" w:eastAsia="Times New Roman" w:hAnsi="Times New Roman"/>
          <w:sz w:val="20"/>
          <w:szCs w:val="20"/>
          <w:color w:val="auto"/>
        </w:rPr>
        <w:t xml:space="preserve">” means a Borrowing comprised of one or more Bankers’ Acceptances or, as applicable, B/A Equivalent Loans. For greater certainty, all provisions of this Agreement which are applicable to Bankers’ Acceptances are also applicable,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B/A Equivalent Loans.</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Related Cash Management Agreement</w:t>
      </w:r>
      <w:r>
        <w:rPr>
          <w:rFonts w:ascii="Times New Roman" w:cs="Times New Roman" w:eastAsia="Times New Roman" w:hAnsi="Times New Roman"/>
          <w:sz w:val="20"/>
          <w:szCs w:val="20"/>
          <w:color w:val="auto"/>
        </w:rPr>
        <w:t xml:space="preserve">” means agreements of Crown Holdings or any of its Subsidiaries arising from treasury, depository, cash management services (but excluding credit and debit cards) and letter of credit facilities pursuant to </w:t>
      </w:r>
      <w:r>
        <w:rPr>
          <w:rFonts w:ascii="Times New Roman" w:cs="Times New Roman" w:eastAsia="Times New Roman" w:hAnsi="Times New Roman"/>
          <w:sz w:val="20"/>
          <w:szCs w:val="20"/>
          <w:u w:val="single" w:color="auto"/>
          <w:color w:val="auto"/>
        </w:rPr>
        <w:t>Section 8.1(a)(xxviii)</w:t>
      </w:r>
      <w:r>
        <w:rPr>
          <w:rFonts w:ascii="Times New Roman" w:cs="Times New Roman" w:eastAsia="Times New Roman" w:hAnsi="Times New Roman"/>
          <w:sz w:val="20"/>
          <w:szCs w:val="20"/>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Related Debt</w:t>
      </w:r>
      <w:r>
        <w:rPr>
          <w:rFonts w:ascii="Times New Roman" w:cs="Times New Roman" w:eastAsia="Times New Roman" w:hAnsi="Times New Roman"/>
          <w:sz w:val="20"/>
          <w:szCs w:val="20"/>
          <w:color w:val="auto"/>
        </w:rPr>
        <w:t xml:space="preserve">” means obligations under Hedging Agreements, letter of credit facilities pursuant to </w:t>
      </w:r>
      <w:r>
        <w:rPr>
          <w:rFonts w:ascii="Times New Roman" w:cs="Times New Roman" w:eastAsia="Times New Roman" w:hAnsi="Times New Roman"/>
          <w:sz w:val="20"/>
          <w:szCs w:val="20"/>
          <w:u w:val="single" w:color="auto"/>
          <w:color w:val="auto"/>
        </w:rPr>
        <w:t>Section 8.1(a)(xxviii)</w:t>
      </w:r>
      <w:r>
        <w:rPr>
          <w:rFonts w:ascii="Times New Roman" w:cs="Times New Roman" w:eastAsia="Times New Roman" w:hAnsi="Times New Roman"/>
          <w:sz w:val="20"/>
          <w:szCs w:val="20"/>
          <w:color w:val="auto"/>
        </w:rPr>
        <w:t>, and Bank Related Cash Management Agreements owed to counterparties that are Administrative Agent, U.K. Administrative Agent, Canadian Administrative Agent or a Lender or any Affiliate thereof at the time such Hedging Agreement, letter of credit facility or Bank Related Cash Management Agreement was entered into (any such Person, a “</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to the extent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38" w:name="page139"/>
    <w:bookmarkEnd w:id="13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Bankers’ Acceptance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B/A</w:t>
      </w:r>
      <w:r>
        <w:rPr>
          <w:rFonts w:ascii="Times New Roman" w:cs="Times New Roman" w:eastAsia="Times New Roman" w:hAnsi="Times New Roman"/>
          <w:sz w:val="20"/>
          <w:szCs w:val="20"/>
          <w:color w:val="auto"/>
        </w:rPr>
        <w:t>” mean a depository bill within the meaning of the Depository Bills and Notes Act (Canada) or a bill of exchange within the meaning of the Bills of Exchange Act (Canada), in each case, denominated in Canadian Dollars, drawn by Canadian Borrower, and accepted by a Canadian Revolving Lender in accordance with this Agreement.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greatest of (i) the rate most recently announced by the Administrative Agent at its principal office as its “prime rate,” which is not necessarily the lowest rate made available by the Administrative Agent, (ii) the Federal Funds Rate plus 1/2 of 1% per annum or (iii) the Adjusted Term SOFR plus 1.00%. The “prime rate” announced by the Administrative Agent is evidenced by the recording thereof after its announcement in such internal publication or publications as the Administrative Agent may designate. Any change in the interest rate resulting from a change in such “prime rate” announced by the Administrative Agent shall become effective without prior notice to Borrower as of 12:01 a.m. (New York City time) on the Business Day on which each change in such “prime rate” is announced by the Administrative Agent. The Administrative Agent may make commercial or other loans to others at rates of interest at, above or below its “prime rate.”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any Loan which bears interest at a rate determined with reference to the Base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Basel III</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firstLine="656"/>
        <w:spacing w:after="0" w:line="254" w:lineRule="auto"/>
        <w:tabs>
          <w:tab w:leader="none" w:pos="128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guidance or standards published by the Basel Committee on Banking Supervision relating to “Basel III”.</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means, initially, (w) the Term SOFR Reference Rate (in the case of Dollars), (x) the Eurocurrency Rate (in the case of Euros), (y) SONIA (in the case of Sterling) and (z) the Canadian Prime Rate (in the case of Canadian Dollars); provided that if a Benchmark Transition Event has occurred with respect to any of the aforementioned rates or the then-current Benchmark, in each case for the applicable currency, then “Benchmark” for such currency means the applicable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139" w:name="page140"/>
    <w:bookmarkEnd w:id="139"/>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for such currency to the extent that such Benchmark Replacement has replaced such prior benchmark rate for such currency pursuant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first alternative set forth in the order below that can be determined by the Administrative Agent for the applicable Benchmark Replacement Date:</w:t>
      </w:r>
    </w:p>
    <w:p>
      <w:pPr>
        <w:spacing w:after="0" w:line="146" w:lineRule="exact"/>
        <w:rPr>
          <w:sz w:val="20"/>
          <w:szCs w:val="20"/>
          <w:color w:val="auto"/>
        </w:rPr>
      </w:pPr>
    </w:p>
    <w:p>
      <w:pPr>
        <w:ind w:right="20" w:firstLine="656"/>
        <w:spacing w:after="0" w:line="283" w:lineRule="auto"/>
        <w:tabs>
          <w:tab w:leader="none" w:pos="1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the case of a Benchmark Transition Event with respect to the Term SOFR Reference Rate, the sum of (i) Daily Simple SOFR and (ii) 0.10% (10 basis points); or</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Company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8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 for any applicable currency:</w:t>
      </w:r>
    </w:p>
    <w:p>
      <w:pPr>
        <w:spacing w:after="0" w:line="160" w:lineRule="exact"/>
        <w:rPr>
          <w:sz w:val="20"/>
          <w:szCs w:val="20"/>
          <w:color w:val="auto"/>
        </w:rPr>
      </w:pPr>
    </w:p>
    <w:p>
      <w:pPr>
        <w:jc w:val="both"/>
        <w:ind w:firstLine="656"/>
        <w:spacing w:after="0" w:line="254" w:lineRule="auto"/>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for any applicable currency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for any applicable currency:</w:t>
      </w:r>
    </w:p>
    <w:p>
      <w:pPr>
        <w:spacing w:after="0" w:line="207" w:lineRule="exact"/>
        <w:rPr>
          <w:sz w:val="20"/>
          <w:szCs w:val="20"/>
          <w:color w:val="auto"/>
        </w:rPr>
      </w:pPr>
    </w:p>
    <w:p>
      <w:pPr>
        <w:jc w:val="both"/>
        <w:ind w:firstLine="656"/>
        <w:spacing w:after="0" w:line="258"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for any applicable currency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for any applicable currency has occurred if, at such time, no Benchmark Replacement for such applicable currency has replaced the then-current Benchmark for such currency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(b) ending at the time that a Benchmark Replacement for such currency has replaced the then-current Benchmark for such currency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BIA</w:t>
      </w:r>
      <w:r>
        <w:rPr>
          <w:rFonts w:ascii="Times New Roman" w:cs="Times New Roman" w:eastAsia="Times New Roman" w:hAnsi="Times New Roman"/>
          <w:sz w:val="20"/>
          <w:szCs w:val="20"/>
          <w:color w:val="auto"/>
        </w:rPr>
        <w:t>” means the Bankruptcy and Insolvency Act (Canada),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Bookrunner</w:t>
      </w:r>
      <w:r>
        <w:rPr>
          <w:rFonts w:ascii="Times New Roman" w:cs="Times New Roman" w:eastAsia="Times New Roman" w:hAnsi="Times New Roman"/>
          <w:sz w:val="20"/>
          <w:szCs w:val="20"/>
          <w:color w:val="auto"/>
        </w:rPr>
        <w:t>” means each of Deutsche Bank Securities Inc., Citibank, N.A., Wells Fargo Securities, LLC, Merrill Lynch, Pierce, Fenner &amp; Smith Incorporated, BNP Paribas, Banco Santander, S.A., Mizuho Bank, Ltd., The Bank of Nova Scotia, Bofa Securities, Inc., Unicredit Bank AG, PNC Capital Markets LLC and TD Bank, N.A., each in its capacity as a joint bookrunner under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group of Loans of a single Type made by the Lenders or the Swing Line Lender, as appropriate, on a single date (or resulting from a conversion on such date) and in the case of SOFR Loans or Eurocurrency Loans, as to which a single Interest Period is in effect,.</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when used in connection with any Letter of Credit, the term “Business Day” shall also exclude any day on which commercial banks in the city in which the respective Facing Agent for such Letter of Credit is domiciled are required by law to close; (ii) as it relates to any payment, determination, funding or notice to be made or given in connection with any Alternative Currency Loan, any day (A) on which commercial banks and foreign exchange markets are open for business in London, New York City, and the principal financial center for such Alternative Currency, and (B) with respect to any such payment, determination or funding to be made in connection with any Alternative Currency Loan denominated in Euros, on which the Trans-European Automated Real-time Gross Settlement Express Transfer (TARGET 2) System launched on November 19, 2007 or any successor settlement system is open and (C) with respect to any payment, determination, funding or notice to be made or given in connection with a Borrowing by the Canadian Borrower, or otherwise to be made or given to or from Canadian Administrative Agent, a day other than a Saturday, Sunday or other day on which commercial banks in Toronto are authorized or required by law to close and (iii) if such day relates to any interest rate settings as to a Daily Simple RFR Loan, any fundings, disbursements, settlements and payments in respect of any such Daily Simple RFR Loan, or any other dealings to be carried out pursuant to this Agreement in respect of any such Daily Simple RFR Loan, means any such day that is only a RFR Business Day, and (iv) as it relates to any payment, determination, funding or notice to be made or given in connection with any SOFR Loan, a Business Day must also be a U.S. Government Securities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142" w:name="page143"/>
    <w:bookmarkEnd w:id="14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w:t>
      </w:r>
      <w:r>
        <w:rPr>
          <w:rFonts w:ascii="Times New Roman" w:cs="Times New Roman" w:eastAsia="Times New Roman" w:hAnsi="Times New Roman"/>
          <w:sz w:val="20"/>
          <w:szCs w:val="20"/>
          <w:color w:val="auto"/>
        </w:rPr>
        <w:t xml:space="preserve">” means the mechanism for the allocation and exchange of interests in the Facilities and collections thereunder established under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w:t>
      </w:r>
      <w:r>
        <w:rPr>
          <w:rFonts w:ascii="Times New Roman" w:cs="Times New Roman" w:eastAsia="Times New Roman" w:hAnsi="Times New Roman"/>
          <w:sz w:val="20"/>
          <w:szCs w:val="20"/>
          <w:color w:val="auto"/>
        </w:rPr>
        <w:t xml:space="preserve">” means the exchange of the Lenders’ interests provided for in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 Date</w:t>
      </w:r>
      <w:r>
        <w:rPr>
          <w:rFonts w:ascii="Times New Roman" w:cs="Times New Roman" w:eastAsia="Times New Roman" w:hAnsi="Times New Roman"/>
          <w:sz w:val="20"/>
          <w:szCs w:val="20"/>
          <w:color w:val="auto"/>
        </w:rPr>
        <w:t xml:space="preserve">” means the first date after the Effective Date on which there shall occur (x) any event described in paragraph (i)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 respect to any Borrower or (y) any acceleration of the Loans.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Percentage</w:t>
      </w:r>
      <w:r>
        <w:rPr>
          <w:rFonts w:ascii="Times New Roman" w:cs="Times New Roman" w:eastAsia="Times New Roman" w:hAnsi="Times New Roman"/>
          <w:sz w:val="20"/>
          <w:szCs w:val="20"/>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 (b) the denominator shall be the sum of (i) the aggregate 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Administrative Agent</w:t>
      </w:r>
      <w:r>
        <w:rPr>
          <w:rFonts w:ascii="Times New Roman" w:cs="Times New Roman" w:eastAsia="Times New Roman" w:hAnsi="Times New Roman"/>
          <w:sz w:val="20"/>
          <w:szCs w:val="20"/>
          <w:color w:val="auto"/>
        </w:rPr>
        <w:t xml:space="preserve">” has the meaning assigned to that term in the preamble to this Agreement and any successor Canadian Administrative Agent in such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all times the Canadian Administrative Agent must be either (i) a resident in Canada for the purpose of the ITA, or (ii) deemed to be resident in Canada for the purpose of Part XIII of the ITA.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Commitment Period</w:t>
      </w:r>
      <w:r>
        <w:rPr>
          <w:rFonts w:ascii="Times New Roman" w:cs="Times New Roman" w:eastAsia="Times New Roman" w:hAnsi="Times New Roman"/>
          <w:sz w:val="20"/>
          <w:szCs w:val="20"/>
          <w:color w:val="auto"/>
        </w:rPr>
        <w:t>” means, the period from and including the Incremental Amendment No. 3 and Fifth Amendment Effective Date to but not including the Canadian Revolver Termination Date.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Party</w:t>
      </w:r>
      <w:r>
        <w:rPr>
          <w:rFonts w:ascii="Times New Roman" w:cs="Times New Roman" w:eastAsia="Times New Roman" w:hAnsi="Times New Roman"/>
          <w:sz w:val="20"/>
          <w:szCs w:val="20"/>
          <w:color w:val="auto"/>
        </w:rPr>
        <w:t>” means the Canadian Borrower and any Subsidiary Credit Party organized under the federal laws of Canada or the laws of a province or territory of Canada.</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Defined Benefit Plan</w:t>
      </w:r>
      <w:r>
        <w:rPr>
          <w:rFonts w:ascii="Times New Roman" w:cs="Times New Roman" w:eastAsia="Times New Roman" w:hAnsi="Times New Roman"/>
          <w:sz w:val="20"/>
          <w:szCs w:val="20"/>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Cdn.$</w:t>
      </w:r>
      <w:r>
        <w:rPr>
          <w:rFonts w:ascii="Times New Roman" w:cs="Times New Roman" w:eastAsia="Times New Roman" w:hAnsi="Times New Roman"/>
          <w:sz w:val="20"/>
          <w:szCs w:val="20"/>
          <w:color w:val="auto"/>
        </w:rPr>
        <w:t>” mean lawful currency of Canada.</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Facing Agent</w:t>
      </w:r>
      <w:r>
        <w:rPr>
          <w:rFonts w:ascii="Times New Roman" w:cs="Times New Roman" w:eastAsia="Times New Roman" w:hAnsi="Times New Roman"/>
          <w:sz w:val="20"/>
          <w:szCs w:val="20"/>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143" w:name="page144"/>
    <w:bookmarkEnd w:id="143"/>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Obligations</w:t>
      </w:r>
      <w:r>
        <w:rPr>
          <w:rFonts w:ascii="Times New Roman" w:cs="Times New Roman" w:eastAsia="Times New Roman" w:hAnsi="Times New Roman"/>
          <w:sz w:val="20"/>
          <w:szCs w:val="20"/>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Canadian LC Obligation of any Canadian Revolving Lender at any time shall mean its Canadian Revolver Pro Rata Share of the aggregate Canadian LC Obligations outstanding at such time.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 of Credit Exposure</w:t>
      </w:r>
      <w:r>
        <w:rPr>
          <w:rFonts w:ascii="Times New Roman" w:cs="Times New Roman" w:eastAsia="Times New Roman" w:hAnsi="Times New Roman"/>
          <w:sz w:val="20"/>
          <w:szCs w:val="20"/>
          <w:color w:val="auto"/>
        </w:rPr>
        <w:t>” means, with respect to a Canadian Revolving Lender, such Lender’s Canadian Revolver Pro Rata Share of the aggregate Canadian LC Obligations.</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Obligations</w:t>
      </w:r>
      <w:r>
        <w:rPr>
          <w:rFonts w:ascii="Times New Roman" w:cs="Times New Roman" w:eastAsia="Times New Roman" w:hAnsi="Times New Roman"/>
          <w:sz w:val="19"/>
          <w:szCs w:val="19"/>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 whether or not a claim for post-filing or post-petition interest and fees is allowed in such proceeding) the Loans made to or Unpaid Drawings pursuant to Canadian Letters of Credit issued for the account of Canadian Borrower and all other obligations and liabilities of the Canadian Borrower and any Canadian Subsidiary (including Bank Related Debt) to any Agent, any Facing Agent, to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Canadian Subsidiary to any Agent, any Facing Agent, any Lender or any Hedge Bank pursuant to any Loan Document or any Bank Related Debt) or otherwise.</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Termination Event</w:t>
      </w:r>
      <w:r>
        <w:rPr>
          <w:rFonts w:ascii="Times New Roman" w:cs="Times New Roman" w:eastAsia="Times New Roman" w:hAnsi="Times New Roman"/>
          <w:sz w:val="20"/>
          <w:szCs w:val="20"/>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 of proceedings by any Governmental Authority to terminate in whole or in part any Canadian Defined Benefit Plan, including notice being given by the Ontario Superintendent of Financial Services or another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 (vi) an event respecting any Canadian Defined Benefit Plan which could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19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means, for each day in any period, a fluctuating interest rate per annum as shall be in effect from time to time, which rate per annum shall at all times for such day be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144" w:name="page145"/>
    <w:bookmarkEnd w:id="144"/>
    <w:p>
      <w:pPr>
        <w:ind w:right="20"/>
        <w:spacing w:after="0" w:line="271" w:lineRule="auto"/>
        <w:rPr>
          <w:sz w:val="20"/>
          <w:szCs w:val="20"/>
          <w:color w:val="auto"/>
        </w:rPr>
      </w:pPr>
      <w:r>
        <w:rPr>
          <w:rFonts w:ascii="Times New Roman" w:cs="Times New Roman" w:eastAsia="Times New Roman" w:hAnsi="Times New Roman"/>
          <w:sz w:val="19"/>
          <w:szCs w:val="19"/>
          <w:color w:val="auto"/>
        </w:rPr>
        <w:t>higher of (a) the annual rate of interest announced publicly by Canadian Administrative Agent and in effect as its prime rate at its principal office in Toronto, Ontario on such day for determining interest rates on Canadian Dollar-denominated commercial loans made in Canada and</w:t>
      </w:r>
    </w:p>
    <w:p>
      <w:pPr>
        <w:spacing w:after="0" w:line="1" w:lineRule="exact"/>
        <w:rPr>
          <w:sz w:val="20"/>
          <w:szCs w:val="20"/>
          <w:color w:val="auto"/>
        </w:rPr>
      </w:pPr>
    </w:p>
    <w:p>
      <w:pPr>
        <w:ind w:firstLine="8"/>
        <w:spacing w:after="0" w:line="260" w:lineRule="auto"/>
        <w:tabs>
          <w:tab w:leader="none" w:pos="2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0.75% per annum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Adjusted Term CORRA Rate. Notwithstanding the foregoing, the Canadian Prime Rate shall not in any event be less than zero.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 Loan</w:t>
      </w:r>
      <w:r>
        <w:rPr>
          <w:rFonts w:ascii="Times New Roman" w:cs="Times New Roman" w:eastAsia="Times New Roman" w:hAnsi="Times New Roman"/>
          <w:sz w:val="20"/>
          <w:szCs w:val="20"/>
          <w:color w:val="auto"/>
        </w:rPr>
        <w:t>” means any Loan which bears interest at a rate determined with reference to the Canadian Prime Rate.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Revolver Pro Rata Share</w:t>
      </w:r>
      <w:r>
        <w:rPr>
          <w:rFonts w:ascii="Times New Roman" w:cs="Times New Roman" w:eastAsia="Times New Roman" w:hAnsi="Times New Roman"/>
          <w:sz w:val="20"/>
          <w:szCs w:val="20"/>
          <w:color w:val="auto"/>
        </w:rPr>
        <w:t>” means, when used with reference to any Canadian Revolving Lender and any described aggregate or total amount, an amount equal to the result obtained by multiplying such described aggregate or total amount by a fraction the numerator of which shall be such 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 Revolver Termination Date has occurred, the Effective Amount of all then outstanding Canadian Revolving Loans.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Revolver Termination Date</w:t>
      </w:r>
      <w:r>
        <w:rPr>
          <w:rFonts w:ascii="Times New Roman" w:cs="Times New Roman" w:eastAsia="Times New Roman" w:hAnsi="Times New Roman"/>
          <w:sz w:val="20"/>
          <w:szCs w:val="20"/>
          <w:color w:val="auto"/>
        </w:rPr>
        <w:t>” means the earliest to occur of (i) the date that is the fifth anniversary of the Incremental Amendment No. 3 and Fifth Amendment Effective Date or (ii) such earlier date as the Canadian Revolving Commitments shall have been terminated or otherwise reduced to $0 pursuant to this Agreement.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Commitment</w:t>
      </w:r>
      <w:r>
        <w:rPr>
          <w:rFonts w:ascii="Times New Roman" w:cs="Times New Roman" w:eastAsia="Times New Roman" w:hAnsi="Times New Roman"/>
          <w:sz w:val="20"/>
          <w:szCs w:val="20"/>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 Incremental Amendment No. 3 and Fifth Amendment under the caption “Amount of Canadian Revolving Commitment” as the same may be adjusted from time to time pursuant to the terms hereof and “</w:t>
      </w:r>
      <w:r>
        <w:rPr>
          <w:rFonts w:ascii="Times New Roman" w:cs="Times New Roman" w:eastAsia="Times New Roman" w:hAnsi="Times New Roman"/>
          <w:sz w:val="20"/>
          <w:szCs w:val="20"/>
          <w:u w:val="single" w:color="auto"/>
          <w:color w:val="auto"/>
        </w:rPr>
        <w:t>Canadian Revolving Commitments</w:t>
      </w:r>
      <w:r>
        <w:rPr>
          <w:rFonts w:ascii="Times New Roman" w:cs="Times New Roman" w:eastAsia="Times New Roman" w:hAnsi="Times New Roman"/>
          <w:sz w:val="20"/>
          <w:szCs w:val="20"/>
          <w:color w:val="auto"/>
        </w:rPr>
        <w:t>” means such commitments collectively, which commitments equal $50,000,000 in the aggregate as of the Incremental Amendment No. 3 and Fifth Amendment Effective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Credit Exposure</w:t>
      </w:r>
      <w:r>
        <w:rPr>
          <w:rFonts w:ascii="Times New Roman" w:cs="Times New Roman" w:eastAsia="Times New Roman" w:hAnsi="Times New Roman"/>
          <w:sz w:val="20"/>
          <w:szCs w:val="20"/>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Facility</w:t>
      </w:r>
      <w:r>
        <w:rPr>
          <w:rFonts w:ascii="Times New Roman" w:cs="Times New Roman" w:eastAsia="Times New Roman" w:hAnsi="Times New Roman"/>
          <w:sz w:val="20"/>
          <w:szCs w:val="20"/>
          <w:color w:val="auto"/>
        </w:rPr>
        <w:t>” means the credit facility under this Agreement evidenced by the Canadian Revolving Commitments and the Canadian Revolving Loans.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Lender</w:t>
      </w:r>
      <w:r>
        <w:rPr>
          <w:rFonts w:ascii="Times New Roman" w:cs="Times New Roman" w:eastAsia="Times New Roman" w:hAnsi="Times New Roman"/>
          <w:sz w:val="20"/>
          <w:szCs w:val="20"/>
          <w:color w:val="auto"/>
        </w:rPr>
        <w:t>” means any Lender which has a Canadian Revolving Commitment.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Canadian Revolving Loans</w:t>
      </w:r>
      <w:r>
        <w:rPr>
          <w:rFonts w:ascii="Times New Roman" w:cs="Times New Roman" w:eastAsia="Times New Roman" w:hAnsi="Times New Roman"/>
          <w:sz w:val="20"/>
          <w:szCs w:val="20"/>
          <w:color w:val="auto"/>
        </w:rPr>
        <w:t xml:space="preserve">” as defined have the meanings given in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including by way of Bankers’ Acceptances and B/A Equivalent Loans, pursuant to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2A.9</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Note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with respect to any Person, any and all common shares, preferred shares, interests, participations, rights in or other equivalents (however designated) of such Person’s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20"/>
          <w:szCs w:val="20"/>
          <w:color w:val="auto"/>
        </w:rPr>
        <w:t>partnership interests, membership interests or other equivalent interests and any rights (other than debt securities convertible into or exchangeable for capital stock or other ownership interests or rights, warrants or options), warrants or options exchangeable for or convertible into such capital stock or other equity interests.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at the time any determination thereof is to be made, any lease of property, real or personal, in respect of which the present value of the minimum rental commitment is capitalized on the balance sheet of the lessee in accordance with GAAP as in effect on December 15, 2018.</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at the time any determination thereof is to be made, the amount of the liability in respect of a Capitalized Lease which would at such time be so required to be capitalized on the balance sheet of the lessee in accordance with GAAP as in effect on December 15, 2018.</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the available credit balance in Dollars, Canadian Dollars, an Alternative Currency or another currency reasonably acceptable to the Administrative Agent in a Deposit Account.</w:t>
      </w:r>
    </w:p>
    <w:p>
      <w:pPr>
        <w:spacing w:after="0" w:line="16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(i) any evidence of indebtedness, maturing not more than one year after the date of issue, issued by an Approved Member State, the United States of America, Canada, or any instrumentality or agency thereof, the principal, interest and premium, if any, of which is guaranteed fully by, or backed by the full faith and credit of, such Approved Member State, the United States of America or Canada,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certificates of deposit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Times New Roman" w:cs="Times New Roman" w:eastAsia="Times New Roman" w:hAnsi="Times New Roman"/>
          <w:sz w:val="19"/>
          <w:szCs w:val="19"/>
          <w:u w:val="single" w:color="auto"/>
          <w:color w:val="auto"/>
        </w:rPr>
        <w:t>Approved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(iii) commercial paper, maturing not more than one 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 (i) with a term of not more than 30 days with any Approved Bank and (vi) shares of any money market mutual fund rated at least AA- or the equivalent thereof by S&amp;P or at least Aa3 or the equivalent thereof by Moody’s at the time of the acquisition thereof, including, without limitation, any such mutual fund managed or advised by any Lender or Administrative Agent. In the case of Investments by any Non-U.S. Subsidiary or Investments made in a country outside of the United States of America, Cash Equivalents shall include (a) investments of the type and maturity described in clauses (i) through (vi) 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CCAA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Companies Creditors Arrangement Act</w:t>
      </w:r>
      <w:r>
        <w:rPr>
          <w:rFonts w:ascii="Times New Roman" w:cs="Times New Roman" w:eastAsia="Times New Roman" w:hAnsi="Times New Roman"/>
          <w:sz w:val="20"/>
          <w:szCs w:val="20"/>
          <w:color w:val="auto"/>
        </w:rPr>
        <w:t xml:space="preserve"> (Canada),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 2026 Debentures</w:t>
      </w:r>
      <w:r>
        <w:rPr>
          <w:rFonts w:ascii="Times New Roman" w:cs="Times New Roman" w:eastAsia="Times New Roman" w:hAnsi="Times New Roman"/>
          <w:sz w:val="20"/>
          <w:szCs w:val="20"/>
          <w:color w:val="auto"/>
        </w:rPr>
        <w:t>” means the $350,000,000 7.375% Debentures due 2026 of CCSC issued under the 1996 Indenture.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 2096 Debentures</w:t>
      </w:r>
      <w:r>
        <w:rPr>
          <w:rFonts w:ascii="Times New Roman" w:cs="Times New Roman" w:eastAsia="Times New Roman" w:hAnsi="Times New Roman"/>
          <w:sz w:val="20"/>
          <w:szCs w:val="20"/>
          <w:color w:val="auto"/>
        </w:rPr>
        <w:t>” means the $150,000,000 7.50% Debentures due 2096 of CCSC issued under the 1996 Indenture.</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 Rate</w:t>
      </w:r>
      <w:r>
        <w:rPr>
          <w:rFonts w:ascii="Times New Roman" w:cs="Times New Roman" w:eastAsia="Times New Roman" w:hAnsi="Times New Roman"/>
          <w:sz w:val="20"/>
          <w:szCs w:val="20"/>
          <w:color w:val="auto"/>
        </w:rPr>
        <w:t xml:space="preserve">” means, on any day, the per annum rate of interest which is the rate determined as being the arithmetic average of the annual yield rates applicable to Canadian Dollar bankers’ acceptances having identical issue and comparable maturity dates as the Bankers’ Acceptances proposed to be issued, displayed and identified as such on the display referred to as the “CDOR Page” (or any display substituted therefor) of Reuters Monitor Money Rates Service as at approximately 10:00 a.m. (Toronto time) on such day, or if such day is not a Business Day, then on the immediately preceding Business Day (as adjusted by Canadian Administrative Agent in good faith after 10:00 a.m. (Toronto time) to reflect any error in a posted rate of interest or in the posted average annual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such a rate does not appear on such CDOR Page, then the CDOR Rate, on any day, shall be the discount rate quoted by Canadian Administrative Agent (determined as of 10:00 a.m. (Toronto time)) on such day at which Canadian Administrative Agent would purchase its own bankers acceptances in a comparable face amount and with comparable maturity dates to the Bankers’ Acceptances proposed to be issued on such day, or if such day is not a Business Day, then on the immediately preceding Business Day. Notwithstanding the foregoing, the CDOR Rate shall not in any event be less than zero.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CERCLA</w:t>
      </w:r>
      <w:r>
        <w:rPr>
          <w:rFonts w:ascii="Times New Roman" w:cs="Times New Roman" w:eastAsia="Times New Roman" w:hAnsi="Times New Roman"/>
          <w:sz w:val="20"/>
          <w:szCs w:val="20"/>
          <w:color w:val="auto"/>
        </w:rPr>
        <w:t>” means the Comprehensive Environmental Response, Compensation, and Liability Act of 1980,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Incremental Amendment No. 3 and Fifth Amendment Effective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 Crown Holdings shall fail to own, directly or indirectly, beneficially or of record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147" w:name="page148"/>
    <w:bookmarkEnd w:id="147"/>
    <w:p>
      <w:pPr>
        <w:jc w:val="both"/>
        <w:spacing w:after="0" w:line="283" w:lineRule="auto"/>
        <w:rPr>
          <w:sz w:val="20"/>
          <w:szCs w:val="20"/>
          <w:color w:val="auto"/>
        </w:rPr>
      </w:pPr>
      <w:r>
        <w:rPr>
          <w:rFonts w:ascii="Times New Roman" w:cs="Times New Roman" w:eastAsia="Times New Roman" w:hAnsi="Times New Roman"/>
          <w:sz w:val="20"/>
          <w:szCs w:val="20"/>
          <w:color w:val="auto"/>
        </w:rPr>
        <w:t>outstanding Capital Stock of either U.S. Borrower or European Borrower (other than director’s qualifying shares) or (c) the occurrence of a “Change of Control” as defined in any Public Debt Document.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Civil Procedural Law</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14.14(a)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means Coöperatieve Rabobank U.A., New York Branch, Credit Agricole Corporate and Investment Bank, ING Bank N.V., Dublin Branch, MUFG Bank, Ltd., , Sumitomo Mitsui Banking Corporation, CoBank, ACB and The Huntington National Bank, each in its capacity as a co-documentation agent under this Agreement, and the Incremental Amendment No. 3 and Fifth Amendment Co-Documentation Agents.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“Collateral” as defined in any applicable Security Document and all other assets pledged or otherwise subject to security pursuant to the Security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4.4(a)(ii)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Collateral Agents</w:t>
      </w:r>
      <w:r>
        <w:rPr>
          <w:rFonts w:ascii="Times New Roman" w:cs="Times New Roman" w:eastAsia="Times New Roman" w:hAnsi="Times New Roman"/>
          <w:sz w:val="20"/>
          <w:szCs w:val="20"/>
          <w:color w:val="auto"/>
        </w:rPr>
        <w:t>” means U.S. Collateral Agent and/or Euro Collateral Agent, as the context may require.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Reinstatement Event</w:t>
      </w:r>
      <w:r>
        <w:rPr>
          <w:rFonts w:ascii="Times New Roman" w:cs="Times New Roman" w:eastAsia="Times New Roman" w:hAnsi="Times New Roman"/>
          <w:sz w:val="20"/>
          <w:szCs w:val="20"/>
          <w:color w:val="auto"/>
        </w:rPr>
        <w:t>” means, at any time after the occurrence of a Collateral Release Event, the occurrence of either of the following: (a) the public corporate/corporate family ratings of Crown Holdings from either Moody’s or S&amp;P fall below Baa3 or BBB-respectively or (b) Crown Holdings requests that the Liens and security interests in all Collateral granted by the Credit Parties to secure the Obligations be reinstated.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Event</w:t>
      </w:r>
      <w:r>
        <w:rPr>
          <w:rFonts w:ascii="Times New Roman" w:cs="Times New Roman" w:eastAsia="Times New Roman" w:hAnsi="Times New Roman"/>
          <w:sz w:val="20"/>
          <w:szCs w:val="20"/>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Period</w:t>
      </w:r>
      <w:r>
        <w:rPr>
          <w:rFonts w:ascii="Times New Roman" w:cs="Times New Roman" w:eastAsia="Times New Roman" w:hAnsi="Times New Roman"/>
          <w:sz w:val="20"/>
          <w:szCs w:val="20"/>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the aggregate of the Dollar Revolving Commitment, Multicurrency Revolving Commitment, Canadian Revolving Commitment and the Term Commitments of such Lender and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such commitments of all of the Lenders collectively.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means collectively, Dollar Commitment Fees, Multicurrency Commitment Fees and Canadian Commitment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Period</w:t>
      </w:r>
      <w:r>
        <w:rPr>
          <w:rFonts w:ascii="Times New Roman" w:cs="Times New Roman" w:eastAsia="Times New Roman" w:hAnsi="Times New Roman"/>
          <w:sz w:val="20"/>
          <w:szCs w:val="20"/>
          <w:color w:val="auto"/>
        </w:rPr>
        <w:t>” means, the period from and including the Incremental Amendment No. 3 and Fifth Amendment Effective Date to but not including the applicable Revolver Termination Date or, in the case of the Swing Line Commitment, five (5) Business Days prior to the Revolver Termination Date for the Multicurrency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148" w:name="page149"/>
    <w:bookmarkEnd w:id="148"/>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Competitor</w:t>
      </w:r>
      <w:r>
        <w:rPr>
          <w:rFonts w:ascii="Times New Roman" w:cs="Times New Roman" w:eastAsia="Times New Roman" w:hAnsi="Times New Roman"/>
          <w:sz w:val="20"/>
          <w:szCs w:val="20"/>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Original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Term SOFR or the use, administration, adoption or implementation of any Benchmark Replacement for any applicable currency,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other technical, administrative or operational matters) that the Administrative Agent, in consultation with Crown Holdings,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for any Person, for any period, the aggregate of all expenditures (whether paid in cash or accrued as liabilities and including in all events all Capitalized Lease Obligations but excluding any capitalized interest with respect thereto) by such Person and its Subsidiaries during that period that, in conformity with GAAP, are or are required to be included in the property, plant or equipment reflected in the consolidated balance sheet of such Person.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means, with respect to any Person as at any date of determination, the total assets of such Person and its consolidated Subsidiaries which should properly be classified as current assets on a consolidated balance sheet of such Person and its consolidated Subsidiaries in accordance with GAAP.</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means, with respect to any Person as at any date of determination, the total liabilities of such Person and its consolidated Subsidiaries which should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149" w:name="page150"/>
    <w:bookmarkEnd w:id="149"/>
    <w:p>
      <w:pPr>
        <w:ind w:right="20"/>
        <w:spacing w:after="0" w:line="283" w:lineRule="auto"/>
        <w:rPr>
          <w:sz w:val="20"/>
          <w:szCs w:val="20"/>
          <w:color w:val="auto"/>
        </w:rPr>
      </w:pPr>
      <w:r>
        <w:rPr>
          <w:rFonts w:ascii="Times New Roman" w:cs="Times New Roman" w:eastAsia="Times New Roman" w:hAnsi="Times New Roman"/>
          <w:sz w:val="20"/>
          <w:szCs w:val="20"/>
          <w:color w:val="auto"/>
        </w:rPr>
        <w:t>be classified as current liabilities (other than the current portion of any Loans) on a consolidated balance sheet of such Person and its consolidated Subsidiaries in accordance with GAAP.</w:t>
      </w:r>
    </w:p>
    <w:p>
      <w:pPr>
        <w:spacing w:after="0" w:line="14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and with respect to any Person, Consolidated Net Income of such Person and its Subsidiaries for such period plus (a) without duplication and to the extent deducted in determining such Consolidated Net Income, the sum of</w:t>
      </w:r>
    </w:p>
    <w:p>
      <w:pPr>
        <w:spacing w:after="0" w:line="1" w:lineRule="exact"/>
        <w:rPr>
          <w:sz w:val="20"/>
          <w:szCs w:val="20"/>
          <w:color w:val="auto"/>
        </w:rPr>
      </w:pPr>
    </w:p>
    <w:p>
      <w:pPr>
        <w:jc w:val="both"/>
        <w:ind w:firstLine="8"/>
        <w:spacing w:after="0" w:line="248" w:lineRule="auto"/>
        <w:tabs>
          <w:tab w:leader="none" w:pos="25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w:t>
      </w:r>
      <w:r>
        <w:rPr>
          <w:rFonts w:ascii="Times New Roman" w:cs="Times New Roman" w:eastAsia="Times New Roman" w:hAnsi="Times New Roman"/>
          <w:sz w:val="20"/>
          <w:szCs w:val="20"/>
          <w:u w:val="single" w:color="auto"/>
          <w:color w:val="auto"/>
        </w:rPr>
        <w:t>Sections 8.8(f)</w:t>
      </w:r>
      <w:r>
        <w:rPr>
          <w:rFonts w:ascii="Times New Roman" w:cs="Times New Roman" w:eastAsia="Times New Roman" w:hAnsi="Times New Roman"/>
          <w:sz w:val="20"/>
          <w:szCs w:val="20"/>
          <w:color w:val="auto"/>
        </w:rPr>
        <w:t xml:space="preserve">)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 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 (vi) (A)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Incremental Amendment No. 3 and Fifth Amendment Effective Date and (B) in the case of asset sales, investments, asset dispositions, operating improvements, mergers or other business combinations, Acquisitions, divestitures, restructurings and cost savings initiatives, the date it is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 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subject to the last sentence of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 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Loans outstanding under the Credit Agreement on the Incremental Amendment No. 3 and Fifth Amendment Effective Date shall not be considered Consolidated Interest Expense.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Consolidated Net Loss</w:t>
      </w:r>
      <w:r>
        <w:rPr>
          <w:rFonts w:ascii="Times New Roman" w:cs="Times New Roman" w:eastAsia="Times New Roman" w:hAnsi="Times New Roman"/>
          <w:sz w:val="20"/>
          <w:szCs w:val="20"/>
          <w:color w:val="auto"/>
        </w:rPr>
        <w:t xml:space="preserve">” mean, respectively, for any period and for any Person, the net income (loss) of such Person and its Subsidiaries for such period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for any such Person therefrom (i) the net income or loss of any Person (other than consolidated Subsidiaries of such Person) in which any other Person (other than such Person or any of its Subsidiaries) has a joint interest, except to the extent of the amount of dividends, distributions or other payments actually paid to such Person or any of its Subsidiaries by such Person during such period, (ii) the cumulative effect of a change in accounting principles during such period to the extent included in Consolidated Net Income, (iii) any net after-tax income (loss) from discontinued operations and any net after-tax gains or losses on disposal of discontinued operations, in each case after the date of disposal and not in the ordinary course of business, (iv) the net income or loss of any Person accrued prior to the date it becomes a Subsidiary or is merged into, amalgamated with or consolidated with such Person or any of its Subsidiaries or that Person’s assets are acquired by such Person or any of its Subsidiaries and (v) gains and losses for such period from the early extinguishment of Indebtedness to the extent included in Consolidated Net Income.</w:t>
      </w:r>
    </w:p>
    <w:p>
      <w:pPr>
        <w:spacing w:after="0" w:line="18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means the aggregate amount of assets (less applicable reserves and other properly deductible items) after deducting therefrom all goodwill, trade names,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Consolidated Tangible Assets shall be calculated after giving effect to the transaction giving rise to the need to calculate Consolidated Tangible Assets.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the aggregate amount of assets (less applicable reserves and other properly deductible items),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Consolidated Total Assets shall be calculated after giving effect to the transaction giving rise to the need to calculate Consolidated Total Assets.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 Period</w:t>
      </w:r>
      <w:r>
        <w:rPr>
          <w:rFonts w:ascii="Times New Roman" w:cs="Times New Roman" w:eastAsia="Times New Roman" w:hAnsi="Times New Roman"/>
          <w:sz w:val="20"/>
          <w:szCs w:val="20"/>
          <w:color w:val="auto"/>
        </w:rPr>
        <w:t xml:space="preserve">” means the term of a B/A Loan selected by Canadian Borrower in accordance with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commencing on the date of such B/A Loan and expiring on a Business Day which shall be either 30 days, 60 days, 90 days or 180 days (subject to availability)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Contract Period would otherwise expire on a day which is not a Business Day, such Contract Period shall expire on the next succeeding Business Day (or if such next succeeding Business Day is in a different month, on the next preceding Business Day) and (ii) no Contract Period for a Canadian Revolving Loan shall extend beyond the Canadian Revolver Termination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Converted Acceptances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 of the Canadian Overnight Repo Rate Average).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the making of any Loan or the issuance of any Letter of Credit.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Développement</w:t>
      </w:r>
      <w:r>
        <w:rPr>
          <w:rFonts w:ascii="Times New Roman" w:cs="Times New Roman" w:eastAsia="Times New Roman" w:hAnsi="Times New Roman"/>
          <w:sz w:val="20"/>
          <w:szCs w:val="20"/>
          <w:color w:val="auto"/>
        </w:rPr>
        <w:t>” means Crown Développement SAS, a simplified joint stock corporation (société par actions simplifiée) organized under the laws of France.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Finance</w:t>
      </w:r>
      <w:r>
        <w:rPr>
          <w:rFonts w:ascii="Times New Roman" w:cs="Times New Roman" w:eastAsia="Times New Roman" w:hAnsi="Times New Roman"/>
          <w:sz w:val="20"/>
          <w:szCs w:val="20"/>
          <w:color w:val="auto"/>
        </w:rPr>
        <w:t>” means Crown Americas Capital Corp., a Delaware corporation.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Finance II</w:t>
      </w:r>
      <w:r>
        <w:rPr>
          <w:rFonts w:ascii="Times New Roman" w:cs="Times New Roman" w:eastAsia="Times New Roman" w:hAnsi="Times New Roman"/>
          <w:sz w:val="20"/>
          <w:szCs w:val="20"/>
          <w:color w:val="auto"/>
        </w:rPr>
        <w:t>” means Crown Americas Capital Corp. II, a Delaware corporation.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Holdings</w:t>
      </w:r>
      <w:r>
        <w:rPr>
          <w:rFonts w:ascii="Times New Roman" w:cs="Times New Roman" w:eastAsia="Times New Roman" w:hAnsi="Times New Roman"/>
          <w:sz w:val="20"/>
          <w:szCs w:val="20"/>
          <w:color w:val="auto"/>
        </w:rPr>
        <w:t>” has the meaning assigned to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152" w:name="page153"/>
    <w:bookmarkEnd w:id="15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International</w:t>
      </w:r>
      <w:r>
        <w:rPr>
          <w:rFonts w:ascii="Times New Roman" w:cs="Times New Roman" w:eastAsia="Times New Roman" w:hAnsi="Times New Roman"/>
          <w:sz w:val="20"/>
          <w:szCs w:val="20"/>
          <w:color w:val="auto"/>
        </w:rPr>
        <w:t>” has the meaning assigned to such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w:t>
      </w:r>
      <w:r>
        <w:rPr>
          <w:rFonts w:ascii="Times New Roman" w:cs="Times New Roman" w:eastAsia="Times New Roman" w:hAnsi="Times New Roman"/>
          <w:sz w:val="20"/>
          <w:szCs w:val="20"/>
          <w:color w:val="auto"/>
        </w:rPr>
        <w:t>” means the Corporation Tax Act 2009 (United Kingdom).</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w:t>
      </w:r>
      <w:r>
        <w:rPr>
          <w:rFonts w:ascii="Times New Roman" w:cs="Times New Roman" w:eastAsia="Times New Roman" w:hAnsi="Times New Roman"/>
          <w:sz w:val="20"/>
          <w:szCs w:val="20"/>
          <w:color w:val="auto"/>
        </w:rPr>
        <w:t>” means Deutsche Bank AG New York Branch, and its successors.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Rate</w:t>
      </w:r>
      <w:r>
        <w:rPr>
          <w:rFonts w:ascii="Times New Roman" w:cs="Times New Roman" w:eastAsia="Times New Roman" w:hAnsi="Times New Roman"/>
          <w:sz w:val="20"/>
          <w:szCs w:val="20"/>
          <w:color w:val="auto"/>
        </w:rPr>
        <w:t>” means, when used in reference to any Loan or Borrowing, refers to whether such Loan, or the Loans comprising such Borrowing, are bearing interest at a rate determined by reference to the Alternative Currency Alternate Rate. For the avoidance of doubt, RFR Loans do not constitute Daily Rate Loans for the purposes of this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determined as provided above shall ever be less than, 0.00%, then Daily Simple SOFR shall be deemed to be 0.00%.</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Rate Day</w:t>
      </w:r>
      <w:r>
        <w:rPr>
          <w:rFonts w:ascii="Times New Roman" w:cs="Times New Roman" w:eastAsia="Times New Roman" w:hAnsi="Times New Roman"/>
          <w:sz w:val="20"/>
          <w:szCs w:val="20"/>
          <w:color w:val="auto"/>
        </w:rPr>
        <w:t>”), a rate per annum equal to, for any Obligations denominated in, or calculated with respect to, Sterling, the greater of (i) SONIA for the day (such day, an “</w:t>
      </w:r>
      <w:r>
        <w:rPr>
          <w:rFonts w:ascii="Times New Roman" w:cs="Times New Roman" w:eastAsia="Times New Roman" w:hAnsi="Times New Roman"/>
          <w:sz w:val="20"/>
          <w:szCs w:val="20"/>
          <w:u w:val="single" w:color="auto"/>
          <w:color w:val="auto"/>
        </w:rPr>
        <w:t>RFR Determination Day</w:t>
      </w:r>
      <w:r>
        <w:rPr>
          <w:rFonts w:ascii="Times New Roman" w:cs="Times New Roman" w:eastAsia="Times New Roman" w:hAnsi="Times New Roman"/>
          <w:sz w:val="20"/>
          <w:szCs w:val="20"/>
          <w:color w:val="auto"/>
        </w:rPr>
        <w:t>”) that is five (5) RFR Business Days prior to (A) if such RFR Rate Day is an RFR Business Day, such RFR Rate Day or (B) if such RFR Rate Day is not an RFR Business Day, the RFR Business Day immediately preceding such RFR Rate Day, and (ii) 0.0%. If by 5:00 pm, London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RFR Business Day immediately following any RFR Determination Day, SONIA in respect of such RFR Determination Day has not been published, then SONIA for such RFR Determination Day will be SONIA as published in respect of the first preceding RFR Business Day for which SONIA was published on the SONIA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SONIA as determined pursuant to this sentence shall be utilized for purposes of calculating Daily Simple RFR for no more than three (3) consecutive RFR Rate Days. Any change in Daily Simple RFR due to a change in SONIA shall be effective from and including the effective date of such change in SONIA without notice to the Borrowers.</w:t>
      </w:r>
    </w:p>
    <w:p>
      <w:pPr>
        <w:spacing w:after="0" w:line="20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 Borrowing</w:t>
      </w:r>
      <w:r>
        <w:rPr>
          <w:rFonts w:ascii="Times New Roman" w:cs="Times New Roman" w:eastAsia="Times New Roman" w:hAnsi="Times New Roman"/>
          <w:sz w:val="20"/>
          <w:szCs w:val="20"/>
          <w:color w:val="auto"/>
        </w:rPr>
        <w:t>” means, as to any Borrowing of Daily Simple RFR Loans, the Daily Simple RFR Loans comprising such Borrowing.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 Loan</w:t>
      </w:r>
      <w:r>
        <w:rPr>
          <w:rFonts w:ascii="Times New Roman" w:cs="Times New Roman" w:eastAsia="Times New Roman" w:hAnsi="Times New Roman"/>
          <w:sz w:val="20"/>
          <w:szCs w:val="20"/>
          <w:color w:val="auto"/>
        </w:rPr>
        <w:t>” means a Loan that bears interest at a rate based on Daily Simple RFR.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Debentures</w:t>
      </w:r>
      <w:r>
        <w:rPr>
          <w:rFonts w:ascii="Times New Roman" w:cs="Times New Roman" w:eastAsia="Times New Roman" w:hAnsi="Times New Roman"/>
          <w:sz w:val="20"/>
          <w:szCs w:val="20"/>
          <w:color w:val="auto"/>
        </w:rPr>
        <w:t>” means the CCSC 2026 Debentures and the CCSC 2096 Debentures.</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Basket Amount</w:t>
      </w:r>
      <w:r>
        <w:rPr>
          <w:rFonts w:ascii="Times New Roman" w:cs="Times New Roman" w:eastAsia="Times New Roman" w:hAnsi="Times New Roman"/>
          <w:sz w:val="20"/>
          <w:szCs w:val="20"/>
          <w:color w:val="auto"/>
        </w:rPr>
        <w:t xml:space="preserve">” means 20% of Consolidated Tangible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variable rate per annum which shall be two percent (2%)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Rate plus the Applicable Canadian Prime Rate Margin, but in no event in excess of that permitted by applicable law.</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63" w:lineRule="auto"/>
        <w:tabs>
          <w:tab w:leader="none" w:pos="28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has notified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such Borrower’s receipt of such certification in form and substance reasonably satisfactory to it and the Administrative Agent; or (d) (i) has, or has a direct or indirect parent company that has, become the subject of a bankruptcy or Insolvency Proceeding or (ii) has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Obligations</w:t>
      </w:r>
      <w:r>
        <w:rPr>
          <w:rFonts w:ascii="Times New Roman" w:cs="Times New Roman" w:eastAsia="Times New Roman" w:hAnsi="Times New Roman"/>
          <w:sz w:val="20"/>
          <w:szCs w:val="20"/>
          <w:color w:val="auto"/>
        </w:rPr>
        <w:t>” means all Obligations of the Credit Parties in respect of accrued and unpaid (a) principal of and interest on the Loans (including B/As, B/A Equivalent Loans and Acceptance Fees with respect thereto), (b) Multicurrency LC Commissions, Dollar LC Commissions and Canadian LC Commissions and (c) Commitment Fees, whether or not the same shall at the time of any determination be due and payable under the terms of the Loan Documents.</w:t>
      </w:r>
    </w:p>
    <w:p>
      <w:pPr>
        <w:spacing w:after="0" w:line="18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means with respect to any Letter of Credit, (i) the most recent date upon which one of the following shall have occurred: (x) 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Discount Proceeds</w:t>
      </w:r>
      <w:r>
        <w:rPr>
          <w:rFonts w:ascii="Times New Roman" w:cs="Times New Roman" w:eastAsia="Times New Roman" w:hAnsi="Times New Roman"/>
          <w:sz w:val="20"/>
          <w:szCs w:val="20"/>
          <w:color w:val="auto"/>
        </w:rPr>
        <w:t>” means in respect of any Bankers’ Acceptance (or, as applicable, any B/A Equivalent Loan) required to be accepted and purchased by a Canadian Revolving Lender an amount (rounded to the nearest whole cent with one-half one cent being rounded-up) determined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applicable date of the Canadian Revolving Loan or rollover date for such Canadian Revolving Loan which is equal 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Face Amount x Price</w:t>
      </w:r>
    </w:p>
    <w:p>
      <w:pPr>
        <w:spacing w:after="0" w:line="216" w:lineRule="exact"/>
        <w:rPr>
          <w:sz w:val="20"/>
          <w:szCs w:val="20"/>
          <w:color w:val="auto"/>
        </w:rPr>
      </w:pPr>
    </w:p>
    <w:p>
      <w:pPr>
        <w:jc w:val="both"/>
        <w:ind w:left="1300" w:right="20"/>
        <w:spacing w:after="0" w:line="283" w:lineRule="auto"/>
        <w:rPr>
          <w:sz w:val="20"/>
          <w:szCs w:val="20"/>
          <w:color w:val="auto"/>
        </w:rPr>
      </w:pPr>
      <w:r>
        <w:rPr>
          <w:rFonts w:ascii="Times New Roman" w:cs="Times New Roman" w:eastAsia="Times New Roman" w:hAnsi="Times New Roman"/>
          <w:sz w:val="20"/>
          <w:szCs w:val="20"/>
          <w:color w:val="auto"/>
        </w:rPr>
        <w:t>where “Face Amount” is the face amount of such Bankers’ Acceptance (or, as applicable, the B/A Equivalent Loan) and “Price” is equal to:</w:t>
      </w:r>
    </w:p>
    <w:p>
      <w:pPr>
        <w:spacing w:after="0" w:line="18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22860</wp:posOffset>
            </wp:positionV>
            <wp:extent cx="1259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4" w:lineRule="exact"/>
        <w:rPr>
          <w:sz w:val="20"/>
          <w:szCs w:val="20"/>
          <w:color w:val="auto"/>
        </w:rPr>
      </w:pPr>
    </w:p>
    <w:p>
      <w:pPr>
        <w:ind w:left="1420"/>
        <w:spacing w:after="0"/>
        <w:tabs>
          <w:tab w:leader="none" w:pos="2480" w:val="left"/>
        </w:tabs>
        <w:rPr>
          <w:sz w:val="20"/>
          <w:szCs w:val="20"/>
          <w:color w:val="auto"/>
        </w:rPr>
      </w:pPr>
      <w:r>
        <w:rPr>
          <w:rFonts w:ascii="Times New Roman" w:cs="Times New Roman" w:eastAsia="Times New Roman" w:hAnsi="Times New Roman"/>
          <w:sz w:val="20"/>
          <w:szCs w:val="20"/>
          <w:color w:val="auto"/>
        </w:rPr>
        <w:t>1 + (Rate x</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w:t>
      </w:r>
    </w:p>
    <w:p>
      <w:pPr>
        <w:spacing w:after="0" w:line="6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365</w:t>
      </w:r>
    </w:p>
    <w:p>
      <w:pPr>
        <w:spacing w:after="0" w:line="351"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where the “Rate” is the Discount Rate expressed as a decimal on the date of the Canadian Revolving Loan or rollover date for such Canadian Revolving Loan, as the case may be; the “Term” is the Contract Period of such Bankers’ Acceptance expressed as a number of days; and the Price as so determined is rounded up or down to the fifth decimal place with .000005 being rounded-up.</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Discount Rate</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60" w:firstLine="644"/>
        <w:spacing w:after="0" w:line="283" w:lineRule="auto"/>
        <w:tabs>
          <w:tab w:leader="none" w:pos="194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 issue of Bankers’ Acceptances accepted and purchased by a Canadian Revolving Lender that is a Schedule I Bank, the CDOR Rate;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 issue of Bankers’ Acceptances accepted and purchased by a Canadian Revolving Lender that is not a Schedule I Bank, including without limitation, a Schedule II Bank and a Schedule III Bank, the CDOR Rate plus ten (10) basis points (0.10%).</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 (a) each bank, financial institution or other institutional lender identified on a list made available to the Administrative Agent on or prior to the Original Closing Date and (b) any Company Competitor. Notwithstanding the foregoing, any list of Disqualified Institutions shall be required to be available to any Lender on a confidential basis that requests a copy of such list from the Administrative Agent.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Preferred Stock</w:t>
      </w:r>
      <w:r>
        <w:rPr>
          <w:rFonts w:ascii="Times New Roman" w:cs="Times New Roman" w:eastAsia="Times New Roman" w:hAnsi="Times New Roman"/>
          <w:sz w:val="20"/>
          <w:szCs w:val="20"/>
          <w:color w:val="auto"/>
        </w:rPr>
        <w:t>” means any preferred stock of Crown Holdings (or any equity security of Crown Holdings that is convertible or exchangeable into any such preferred stock of Crown Holdings) that is not Permitted Preferred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Disregarded Subsidiary</w:t>
      </w:r>
      <w:r>
        <w:rPr>
          <w:rFonts w:ascii="Times New Roman" w:cs="Times New Roman" w:eastAsia="Times New Roman" w:hAnsi="Times New Roman"/>
          <w:sz w:val="20"/>
          <w:szCs w:val="20"/>
          <w:color w:val="auto"/>
        </w:rPr>
        <w:t>” means a Subsidiary of Crown Holdings that is disregarded as an entity separate from its owner for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income tax purposes and that has no material assets other than Capital Stock of one or more Non-U.S. Subsidiaries that are CFCs.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155" w:name="page156"/>
    <w:bookmarkEnd w:id="15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most recent Computation Date provided for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and (c) as to any amount denominated in any other currency, the equivalent in Dollars of such amount determined by Administrative Agent using the Exchange Rate then in effect.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Facing Agent</w:t>
      </w:r>
      <w:r>
        <w:rPr>
          <w:rFonts w:ascii="Times New Roman" w:cs="Times New Roman" w:eastAsia="Times New Roman" w:hAnsi="Times New Roman"/>
          <w:sz w:val="20"/>
          <w:szCs w:val="20"/>
          <w:color w:val="auto"/>
        </w:rPr>
        <w:t>” means PNC Bank, National Association or any of its affiliates in its capacity as issuer of Dollar Letters of Credit and any 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LC Obligations</w:t>
      </w:r>
      <w:r>
        <w:rPr>
          <w:rFonts w:ascii="Times New Roman" w:cs="Times New Roman" w:eastAsia="Times New Roman" w:hAnsi="Times New Roman"/>
          <w:sz w:val="20"/>
          <w:szCs w:val="20"/>
          <w:color w:val="auto"/>
        </w:rPr>
        <w:t xml:space="preserve">” means, at any time, an amount equal to the sum of (a) the aggregate Stated Amount of the then outstanding Dollar Letters of Credit and (b) the aggregate amount of Unpaid Drawings under the Dollar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Dollar LC Obligation of any Dollar Revolving Lender at any time shall mean its Dollar Revolver Pro Rata Share of the aggregate Dollar LC Obligations outstanding at such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Letter of Credit Exposure</w:t>
      </w:r>
      <w:r>
        <w:rPr>
          <w:rFonts w:ascii="Times New Roman" w:cs="Times New Roman" w:eastAsia="Times New Roman" w:hAnsi="Times New Roman"/>
          <w:sz w:val="20"/>
          <w:szCs w:val="20"/>
          <w:color w:val="auto"/>
        </w:rPr>
        <w:t>” means, with respect to a Dollar Revolving Lender, such Lender’s Dollar Revolver Pro Rata Share of the aggregate Dollar LC Obligations.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Revolver Pro Rata Share</w:t>
      </w:r>
      <w:r>
        <w:rPr>
          <w:rFonts w:ascii="Times New Roman" w:cs="Times New Roman" w:eastAsia="Times New Roman" w:hAnsi="Times New Roman"/>
          <w:sz w:val="20"/>
          <w:szCs w:val="20"/>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Commitment</w:t>
      </w:r>
      <w:r>
        <w:rPr>
          <w:rFonts w:ascii="Times New Roman" w:cs="Times New Roman" w:eastAsia="Times New Roman" w:hAnsi="Times New Roman"/>
          <w:sz w:val="20"/>
          <w:szCs w:val="20"/>
          <w:color w:val="auto"/>
        </w:rPr>
        <w:t xml:space="preserve">” means, with respect to any Dollar Revolving Lender, the obligation of such Dollar Revolving Lender to make Dollar Revolving Loans and to participate in Dollar Letters of Credit,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 Incremental Amendment No. 3 and Fifth Amendment under the caption “Amount of Dollar Revolving Commitment” as the same may be adjusted from time to time pursuant to the terms hereof and “Dollar Revolving Commitments” means such commitments collectively, which commitments equal $800,000,000 in the aggregate as of the Incremental No. 3 and Fifth Amendment Effective Date.</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Credit Exposure</w:t>
      </w:r>
      <w:r>
        <w:rPr>
          <w:rFonts w:ascii="Times New Roman" w:cs="Times New Roman" w:eastAsia="Times New Roman" w:hAnsi="Times New Roman"/>
          <w:sz w:val="20"/>
          <w:szCs w:val="20"/>
          <w:color w:val="auto"/>
        </w:rPr>
        <w:t>” means, with respect to a Dollar Revolving Lender, the sum of (i) the outstanding principal amount of Dollar Revolving Loans made by such Lender and (ii) the Dollar Letter of Credit Exposure of such Dollar Revolving Lender.</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Facility</w:t>
      </w:r>
      <w:r>
        <w:rPr>
          <w:rFonts w:ascii="Times New Roman" w:cs="Times New Roman" w:eastAsia="Times New Roman" w:hAnsi="Times New Roman"/>
          <w:sz w:val="20"/>
          <w:szCs w:val="20"/>
          <w:color w:val="auto"/>
        </w:rPr>
        <w:t>” means the credit facility under this Agreement evidenced by the Dollar Revolving Commitments and the Dollar Revolving Loans.</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Lender</w:t>
      </w:r>
      <w:r>
        <w:rPr>
          <w:rFonts w:ascii="Times New Roman" w:cs="Times New Roman" w:eastAsia="Times New Roman" w:hAnsi="Times New Roman"/>
          <w:sz w:val="20"/>
          <w:szCs w:val="20"/>
          <w:color w:val="auto"/>
        </w:rPr>
        <w:t>” means any Lender which has an Dollar Revolving Commitment or is owed an Dollar Revolving Loan (or a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Dollar Revolving Loans</w:t>
      </w:r>
      <w:r>
        <w:rPr>
          <w:rFonts w:ascii="Times New Roman" w:cs="Times New Roman" w:eastAsia="Times New Roman" w:hAnsi="Times New Roman"/>
          <w:sz w:val="20"/>
          <w:szCs w:val="20"/>
          <w:color w:val="auto"/>
        </w:rPr>
        <w:t xml:space="preserve">” have the meanings given in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Dormant Company</w:t>
      </w:r>
      <w:r>
        <w:rPr>
          <w:rFonts w:ascii="Times New Roman" w:cs="Times New Roman" w:eastAsia="Times New Roman" w:hAnsi="Times New Roman"/>
          <w:sz w:val="20"/>
          <w:szCs w:val="20"/>
          <w:color w:val="auto"/>
        </w:rPr>
        <w:t>” means a company, trust or any other legal entity which carries on no operations and does not own, legally or beneficially, assets which in aggregate have a value of £100,000 or more or its equivalent in other currencies as of the last day of the most recently completed period of four consecutive Fiscal Quarters of Crown Holdings.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2.10(d)(ii)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Borrowers</w:t>
      </w:r>
      <w:r>
        <w:rPr>
          <w:rFonts w:ascii="Times New Roman" w:cs="Times New Roman" w:eastAsia="Times New Roman" w:hAnsi="Times New Roman"/>
          <w:sz w:val="20"/>
          <w:szCs w:val="20"/>
          <w:color w:val="auto"/>
        </w:rPr>
        <w:t xml:space="preserve">” means each Subsidiary of European Borrower organized under the laws of the Netherlands, and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Subsidiary of European Borrower organized under the laws of the Netherlands and requested by European Borrower to be a Dutch Borrower, subject to the approval of Administrative Agent.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Amount</w:t>
      </w:r>
      <w:r>
        <w:rPr>
          <w:rFonts w:ascii="Times New Roman" w:cs="Times New Roman" w:eastAsia="Times New Roman" w:hAnsi="Times New Roman"/>
          <w:sz w:val="20"/>
          <w:szCs w:val="20"/>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 (c) with respect to any outstanding Dollar LC Obligations on any date, the Dollar amount of such Dollar LC Obligations on such date after giving 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 with respect to any outstanding Canadian LC 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April 7, 2017.</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Yield</w:t>
      </w:r>
      <w:r>
        <w:rPr>
          <w:rFonts w:ascii="Times New Roman" w:cs="Times New Roman" w:eastAsia="Times New Roman" w:hAnsi="Times New Roman"/>
          <w:sz w:val="20"/>
          <w:szCs w:val="20"/>
          <w:color w:val="auto"/>
        </w:rPr>
        <w:t xml:space="preserve">”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a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Disqualified Institution shall not be deemed an Eligible Assignee, (ii) Crown Holdings and its Subsidiaries and their respective Affiliates shall not be deemed to be Eligible Assignees, (iii) natural persons (or holding company, investment vehicle or trust for, or owned and operated for the primary benefit of a natural person) shall not be deemed to be Eligible Assignees and (iv) a Defaulting Lender shall not be deemed to be an Eligible Assignee.</w:t>
      </w:r>
    </w:p>
    <w:p>
      <w:pPr>
        <w:spacing w:after="0" w:line="179"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w:t>
      </w:r>
      <w:r>
        <w:rPr>
          <w:rFonts w:ascii="Times New Roman" w:cs="Times New Roman" w:eastAsia="Times New Roman" w:hAnsi="Times New Roman"/>
          <w:sz w:val="19"/>
          <w:szCs w:val="19"/>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158" w:name="page159"/>
    <w:bookmarkEnd w:id="158"/>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Permits</w:t>
      </w:r>
      <w:r>
        <w:rPr>
          <w:rFonts w:ascii="Times New Roman" w:cs="Times New Roman" w:eastAsia="Times New Roman" w:hAnsi="Times New Roman"/>
          <w:sz w:val="20"/>
          <w:szCs w:val="20"/>
          <w:color w:val="auto"/>
        </w:rPr>
        <w:t>” means any permit, approval, authorization, certificate, license, variance, filing or permission required by or from any Governmental Authority pursuant to any Environmental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means the Employee Retirement Income Security Act of 1974, as from time to time amended, </w:t>
      </w:r>
      <w:r>
        <w:rPr>
          <w:rFonts w:ascii="Times New Roman" w:cs="Times New Roman" w:eastAsia="Times New Roman" w:hAnsi="Times New Roman"/>
          <w:sz w:val="21"/>
          <w:szCs w:val="21"/>
          <w:color w:val="auto"/>
        </w:rPr>
        <w:t>and the rules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regulations promulgated thereunder</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Crown Holdings or any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11.14(e)</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ESG Standards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GHG Protocol.</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Participating Member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Bank Pledge Agreement</w:t>
      </w:r>
      <w:r>
        <w:rPr>
          <w:rFonts w:ascii="Times New Roman" w:cs="Times New Roman" w:eastAsia="Times New Roman" w:hAnsi="Times New Roman"/>
          <w:sz w:val="20"/>
          <w:szCs w:val="20"/>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Collateral</w:t>
      </w:r>
      <w:r>
        <w:rPr>
          <w:rFonts w:ascii="Times New Roman" w:cs="Times New Roman" w:eastAsia="Times New Roman" w:hAnsi="Times New Roman"/>
          <w:sz w:val="20"/>
          <w:szCs w:val="20"/>
          <w:color w:val="auto"/>
        </w:rPr>
        <w:t>” means all Collateral securing only the Euro Obligations and/or the Canadian Obligations.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Collateral Agent</w:t>
      </w:r>
      <w:r>
        <w:rPr>
          <w:rFonts w:ascii="Times New Roman" w:cs="Times New Roman" w:eastAsia="Times New Roman" w:hAnsi="Times New Roman"/>
          <w:sz w:val="20"/>
          <w:szCs w:val="20"/>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Times New Roman" w:cs="Times New Roman" w:eastAsia="Times New Roman" w:hAnsi="Times New Roman"/>
          <w:sz w:val="20"/>
          <w:szCs w:val="20"/>
          <w:u w:val="single" w:color="auto"/>
          <w:color w:val="auto"/>
        </w:rPr>
        <w:t>agent de sûretés</w:t>
      </w:r>
      <w:r>
        <w:rPr>
          <w:rFonts w:ascii="Times New Roman" w:cs="Times New Roman" w:eastAsia="Times New Roman" w:hAnsi="Times New Roman"/>
          <w:sz w:val="20"/>
          <w:szCs w:val="20"/>
          <w:color w:val="auto"/>
        </w:rPr>
        <w:t>”) in accordance with the provisions of Article 2328-1 of the French Civil Code.</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Credit Parties</w:t>
      </w:r>
      <w:r>
        <w:rPr>
          <w:rFonts w:ascii="Times New Roman" w:cs="Times New Roman" w:eastAsia="Times New Roman" w:hAnsi="Times New Roman"/>
          <w:sz w:val="20"/>
          <w:szCs w:val="20"/>
          <w:color w:val="auto"/>
        </w:rPr>
        <w:t>” means (a) European Borrower, (b) Canadian Borrower, (c) each Subsidiary Borrower and (d) each Subsidiary of Crown Holdings from time to time party to a Non-U.S. Guarantee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159" w:name="page160"/>
    <w:bookmarkEnd w:id="159"/>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Obligations</w:t>
      </w:r>
      <w:r>
        <w:rPr>
          <w:rFonts w:ascii="Times New Roman" w:cs="Times New Roman" w:eastAsia="Times New Roman" w:hAnsi="Times New Roman"/>
          <w:sz w:val="20"/>
          <w:szCs w:val="20"/>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 post-petition interest and fees is allowed in such proceeding) the Loans made to or Unpaid Drawings pursuant to Letters of Credit issued for the account of European Borrower and any Subsidiary Borrower or Euro Subsidiary Credit Party and all other obligations and liabilities of European Borrower and any Subsidiary Borrower or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and any Subsidiary Borrower or any Euro Subsidiary Credit Party to any Agent, any Collateral Agent, any Lender or any Hedge Bank pursuant to any Loan Document or any Bank Related Debt) or otherwise.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Security Documents</w:t>
      </w:r>
      <w:r>
        <w:rPr>
          <w:rFonts w:ascii="Times New Roman" w:cs="Times New Roman" w:eastAsia="Times New Roman" w:hAnsi="Times New Roman"/>
          <w:sz w:val="20"/>
          <w:szCs w:val="20"/>
          <w:color w:val="auto"/>
        </w:rPr>
        <w:t xml:space="preserve">” means each security agreement, pledge agreement (including the Euro Bank Pledge Agreement), mortgage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mortgage or other instrument or document executed and delivered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(each as amended, restated, amended and restated or otherwise modified from time to time) to secure any of the Euro Obligations or the Canadian Obligations.</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Subsidiary Credit Parties</w:t>
      </w:r>
      <w:r>
        <w:rPr>
          <w:rFonts w:ascii="Times New Roman" w:cs="Times New Roman" w:eastAsia="Times New Roman" w:hAnsi="Times New Roman"/>
          <w:sz w:val="20"/>
          <w:szCs w:val="20"/>
          <w:color w:val="auto"/>
        </w:rPr>
        <w:t xml:space="preserve">” means each Non-U.S. Subsidiary of Crown Holdings designated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 subsidiary guarantor or Subsidiary Borrower or which becomes a subsidiary guarantor pursuant to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Loan</w:t>
      </w:r>
      <w:r>
        <w:rPr>
          <w:rFonts w:ascii="Times New Roman" w:cs="Times New Roman" w:eastAsia="Times New Roman" w:hAnsi="Times New Roman"/>
          <w:sz w:val="20"/>
          <w:szCs w:val="20"/>
          <w:color w:val="auto"/>
        </w:rPr>
        <w:t>” means any Loan bearing interest at a rate determined by reference to the Eurocurrency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means the aggregate of (1) and (2) below:</w:t>
      </w:r>
    </w:p>
    <w:p>
      <w:pPr>
        <w:spacing w:after="0" w:line="229" w:lineRule="exact"/>
        <w:rPr>
          <w:sz w:val="20"/>
          <w:szCs w:val="20"/>
          <w:color w:val="auto"/>
        </w:rPr>
      </w:pPr>
    </w:p>
    <w:p>
      <w:pPr>
        <w:jc w:val="both"/>
        <w:ind w:left="660" w:firstLine="644"/>
        <w:spacing w:after="0" w:line="251" w:lineRule="auto"/>
        <w:tabs>
          <w:tab w:leader="none" w:pos="175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in the case of Euro denominated Loans, (i) the rate per annum equal to the rate determined by the Administrative Agent to be the offered rate that appears on the appropriate page of the Reuters screen that displays the Global Rate Set Systems Limited rate for deposits in Euros (for delivery on the first day of such Interest Period) with a term equivalent to such Interest Period (or the successor thereto appointed by the European Money Markets Institute, if Global Rate Set Systems Limited is no longer making the applicable interest settlement rate available) (the “</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determined as of approximately 11:00 a.m. (Brussels time) on the applicable Interest Rate Determination Date; provided that if the EURIBOR Screen Rate shall be less than zero, such rate shall be deemed to be zero for the purposes of this Agreement (but if more than one rate is specified on such page, the rate will be an arithmetic average of all such rates);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160" w:name="page161"/>
    <w:bookmarkEnd w:id="160"/>
    <w:p>
      <w:pPr>
        <w:ind w:left="660" w:right="1780" w:firstLine="644"/>
        <w:spacing w:after="0" w:line="471" w:lineRule="auto"/>
        <w:tabs>
          <w:tab w:leader="none" w:pos="17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current cost of the Lenders of complying with any Eurocurrency Reserve Requirements. Notwithstanding the foregoing, the Eurocurrency Rate shall not in any event be less than zero.</w:t>
      </w:r>
    </w:p>
    <w:p>
      <w:pPr>
        <w:spacing w:after="0" w:line="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Reserve Requirements</w:t>
      </w:r>
      <w:r>
        <w:rPr>
          <w:rFonts w:ascii="Times New Roman" w:cs="Times New Roman" w:eastAsia="Times New Roman" w:hAnsi="Times New Roman"/>
          <w:sz w:val="20"/>
          <w:szCs w:val="20"/>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Borrower</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Receivables Purchase Agreement</w:t>
      </w:r>
      <w:r>
        <w:rPr>
          <w:rFonts w:ascii="Times New Roman" w:cs="Times New Roman" w:eastAsia="Times New Roman" w:hAnsi="Times New Roman"/>
          <w:sz w:val="20"/>
          <w:szCs w:val="20"/>
          <w:color w:val="auto"/>
        </w:rPr>
        <w:t>”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Incremental No. 3 and Fifth Amendment Effective Date and may thereafter be amended, amended and restated, supplemented or otherwise modified from time to time in accordance with the terms 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xml:space="preserve">” means the Securities Exchange Act of 1934, as amended and as codified in 15 U.S.C. 78a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and as hereafter amended.</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 Determination Date</w:t>
      </w:r>
      <w:r>
        <w:rPr>
          <w:rFonts w:ascii="Times New Roman" w:cs="Times New Roman" w:eastAsia="Times New Roman" w:hAnsi="Times New Roman"/>
          <w:sz w:val="20"/>
          <w:szCs w:val="20"/>
          <w:color w:val="auto"/>
        </w:rPr>
        <w:t>” means for purposes of the determination of the Exchange Rate of any stated amount on any Business Day in relation to any Alternative Currency Loan, the date which is two Business Days prior to such Borrowing.</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Attributable Debt</w:t>
      </w:r>
      <w:r>
        <w:rPr>
          <w:rFonts w:ascii="Times New Roman" w:cs="Times New Roman" w:eastAsia="Times New Roman" w:hAnsi="Times New Roman"/>
          <w:sz w:val="20"/>
          <w:szCs w:val="20"/>
          <w:color w:val="auto"/>
        </w:rPr>
        <w:t>” means (a) Attributable Debt (for purposes of this definition, without regard to the proviso thereto) under any Permitted Receivables or Factoring Financing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61" w:lineRule="auto"/>
        <w:rPr>
          <w:sz w:val="20"/>
          <w:szCs w:val="20"/>
          <w:color w:val="auto"/>
        </w:rPr>
      </w:pPr>
      <w:r>
        <w:rPr>
          <w:rFonts w:ascii="Times New Roman" w:cs="Times New Roman" w:eastAsia="Times New Roman" w:hAnsi="Times New Roman"/>
          <w:sz w:val="20"/>
          <w:szCs w:val="20"/>
          <w:color w:val="auto"/>
        </w:rPr>
        <w:t>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any Subsidiary of Crown Holdings (a) that is an Unrestricted Entity, (b) that, in accordance with the Agreed Guaranty and Security Principles, is not required to guarantee the Obligations (including pursuant to the Guaranty) or pledge or grant a security interest in its assets (including Capital Stock) on the date such Subsidiary is acquired, (c) that is a Receivables Subsidiary, (d) that is the Insurance Subsidiary or (e) that is not a Material Subsidiary.</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Obligations guaranteed by such Guarantor or the grant by such Guarantor of a security interest to secure, such Swap Obligation (or any Obligations guaranteed by such 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under any Loan Document:</w:t>
      </w:r>
    </w:p>
    <w:p>
      <w:pPr>
        <w:spacing w:after="0" w:line="173" w:lineRule="exact"/>
        <w:rPr>
          <w:sz w:val="20"/>
          <w:szCs w:val="20"/>
          <w:color w:val="auto"/>
        </w:rPr>
      </w:pPr>
    </w:p>
    <w:p>
      <w:pPr>
        <w:jc w:val="both"/>
        <w:ind w:left="660" w:firstLine="644"/>
        <w:spacing w:after="0" w:line="252" w:lineRule="auto"/>
        <w:tabs>
          <w:tab w:leader="none" w:pos="195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based upon, or measured by, net income (however denominated) or net profits, including franchise Taxes and similar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67" w:lineRule="auto"/>
        <w:tabs>
          <w:tab w:leader="none" w:pos="195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the case of a Lender, Swing Line Lender or Facing Agent (other than an assignee pursuant to a request by Crown Holdings under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 any U.S. federal withholding Tax imposed on amounts payable to or for the account of such Lender, Swing Line Lender or Facing Agent, in respect of any Loans, Letters of Credit, or Commitments provided to U.S. Borrower pursuant to a law in effect on the date on which (A) such Lender, Swing Line Lender or Facing Agent acquires the applicable interest in the applicable Commitment (or, to the extent any Lender, Swing Line Lender or Facing Agent did not fund an applicable Loan or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0"/>
          <w:szCs w:val="20"/>
          <w:color w:val="auto"/>
        </w:rPr>
        <w:t>of Credit pursuant to a prior commitment, on the date on which such Person acquires its interest in such Loan or Letter of Credit) or</w:t>
      </w:r>
    </w:p>
    <w:p>
      <w:pPr>
        <w:spacing w:after="0" w:line="28" w:lineRule="exact"/>
        <w:rPr>
          <w:sz w:val="20"/>
          <w:szCs w:val="20"/>
          <w:color w:val="auto"/>
        </w:rPr>
      </w:pPr>
    </w:p>
    <w:p>
      <w:pPr>
        <w:jc w:val="both"/>
        <w:ind w:left="660" w:hanging="4"/>
        <w:spacing w:after="0" w:line="248" w:lineRule="auto"/>
        <w:tabs>
          <w:tab w:leader="none" w:pos="9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Swing Line Lender or Facing Agent changes its lending office, except in each case to the extent that, pursuant to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amounts with respect to such Taxes were payable either to such Lender’s, Swing Line Lender’s or Facing Agent’s assignor immediately before such Lender, Swing Line Lender or Facing Agent became a party hereto or to such Lender immediately before it changed its lending office;</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95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Lender (other than an assignee pursuant to a request by Crown Holdings under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 any Tax imposed by France on amounts payable, in respect of any Loans, Letters of Credit, or Commitments provided to European Borrower, to such Lender, to the extent that such Tax would not have been imposed but for the payment in a Non-Cooperative Jurisdiction;</w:t>
      </w:r>
    </w:p>
    <w:p>
      <w:pPr>
        <w:spacing w:after="0" w:line="164" w:lineRule="exact"/>
        <w:rPr>
          <w:rFonts w:ascii="Times New Roman" w:cs="Times New Roman" w:eastAsia="Times New Roman" w:hAnsi="Times New Roman"/>
          <w:sz w:val="19"/>
          <w:szCs w:val="19"/>
          <w:color w:val="auto"/>
        </w:rPr>
      </w:pPr>
    </w:p>
    <w:p>
      <w:pPr>
        <w:jc w:val="both"/>
        <w:ind w:left="660" w:firstLine="644"/>
        <w:spacing w:after="0" w:line="249" w:lineRule="auto"/>
        <w:tabs>
          <w:tab w:leader="none" w:pos="194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Lender (other than an assignee pursuant to a request by Crown Holdings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any Canadian federal withholding Tax imposed under the ITA on any payment of interest (or any payments on account, in lieu, or in satisfaction of interest, or which are deemed to be interest for purposes of the ITA), in respect of any advance provided to Canadian Borrower under any Loan Document, because such Lender is not dealing at arm’s length for purposes of the ITA with the applicable Credit Party at the time of such payment or deemed payment or is a “specified shareholder” (as such term is defined in subsection 18(5) of the ITA) of the applicable Credit Party or does not deal at arm’s length for purposes of the ITA with a “specified shareholder” (as such term is defined in subsection 18(5) of the ITA) of the applicable Credit Party, or because a Person that is not resident in Canada for purposes of the ITA has made a transfer or assignment to another Person that is resident in Canada for purposes of the ITA and this other Person is not dealing at arm’s length for purposes of the ITA with the transferor or assignor other than where the non-arm’s length relationship arises, or where the Lender is a “specified shareholder” or does not deal at arm’s length with a “specified shareholder” in connection with or as a result of the Lender having become a party to, received or perfected a security interest under or received or enforced any rights under, a Loan Document;</w:t>
      </w:r>
    </w:p>
    <w:p>
      <w:pPr>
        <w:spacing w:after="0" w:line="20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attributable to a Recipient’s failure to comply with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Loans, Letters of Credit, or Commitments provided to U.S. Borrower, any Taxes withheld under</w:t>
      </w:r>
    </w:p>
    <w:p>
      <w:pPr>
        <w:spacing w:after="0" w:line="39"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FATCA.</w:t>
      </w:r>
    </w:p>
    <w:p>
      <w:pPr>
        <w:spacing w:after="0" w:line="21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U.K. Companies</w:t>
      </w:r>
      <w:r>
        <w:rPr>
          <w:rFonts w:ascii="Times New Roman" w:cs="Times New Roman" w:eastAsia="Times New Roman" w:hAnsi="Times New Roman"/>
          <w:sz w:val="20"/>
          <w:szCs w:val="20"/>
          <w:color w:val="auto"/>
        </w:rPr>
        <w:t>” means Metal Box Pension Trustees Limited, The CarnaudMetalbox Benevolent Fund Limited and The Can Makers Limited, each a company or trust organized under the laws of England.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that term in the recitals to this Agreement.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Factoring Facilities</w:t>
      </w:r>
      <w:r>
        <w:rPr>
          <w:rFonts w:ascii="Times New Roman" w:cs="Times New Roman" w:eastAsia="Times New Roman" w:hAnsi="Times New Roman"/>
          <w:sz w:val="20"/>
          <w:szCs w:val="20"/>
          <w:color w:val="auto"/>
        </w:rPr>
        <w:t xml:space="preserve">” means the existing factoring or discounting programs as of the Incremental No. 2 and Third Amendment Effective Date and set forth on </w:t>
      </w:r>
      <w:r>
        <w:rPr>
          <w:rFonts w:ascii="Times New Roman" w:cs="Times New Roman" w:eastAsia="Times New Roman" w:hAnsi="Times New Roman"/>
          <w:sz w:val="20"/>
          <w:szCs w:val="20"/>
          <w:u w:val="single" w:color="auto"/>
          <w:color w:val="auto"/>
        </w:rPr>
        <w:t>Schedule 6.5(b)(iii)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2.10(j)</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Non-U.S. Facilities</w:t>
      </w:r>
      <w:r>
        <w:rPr>
          <w:rFonts w:ascii="Times New Roman" w:cs="Times New Roman" w:eastAsia="Times New Roman" w:hAnsi="Times New Roman"/>
          <w:sz w:val="20"/>
          <w:szCs w:val="20"/>
          <w:color w:val="auto"/>
        </w:rPr>
        <w:t xml:space="preserve">” means the existing working capital facilities of the Non-U.S. Subsidiaries of European Borrower, Canadian Borrower or U.S. Borrower as of the Incremental Amendment No. 3 and Fifth Amendment Effective Date and set forth on </w:t>
      </w:r>
      <w:r>
        <w:rPr>
          <w:rFonts w:ascii="Times New Roman" w:cs="Times New Roman" w:eastAsia="Times New Roman" w:hAnsi="Times New Roman"/>
          <w:sz w:val="20"/>
          <w:szCs w:val="20"/>
          <w:u w:val="single" w:color="auto"/>
          <w:color w:val="auto"/>
        </w:rPr>
        <w:t>Schedule 6.5(b)(ii)</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Unsecured Debt</w:t>
      </w:r>
      <w:r>
        <w:rPr>
          <w:rFonts w:ascii="Times New Roman" w:cs="Times New Roman" w:eastAsia="Times New Roman" w:hAnsi="Times New Roman"/>
          <w:sz w:val="20"/>
          <w:szCs w:val="20"/>
          <w:color w:val="auto"/>
        </w:rPr>
        <w:t>” means each of the following Indebtedness to the extent outstanding on the Incremental Amendment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and Fifth Amendment Effective Date after giving effect to the Transactions:</w:t>
      </w:r>
    </w:p>
    <w:p>
      <w:pPr>
        <w:spacing w:after="0" w:line="214"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Debentures; and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Senior Notes.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Facility</w:t>
      </w:r>
      <w:r>
        <w:rPr>
          <w:rFonts w:ascii="Times New Roman" w:cs="Times New Roman" w:eastAsia="Times New Roman" w:hAnsi="Times New Roman"/>
          <w:sz w:val="20"/>
          <w:szCs w:val="20"/>
          <w:color w:val="auto"/>
        </w:rPr>
        <w:t xml:space="preserve">” means any Revolving Facility that is extended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Facility</w:t>
      </w:r>
      <w:r>
        <w:rPr>
          <w:rFonts w:ascii="Times New Roman" w:cs="Times New Roman" w:eastAsia="Times New Roman" w:hAnsi="Times New Roman"/>
          <w:sz w:val="20"/>
          <w:szCs w:val="20"/>
          <w:color w:val="auto"/>
        </w:rPr>
        <w:t xml:space="preserve">” means any Term Facility that is extended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Effective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any of the credit facilities established under this Agreement.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Facing Agent</w:t>
      </w:r>
      <w:r>
        <w:rPr>
          <w:rFonts w:ascii="Times New Roman" w:cs="Times New Roman" w:eastAsia="Times New Roman" w:hAnsi="Times New Roman"/>
          <w:sz w:val="20"/>
          <w:szCs w:val="20"/>
          <w:color w:val="auto"/>
        </w:rPr>
        <w:t xml:space="preserve">” means (a) with respect to Canadian Letters of Credit, the Canadian Facing Agent, (b) with respect to the Dollar Letters of Credit, the Dollar Facing Agent and (c) with respect to Multicurrency Letters of Credit, each of the Multicurrency Revolving Lenders set forth on </w:t>
      </w:r>
      <w:r>
        <w:rPr>
          <w:rFonts w:ascii="Times New Roman" w:cs="Times New Roman" w:eastAsia="Times New Roman" w:hAnsi="Times New Roman"/>
          <w:sz w:val="20"/>
          <w:szCs w:val="20"/>
          <w:u w:val="single" w:color="auto"/>
          <w:color w:val="auto"/>
        </w:rPr>
        <w:t>Schedule 1.1(g)</w:t>
      </w:r>
      <w:r>
        <w:rPr>
          <w:rFonts w:ascii="Times New Roman" w:cs="Times New Roman" w:eastAsia="Times New Roman" w:hAnsi="Times New Roman"/>
          <w:sz w:val="20"/>
          <w:szCs w:val="20"/>
          <w:color w:val="auto"/>
        </w:rPr>
        <w:t xml:space="preserve">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 Notwithstanding anything herein to the contrary, no Facing Agent shall be required to issue commercial, documentary or trade Letters of Credit unless it agrees in writing to do so in its sole discretion.</w:t>
      </w:r>
    </w:p>
    <w:p>
      <w:pPr>
        <w:spacing w:after="0" w:line="17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 Credit Lender</w:t>
      </w:r>
      <w:r>
        <w:rPr>
          <w:rFonts w:ascii="Times New Roman" w:cs="Times New Roman" w:eastAsia="Times New Roman" w:hAnsi="Times New Roman"/>
          <w:sz w:val="20"/>
          <w:szCs w:val="20"/>
          <w:color w:val="auto"/>
        </w:rPr>
        <w:t>” means a federally-chartered Farm Credit System lending institution organized under the Farm Credit Act of 1971, as the same may be amended or supplemented from time to time.</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on any one day, the rate per annum equal to the weighted average (rounded upwards, if necessary, to the nearest 1/100th of 1%) of the rate on overnight federal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58" w:lineRule="auto"/>
        <w:rPr>
          <w:sz w:val="20"/>
          <w:szCs w:val="20"/>
          <w:color w:val="auto"/>
        </w:rPr>
      </w:pPr>
      <w:r>
        <w:rPr>
          <w:rFonts w:ascii="Times New Roman" w:cs="Times New Roman" w:eastAsia="Times New Roman" w:hAnsi="Times New Roman"/>
          <w:sz w:val="20"/>
          <w:szCs w:val="20"/>
          <w:color w:val="auto"/>
        </w:rPr>
        <w:t>transactions with members of the Federal Reserve System only, as published as of such day by the Federal Reserve Bank of New York, or, if such rate is not so published, the average of the quotations for such day on such transactions received by the Administrative Agent from three federal funds brokers of recognized standing selected by the Administrative Agent. Notwithstanding the foregoing, the Federal Funds Rate shall not in any event be less than zero.</w:t>
      </w:r>
    </w:p>
    <w:p>
      <w:pPr>
        <w:spacing w:after="0" w:line="172"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certain letter agreement or agreements, in each case, between one or more Arrangers and the Borrowers and providing for the payment of certain fees in connection with this Agreement and/or the Incremental Amendment No. 3 and Fifth Amendment.</w:t>
      </w:r>
    </w:p>
    <w:p>
      <w:pPr>
        <w:spacing w:after="0" w:line="13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corporation, partnership or other entity means the chief financial officer, the principal accounting officer, Treasurer or Controller of such corporation, partnership or other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0.00%.</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Obligations</w:t>
      </w:r>
      <w:r>
        <w:rPr>
          <w:rFonts w:ascii="Times New Roman" w:cs="Times New Roman" w:eastAsia="Times New Roman" w:hAnsi="Times New Roman"/>
          <w:sz w:val="20"/>
          <w:szCs w:val="20"/>
          <w:color w:val="auto"/>
        </w:rPr>
        <w:t xml:space="preserve">” means the Euro Obligations, the Canadian Obligations, the Subsidiary Borrower Obligations and the Guarantee Obligations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the Guarantee Agreements in respect of any of the foregoing.</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dependents, survivors or beneficiaries of any such persons) and, for greater certainty, includes any Canadian Defined Benefit Plan.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Requirements of Law</w:t>
      </w:r>
      <w:r>
        <w:rPr>
          <w:rFonts w:ascii="Times New Roman" w:cs="Times New Roman" w:eastAsia="Times New Roman" w:hAnsi="Times New Roman"/>
          <w:sz w:val="20"/>
          <w:szCs w:val="20"/>
          <w:color w:val="auto"/>
        </w:rPr>
        <w:t>” means any Requirement of Law of a Governmental Authority in a jurisdiction other than the United States of America or any state thereof or the District of Columbia (including any banking, exchange control, financial assistance, minimum capitalization, fraudulent conveyance, mandatory labor advice or similar rules or regulations).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 Person that is a fund that makes, purchases, holds or otherwise invests in commercial loans or similar extensions of credit in the ordinary course of its existence.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U.S., as in effect from time to time, but subject to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165" w:name="page166"/>
    <w:bookmarkEnd w:id="165"/>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Borrowers</w:t>
      </w:r>
      <w:r>
        <w:rPr>
          <w:rFonts w:ascii="Times New Roman" w:cs="Times New Roman" w:eastAsia="Times New Roman" w:hAnsi="Times New Roman"/>
          <w:sz w:val="20"/>
          <w:szCs w:val="20"/>
          <w:color w:val="auto"/>
        </w:rPr>
        <w:t xml:space="preserve">” means each Subsidiary of European Borrower organized under the laws of the Federal Republic of Germany, and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Subsidiary of European Borrower organized under the laws of the Federal Republic of Germany and requested by European Borrower to be a German Borrower, subject to the approval of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Acts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provincial, territorial, local or foreign court or governmental agency, authority, instrumentality or regulatory body, including any central bank and any supra-national body exercising executive, legislative, judicial, taxing, regulatory or administrative powers or functions pertaining to government, such as the European Union or the European Central Bank.“</w:t>
      </w:r>
      <w:r>
        <w:rPr>
          <w:rFonts w:ascii="Times New Roman" w:cs="Times New Roman" w:eastAsia="Times New Roman" w:hAnsi="Times New Roman"/>
          <w:sz w:val="20"/>
          <w:szCs w:val="20"/>
          <w:u w:val="single" w:color="auto"/>
          <w:color w:val="auto"/>
        </w:rPr>
        <w:t>GHG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Protocol</w:t>
      </w:r>
      <w:r>
        <w:rPr>
          <w:rFonts w:ascii="Times New Roman" w:cs="Times New Roman" w:eastAsia="Times New Roman" w:hAnsi="Times New Roman"/>
          <w:sz w:val="20"/>
          <w:szCs w:val="20"/>
          <w:color w:val="auto"/>
        </w:rPr>
        <w:t>” means the World Resources Institute/World Business Council for Sustainable Development Greenhouse Gas (GHG) Protocol, Corporate Accounting and Reporting Standard, Revised Edition (Scope 1 and 2), and the GHG Protocol Scope 2 Guidance, an amendment to the GHG Protocol Corporate Standard, most recently published and as may be amended from time to time.</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Greenhouse Gas Footprint</w:t>
      </w:r>
      <w:r>
        <w:rPr>
          <w:rFonts w:ascii="Times New Roman" w:cs="Times New Roman" w:eastAsia="Times New Roman" w:hAnsi="Times New Roman"/>
          <w:sz w:val="19"/>
          <w:szCs w:val="19"/>
          <w:color w:val="auto"/>
        </w:rPr>
        <w:t>” means, for any Reference Year, the sum of Crown Holdings and its Subsidiaries' total absolute Scope 1 and 2 GHG emissions, with measurements, quantifications and reporting of Scope 1 and 2 GHG Emissions completed in accordance with the GHG Protocol, measured in metrics tons of carbon dioxide equivalent (MT CO2e) and third-party verified to a level of limited assurance.</w:t>
      </w:r>
    </w:p>
    <w:p>
      <w:pPr>
        <w:spacing w:after="0" w:line="16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Greenhouse Gas Footprint Applicable Commitment Fee Adjustment Amount</w:t>
      </w:r>
      <w:r>
        <w:rPr>
          <w:rFonts w:ascii="Times New Roman" w:cs="Times New Roman" w:eastAsia="Times New Roman" w:hAnsi="Times New Roman"/>
          <w:sz w:val="20"/>
          <w:szCs w:val="20"/>
          <w:color w:val="auto"/>
        </w:rPr>
        <w:t>” means, subject to the provisions of Section 2.17 with respect to any period between Sustainability Pricing Adjustment Dates, as determined for the applicable Reference Year:</w:t>
      </w:r>
    </w:p>
    <w:p>
      <w:pPr>
        <w:spacing w:after="0" w:line="173" w:lineRule="exact"/>
        <w:rPr>
          <w:sz w:val="20"/>
          <w:szCs w:val="20"/>
          <w:color w:val="auto"/>
        </w:rPr>
      </w:pPr>
    </w:p>
    <w:p>
      <w:pPr>
        <w:ind w:left="1300" w:hanging="320"/>
        <w:spacing w:after="0" w:line="283" w:lineRule="auto"/>
        <w:tabs>
          <w:tab w:leader="none" w:pos="12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0.005%, if the Greenhouse Gas Footprint for the applicable Reference Year as set forth in the Sustainability Certificate is more than the Greenhouse Gas Footprint Threshold for such Reference Year;</w:t>
      </w:r>
    </w:p>
    <w:p>
      <w:pPr>
        <w:spacing w:after="0" w:line="146" w:lineRule="exact"/>
        <w:rPr>
          <w:rFonts w:ascii="Times New Roman" w:cs="Times New Roman" w:eastAsia="Times New Roman" w:hAnsi="Times New Roman"/>
          <w:sz w:val="20"/>
          <w:szCs w:val="20"/>
          <w:color w:val="auto"/>
        </w:rPr>
      </w:pPr>
    </w:p>
    <w:p>
      <w:pPr>
        <w:jc w:val="both"/>
        <w:ind w:left="1300" w:right="20" w:hanging="320"/>
        <w:spacing w:after="0" w:line="261" w:lineRule="auto"/>
        <w:tabs>
          <w:tab w:leader="none" w:pos="128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 if the Greenhouse Gas Footprint for the applicable Reference Year as set forth in the Sustainability Certificate is more than the Greenhouse Gas Footprint Target but less than or equal to the Greenhouse Gas Footprint Threshold for such Reference Year; and</w:t>
      </w:r>
    </w:p>
    <w:p>
      <w:pPr>
        <w:spacing w:after="0" w:line="181" w:lineRule="exact"/>
        <w:rPr>
          <w:rFonts w:ascii="Times New Roman" w:cs="Times New Roman" w:eastAsia="Times New Roman" w:hAnsi="Times New Roman"/>
          <w:sz w:val="20"/>
          <w:szCs w:val="20"/>
          <w:color w:val="auto"/>
        </w:rPr>
      </w:pPr>
    </w:p>
    <w:p>
      <w:pPr>
        <w:ind w:left="1300" w:hanging="320"/>
        <w:spacing w:after="0" w:line="269" w:lineRule="auto"/>
        <w:tabs>
          <w:tab w:leader="none" w:pos="12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0.005%, if the Greenhouse Gas Footprint for the applicable Reference Year as set forth in the Sustainability Certificate is less than or equal to the Greenhouse Gas Footprint Target for such Reference Year.</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Greenhouse Gas Footprint Applicable Margin Adjustment Amount</w:t>
      </w:r>
      <w:r>
        <w:rPr>
          <w:rFonts w:ascii="Times New Roman" w:cs="Times New Roman" w:eastAsia="Times New Roman" w:hAnsi="Times New Roman"/>
          <w:sz w:val="20"/>
          <w:szCs w:val="20"/>
          <w:color w:val="auto"/>
        </w:rPr>
        <w:t>” means, subject to the provisions of Section 2.17, with respect to any period between Sustainability Pricing Adjustment Dates, as determined for the applicable Reference Year:</w:t>
      </w:r>
    </w:p>
    <w:p>
      <w:pPr>
        <w:spacing w:after="0" w:line="146" w:lineRule="exact"/>
        <w:rPr>
          <w:sz w:val="20"/>
          <w:szCs w:val="20"/>
          <w:color w:val="auto"/>
        </w:rPr>
      </w:pPr>
    </w:p>
    <w:p>
      <w:pPr>
        <w:ind w:left="1300" w:hanging="320"/>
        <w:spacing w:after="0" w:line="283" w:lineRule="auto"/>
        <w:tabs>
          <w:tab w:leader="none" w:pos="12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0.025%, if the Greenhouse Gas Footprint for the applicable Reference Year as set forth in the Sustainability Certificate is more than the Greenhouse Gas Footprint Threshold for such Reference Year;</w:t>
      </w:r>
    </w:p>
    <w:p>
      <w:pPr>
        <w:spacing w:after="0" w:line="146" w:lineRule="exact"/>
        <w:rPr>
          <w:rFonts w:ascii="Times New Roman" w:cs="Times New Roman" w:eastAsia="Times New Roman" w:hAnsi="Times New Roman"/>
          <w:sz w:val="20"/>
          <w:szCs w:val="20"/>
          <w:color w:val="auto"/>
        </w:rPr>
      </w:pPr>
    </w:p>
    <w:p>
      <w:pPr>
        <w:jc w:val="both"/>
        <w:ind w:left="1300" w:right="20" w:hanging="320"/>
        <w:spacing w:after="0" w:line="268" w:lineRule="auto"/>
        <w:tabs>
          <w:tab w:leader="none" w:pos="128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 if the Greenhouse Gas Footprint for the applicable Reference Year as set forth in the Sustainability Certificate is more than the Greenhouse Gas Footprint Target but less than or equal to the Greenhouse Gas Footprint Threshold for such Reference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166" w:name="page167"/>
    <w:bookmarkEnd w:id="166"/>
    <w:p>
      <w:pPr>
        <w:ind w:left="1300" w:hanging="320"/>
        <w:spacing w:after="0" w:line="283" w:lineRule="auto"/>
        <w:tabs>
          <w:tab w:leader="none" w:pos="129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0.025%, if the Greenhouse Gas Footprint for the applicable Reference Year as set forth in the Sustainability Certificate is less than or equal to the Greenhouse Gas Footprint Target for such Reference Year.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Greenhouse Gas Footprint Target</w:t>
      </w:r>
      <w:r>
        <w:rPr>
          <w:rFonts w:ascii="Times New Roman" w:cs="Times New Roman" w:eastAsia="Times New Roman" w:hAnsi="Times New Roman"/>
          <w:sz w:val="20"/>
          <w:szCs w:val="20"/>
          <w:color w:val="auto"/>
        </w:rPr>
        <w:t>” means, with respect to any Reference Year, the Greenhouse Gas Footprint Target for such Reference Year as set forth in the Sustainability Table.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Greenhouse Gas Footprint Threshold</w:t>
      </w:r>
      <w:r>
        <w:rPr>
          <w:rFonts w:ascii="Times New Roman" w:cs="Times New Roman" w:eastAsia="Times New Roman" w:hAnsi="Times New Roman"/>
          <w:sz w:val="20"/>
          <w:szCs w:val="20"/>
          <w:color w:val="auto"/>
        </w:rPr>
        <w:t>” means, with respect to any Reference Year, the Greenhouse Gas Footprint Threshold for such Reference Year, above which point a positive Greenhouse Gas Footprint Applicable Margin Adjustment Amount and Greenhouse Gas Applicable Commitment Fee Adjustment Amount shall be made, as set forth in the Sustainability Table.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Agreements</w:t>
      </w:r>
      <w:r>
        <w:rPr>
          <w:rFonts w:ascii="Times New Roman" w:cs="Times New Roman" w:eastAsia="Times New Roman" w:hAnsi="Times New Roman"/>
          <w:sz w:val="20"/>
          <w:szCs w:val="20"/>
          <w:color w:val="auto"/>
        </w:rPr>
        <w:t>” means the Non-U.S. Guarantee Agreements and the U.S. Guarantee Agreement.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Obligations</w:t>
      </w:r>
      <w:r>
        <w:rPr>
          <w:rFonts w:ascii="Times New Roman" w:cs="Times New Roman" w:eastAsia="Times New Roman" w:hAnsi="Times New Roman"/>
          <w:sz w:val="20"/>
          <w:szCs w:val="20"/>
          <w:color w:val="auto"/>
        </w:rPr>
        <w:t>” means, as to any Person, without duplication, any direct or indirect contractual obligation of such Person guaranteeing or intended to guarantee any Indebtedness (“</w:t>
      </w:r>
      <w:r>
        <w:rPr>
          <w:rFonts w:ascii="Times New Roman" w:cs="Times New Roman" w:eastAsia="Times New Roman" w:hAnsi="Times New Roman"/>
          <w:sz w:val="20"/>
          <w:szCs w:val="20"/>
          <w:u w:val="single" w:color="auto"/>
          <w:color w:val="auto"/>
        </w:rPr>
        <w:t>primary obligations</w:t>
      </w:r>
      <w:r>
        <w:rPr>
          <w:rFonts w:ascii="Times New Roman" w:cs="Times New Roman" w:eastAsia="Times New Roman" w:hAnsi="Times New Roman"/>
          <w:sz w:val="20"/>
          <w:szCs w:val="20"/>
          <w:color w:val="auto"/>
        </w:rPr>
        <w:t>”)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(i) the Credit Parties (other than the Borrowers) and (ii) for purposes of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only, the Parent Guarantors, the U.S. Borrower, Crown Finance and the European Borrower.</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Times New Roman" w:cs="Times New Roman" w:eastAsia="Times New Roman" w:hAnsi="Times New Roman"/>
          <w:sz w:val="20"/>
          <w:szCs w:val="20"/>
          <w:u w:val="single" w:color="auto"/>
          <w:color w:val="auto"/>
        </w:rPr>
        <w:t>PCBs</w:t>
      </w:r>
      <w:r>
        <w:rPr>
          <w:rFonts w:ascii="Times New Roman" w:cs="Times New Roman" w:eastAsia="Times New Roman" w:hAnsi="Times New Roman"/>
          <w:sz w:val="20"/>
          <w:szCs w:val="20"/>
          <w:color w:val="auto"/>
        </w:rPr>
        <w:t>”) or PCB-containing materials or any other substances, wastes or equipment of any nature which can give rise to Environmental Liability under, or are regulated pursuant to, any Environmental Law.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has the meaning assigned to such term in the definition of “Bank Related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167" w:name="page168"/>
    <w:bookmarkEnd w:id="167"/>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Impermissible Qualification</w:t>
      </w:r>
      <w:r>
        <w:rPr>
          <w:rFonts w:ascii="Times New Roman" w:cs="Times New Roman" w:eastAsia="Times New Roman" w:hAnsi="Times New Roman"/>
          <w:sz w:val="20"/>
          <w:szCs w:val="20"/>
          <w:color w:val="auto"/>
        </w:rPr>
        <w:t>” means, relative to the opinion or certification of any independent public accountant as to any financial statement of Crown Holdings, any qualification or exception to such opinion or certification:</w:t>
      </w:r>
    </w:p>
    <w:p>
      <w:pPr>
        <w:spacing w:after="0" w:line="173" w:lineRule="exact"/>
        <w:rPr>
          <w:sz w:val="20"/>
          <w:szCs w:val="20"/>
          <w:color w:val="auto"/>
        </w:rPr>
      </w:pPr>
    </w:p>
    <w:p>
      <w:pPr>
        <w:jc w:val="both"/>
        <w:ind w:left="660" w:firstLine="644"/>
        <w:spacing w:after="0" w:line="258" w:lineRule="auto"/>
        <w:tabs>
          <w:tab w:leader="none" w:pos="19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is of a “going concern” or similar nature other than any such qualification or exception with respect to, or resulting from, (x) changes in accounting 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relates to the limited scope of examination of matters relevant to such financial statement; or</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relates to the treatment or classification of any item in such financial statement and which, as a condition to its removal, would require an adjustment to such item the effect of which would be to cause a default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xml:space="preserve">” has the meaning assigned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w:t>
      </w:r>
      <w:r>
        <w:rPr>
          <w:rFonts w:ascii="Times New Roman" w:cs="Times New Roman" w:eastAsia="Times New Roman" w:hAnsi="Times New Roman"/>
          <w:sz w:val="20"/>
          <w:szCs w:val="20"/>
          <w:color w:val="auto"/>
        </w:rPr>
        <w:t>” means the Incremental Amendment No. 3 and Fifth Amendment to this Agreement, dated as of August 8, 2022, among the Borrowers, the Guarantors, the Administrative Agent, the U.K. Administrative Agent, the Canadian Administrative Agent, the 2022 Additional Term A Lenders (as defined therein), the Facing Agents, the Swing Line Lender and the Revolving Lenders.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Arrangers</w:t>
      </w:r>
      <w:r>
        <w:rPr>
          <w:rFonts w:ascii="Times New Roman" w:cs="Times New Roman" w:eastAsia="Times New Roman" w:hAnsi="Times New Roman"/>
          <w:sz w:val="20"/>
          <w:szCs w:val="20"/>
          <w:color w:val="auto"/>
        </w:rPr>
        <w:t>” means the “Lead Arrangers” as defined in the Incremental Amendment No. 3 and Fifth Amendment.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Co-Documentation Agents</w:t>
      </w:r>
      <w:r>
        <w:rPr>
          <w:rFonts w:ascii="Times New Roman" w:cs="Times New Roman" w:eastAsia="Times New Roman" w:hAnsi="Times New Roman"/>
          <w:sz w:val="20"/>
          <w:szCs w:val="20"/>
          <w:color w:val="auto"/>
        </w:rPr>
        <w:t>” means the “Co-Documentation Agents” as defined in the Incremental Amendment No. 3 and Fifth Amendment.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Effective Date</w:t>
      </w:r>
      <w:r>
        <w:rPr>
          <w:rFonts w:ascii="Times New Roman" w:cs="Times New Roman" w:eastAsia="Times New Roman" w:hAnsi="Times New Roman"/>
          <w:sz w:val="20"/>
          <w:szCs w:val="20"/>
          <w:color w:val="auto"/>
        </w:rPr>
        <w:t>” means August 8, 2022.</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xml:space="preserve">” means, as of any date of determination, an aggregate principal amount equal to the sum of (x)(i) $1,750,000,000 (or the Dollar Equivalent thereof at the time of the making of an Additional Term Loans or Incremental Equivalent Debt or establishment of an Additional Revolving Credit Commitment or Additional Revolving Facility)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the aggregate principal amount of all Additional Facilities and Incremental Equivalent Debt incurred or issued in reliance on clause (x)(i) of this definition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 the aggregate principal amount of any voluntary prepayment, redemption, repurchase or other retirement of any Loan, including any Loan under any Additional Facility or any Incremental Equivalent Debt (other than, in each case, incurred pursuant to clause (z) below) in accordance with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(accompanied, to the extent such prepayments are of Loans under any Revolving Facility, Additional Revolving Facility and/or any Additional Revolving Credit Commitments, by a commitment reduction in the like amount under such Revolving Facility, Additional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Facility and/or Additional Revolving Credit Commitment) and/or the aggregate principal amount of any permanent reduction of any Revolving Commitment or Additional Facility Commitment so long as, in the case of any voluntary prepayment, redemption, repurchase or other retirement, such prepayment, redemption, repurchase or other retirement was not funded with the proceeds of a contemporaneous refinancing with new long-term funded Indebtedness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aggregate outstanding principal amount of all Additional Facilities and Incremental Equivalent Debt incurred or issued in reliance on clause (y)(A) of this definition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(z) such additional unlimited principal amounts such that, at the time of the incurrence of the applicable Additional Facility or Incremental Equivalent Debt, solely with respect to any incurrence in reliance on this clause (z) (immediately after giving effect to the full utilization of the applicable Additional Facility or Incremental Equivalent Debt and excluding any cash constituting proceeds of any Additional Facility or Incremental Equivalent Debt, as applicable, in reliance on this clause (z)), the Total First Lien Leverage Ratio of Crown Holdings and its Subsidiaries (calculated as if any Additional Revolving Credit Commitments and/or Additional Revolving Facilities were fully drawn and excluding any cash constituting proceeds of any Additional Facility and any Incremental Equivalent Debt) does not exceed 2.00 to 1.00 (it being acknowledged that each Additional Facility and/or Incremental Equivalent Debt under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incurred under clause (z) if clause (z) is available at the time of such incurrence up to the maximum amount available, and any additional amounts incurred at any time that clause (z) is unavailable shall be incurred under clauses (x) and/or (y), and any substantially concurrent incurrence or series of related incurrences under clauses (x) and/or (y) shall not be given pro forma effect for purposes of determining the Total First Lien Leverage Ratio with respect to any incurrence under clause (z)), calculated on a Pro Forma Basis, after giving effect to the application of the proceeds thereof (but without “netting” the Cash proceeds of the applicable Additional Facility or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Cash proceeds thereof are used to repay Indebtedness, pro forma effect shall be given to such repayment of Indebtedness) and, in the case of any Additional Revolving Credit Commitments, assuming a full drawing under such Additional Revolving Credit Commitments, and determined on the basis of the financial statements for the most recently completed four Fiscal Quarter period of Borrowers that are internally available. For the avoidance of doubt, undrawn 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2.9(d)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applied to any Person (without duplication):</w:t>
      </w:r>
    </w:p>
    <w:p>
      <w:pPr>
        <w:spacing w:after="0" w:line="229" w:lineRule="exact"/>
        <w:rPr>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such Person for borrowed money;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non-contingent obligations to pay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185"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Lease Obligations;</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type described in clauses (i) through (iii) above and clauses (v) through (x) below secured by any Lien on any property owned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169" w:name="page170"/>
    <w:bookmarkEnd w:id="169"/>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whether or not such Indebtedness has been assumed by such Person or is nonrecourse to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181" w:lineRule="exact"/>
        <w:rPr>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obligations of such Person, in each case, evidenced by bonds, notes or similar written instruments;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Hedging Agreements;</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such Person in respect of Indebtedness described in clauses (i) through (viii) and clause (x) of this definition; and</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Debt of such Person;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Excluded Attributable Debt shall not constitute Indebtedness.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 to Remain Outstanding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Borrowing</w:t>
      </w:r>
      <w:r>
        <w:rPr>
          <w:rFonts w:ascii="Times New Roman" w:cs="Times New Roman" w:eastAsia="Times New Roman" w:hAnsi="Times New Roman"/>
          <w:sz w:val="20"/>
          <w:szCs w:val="20"/>
          <w:color w:val="auto"/>
        </w:rPr>
        <w:t>” means the first Borrowing under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Loan</w:t>
      </w:r>
      <w:r>
        <w:rPr>
          <w:rFonts w:ascii="Times New Roman" w:cs="Times New Roman" w:eastAsia="Times New Roman" w:hAnsi="Times New Roman"/>
          <w:sz w:val="20"/>
          <w:szCs w:val="20"/>
          <w:color w:val="auto"/>
        </w:rPr>
        <w:t>” means the first Loan made by the Lenders under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Maturity Date Amount</w:t>
      </w:r>
      <w:r>
        <w:rPr>
          <w:rFonts w:ascii="Times New Roman" w:cs="Times New Roman" w:eastAsia="Times New Roman" w:hAnsi="Times New Roman"/>
          <w:sz w:val="20"/>
          <w:szCs w:val="20"/>
          <w:color w:val="auto"/>
        </w:rPr>
        <w:t>” means $400,000,000, to be shared among (a) clause (i) of the definition of “Permitted Ratio Debt”,</w:t>
      </w:r>
    </w:p>
    <w:p>
      <w:pPr>
        <w:spacing w:after="0" w:line="22" w:lineRule="exact"/>
        <w:rPr>
          <w:sz w:val="20"/>
          <w:szCs w:val="20"/>
          <w:color w:val="auto"/>
        </w:rPr>
      </w:pPr>
    </w:p>
    <w:p>
      <w:pPr>
        <w:jc w:val="both"/>
        <w:ind w:firstLine="8"/>
        <w:spacing w:after="0" w:line="249" w:lineRule="auto"/>
        <w:tabs>
          <w:tab w:leader="none" w:pos="3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clause (i) of the definition of “Permitted European Borrower Debt”, (b) clause (c) of the definition of “Permitted Refinancing Indebtedness”, (c) </w:t>
      </w:r>
      <w:r>
        <w:rPr>
          <w:rFonts w:ascii="Times New Roman" w:cs="Times New Roman" w:eastAsia="Times New Roman" w:hAnsi="Times New Roman"/>
          <w:sz w:val="20"/>
          <w:szCs w:val="20"/>
          <w:u w:val="single" w:color="auto"/>
          <w:color w:val="auto"/>
        </w:rPr>
        <w:t>Section 2.9(a)(ii)</w:t>
      </w:r>
      <w:r>
        <w:rPr>
          <w:rFonts w:ascii="Times New Roman" w:cs="Times New Roman" w:eastAsia="Times New Roman" w:hAnsi="Times New Roman"/>
          <w:sz w:val="20"/>
          <w:szCs w:val="20"/>
          <w:color w:val="auto"/>
        </w:rPr>
        <w:t xml:space="preserve">, (d) </w:t>
      </w:r>
      <w:r>
        <w:rPr>
          <w:rFonts w:ascii="Times New Roman" w:cs="Times New Roman" w:eastAsia="Times New Roman" w:hAnsi="Times New Roman"/>
          <w:sz w:val="20"/>
          <w:szCs w:val="20"/>
          <w:u w:val="single" w:color="auto"/>
          <w:color w:val="auto"/>
        </w:rPr>
        <w:t>Section 2.9(a)(iii)</w:t>
      </w:r>
      <w:r>
        <w:rPr>
          <w:rFonts w:ascii="Times New Roman" w:cs="Times New Roman" w:eastAsia="Times New Roman" w:hAnsi="Times New Roman"/>
          <w:sz w:val="20"/>
          <w:szCs w:val="20"/>
          <w:color w:val="auto"/>
        </w:rPr>
        <w:t xml:space="preserve"> and (e) </w:t>
      </w:r>
      <w:r>
        <w:rPr>
          <w:rFonts w:ascii="Times New Roman" w:cs="Times New Roman" w:eastAsia="Times New Roman" w:hAnsi="Times New Roman"/>
          <w:sz w:val="20"/>
          <w:szCs w:val="20"/>
          <w:u w:val="single" w:color="auto"/>
          <w:color w:val="auto"/>
        </w:rPr>
        <w:t>Section 2.9(d)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use of the Inside Maturity Date Amount shall reduce the Inside Maturity Date Amount under any other such clause or basket.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170" w:name="page171"/>
    <w:bookmarkEnd w:id="170"/>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Proceedings</w:t>
      </w:r>
      <w:r>
        <w:rPr>
          <w:rFonts w:ascii="Times New Roman" w:cs="Times New Roman" w:eastAsia="Times New Roman" w:hAnsi="Times New Roman"/>
          <w:sz w:val="20"/>
          <w:szCs w:val="20"/>
          <w:color w:val="auto"/>
        </w:rPr>
        <w:t>” means, whether voluntary or involuntary (a) any case, proceeding or other action commenced by the Borrowers or any Guarantor (i) under any existing or future law of any 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 (b) there shall be commenced against the Borrowers or any Guarantor any such case, proceeding or other action referred to in clause (a) of this definition which results in the entry of an order for relief or any such adjudication or appointment remains undismissed, undischarged and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means Crownway Insurance Company, a Vermont corporation.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Indebtedness</w:t>
      </w:r>
      <w:r>
        <w:rPr>
          <w:rFonts w:ascii="Times New Roman" w:cs="Times New Roman" w:eastAsia="Times New Roman" w:hAnsi="Times New Roman"/>
          <w:sz w:val="20"/>
          <w:szCs w:val="20"/>
          <w:color w:val="auto"/>
        </w:rPr>
        <w:t>” means Indebtedness of Crown Holdings or any of its Subsidiaries which is owing to any member of such group.</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any period, the ratio of Consolidated EBITDA of Crown Holdings and its Subsidiaries to Consolidated Interest Expense of Crown Holdings and its Subsidiaries for such period.</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Base Rate Loan or Canadian Prime Rate Loan, each Quarterly Payment Date to occur while such Loan is outstanding, (b) as to any Eurocurrency Loan having an Interest Period of three months or less, the last day of the Interest Period applicable thereto, (c) as to any Eurocurrency Loan having an Interest Period longer than three months, each day which is a three (3) month anniversary of the first day of the Interest Period applicable thereto and the last day of the Interest Period applicable thereto, (d) as to any SOFR Loan having an Interest Period of 3 months or less, the last day of the Interest Period applicable thereto, (e) as to any SOFR Loan having an Interest Period longer than 3 months, each day that is a 3 month anniversary of the first day of the Interest Period applicable thereto and (f) as to any with respect to any Daily Simple RFR Loan, each date that is on the numerically corresponding day in each calendar month that is one month after the Borrowing of such Loan (or, if there is no such numerically corresponding day in such month, then the last day of such month); provided that, as to any such Daily Simple RFR Loan, (x) if any such date would be a day other than a Business Day, such date shall be extended to the next succeeding Business Day unless such next succeeding Business Day would fall in the next calendar month, in which case such date shall be the next preceding Business Day and (y)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addition to the foregoing, each of (i) the date upon which both the Revolving Commitments have been terminated and the Revolving Loans have been paid in full (ii) the date upon which both the Canadian Revolving Commitments have been terminated and the Canadian Revolving Loans have been paid in full and (iii) the applicable Term Maturity Date shall be deemed to be an “Interest Payment Date” with respect to any interest which is then accrued hereunder for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the date for calculating the Eurocurrency Rate for an Interest Period, which date shall be the date on which quotations would ordinarily be given by prime banks in the relevant interbank market for deposits in the Applicable Currency for value on the first day of the related Interest Period for such Eurocurrency Loan but in any event not earlier than the second Business Day prior to the first day of the related Interest Period.</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 or any successor or analogous organization.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Income Tax Act (Canada), as from time to time amended, including the regulations proposed or promulgated thereunder, or any successor statute and the regulations proposed or promulgated thereunder.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ITA-UK</w:t>
      </w:r>
      <w:r>
        <w:rPr>
          <w:rFonts w:ascii="Times New Roman" w:cs="Times New Roman" w:eastAsia="Times New Roman" w:hAnsi="Times New Roman"/>
          <w:sz w:val="20"/>
          <w:szCs w:val="20"/>
          <w:color w:val="auto"/>
        </w:rPr>
        <w:t>” means the Income Tax Act 2007 (United Kingdom).</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means, at any time, an amount equal to the sum of the aggregate Multicurrency LC Obligations, Dollar LC Obligations and Canadian LC Obligations.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Reserve Account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right="20" w:firstLine="656"/>
        <w:spacing w:after="0" w:line="269" w:lineRule="auto"/>
        <w:tabs>
          <w:tab w:leader="none" w:pos="108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equitable remedies may be granted or refused at the discretion of a court and the limitation of enforcement by laws relating to insolvency, reorganization and other laws generally affecting the rights of creditors;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principles, rights and defenses under the laws of any relevant jurisdiction; and;</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matters which are set out as qualifications or reservations as to matters of law of general application in any legal opinion delivered in accordance with Article V (Conditions of Credit) and Section 6 of the Incremental Amendment No.2 and Third Amendment.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have the respective meanings assigned to those terms in the preamble to this Agreement and shall include any Person that becomes a “Lender” (i) pursuant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and (ii) in connection with the incurrence of an Additional Facility or Incremental Equivalent Debt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Amendment Request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Exposure</w:t>
      </w:r>
      <w:r>
        <w:rPr>
          <w:rFonts w:ascii="Times New Roman" w:cs="Times New Roman" w:eastAsia="Times New Roman" w:hAnsi="Times New Roman"/>
          <w:sz w:val="20"/>
          <w:szCs w:val="20"/>
          <w:color w:val="auto"/>
        </w:rPr>
        <w:t>” means, with respect to a Revolving Lender, such Lender’s Multicurrency Revolver Pro Rata Share, Dollar Revolver Pro Rata Share or Canadian Revolver Pro Rata Share, as the case may be, of the aggregate LC Obligations.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Multicurrency Letters of Credit, the Dollar Letters of Credit and Canadian Letters of Credit, collectively or separately as the context requires, and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such Letters of Credit.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encumbrance, charge, assignment, hypothecation, deemed trust,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 or title retention agreement relating to such asset and (c) any other agreement intended to create any of the foregoing; provided that in no event shall an Operating Lease be deemed to constitute a lien.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of, or similar third-party Investment by one or more of Crown Holdings and its Subsidiaries in, any assets, business or Person permitted by this Agreement the consummation of which is not conditioned on the availability of, or on obtaining, third-party financing (it being understood that such commitment may be subject to conditions precedent (including diligence and regulatory conditions), which conditions precedent may be amended, satisfied or waived in accordance with the terms of the applicable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 Limited Condition Acquisition, (b) redemption, repurchase, defeasance, satisfaction, discharge or repayment of Indebtedness requiring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color w:val="auto"/>
        </w:rPr>
        <w:t>advance notice of such redemption, repurchase, defeasance, satisfaction, discharge or repayment that is not subject to obtaining financing, or</w:t>
      </w:r>
    </w:p>
    <w:p>
      <w:pPr>
        <w:spacing w:after="0" w:line="40" w:lineRule="exact"/>
        <w:rPr>
          <w:sz w:val="20"/>
          <w:szCs w:val="20"/>
          <w:color w:val="auto"/>
        </w:rPr>
      </w:pPr>
    </w:p>
    <w:p>
      <w:pPr>
        <w:ind w:firstLine="8"/>
        <w:spacing w:after="0" w:line="253" w:lineRule="auto"/>
        <w:tabs>
          <w:tab w:leader="none" w:pos="2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declaration of a distribution or dividend in respect of, or irrevocable advance notice of, or any irrevocable offer to, purchase, redeem or otherwise acquire or retire for value, any Capital Stock of Crown Holdings that is not subject to obtaining financing.</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 Dollar Revolving Loan, Multicurrency Revolving Loans, Canadian Revolving Loan or Swing Line Loan, and “Loans” means all such Loans collectively.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the Notes, each Security Document, each Guarantee Agreement, each Receivables Intercreditor Agreement, each Fee Letter and all other agreements, instruments and documents executed in connection therewith, in each case as the same may at any time be amended, supplemented, restated or otherwise modified and in effect.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 to be Converted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KPI Metric</w:t>
      </w:r>
      <w:r>
        <w:rPr>
          <w:rFonts w:ascii="Times New Roman" w:cs="Times New Roman" w:eastAsia="Times New Roman" w:hAnsi="Times New Roman"/>
          <w:sz w:val="20"/>
          <w:szCs w:val="20"/>
          <w:color w:val="auto"/>
        </w:rPr>
        <w:t>” means each of the Greenhouse Gas Footprint, Total Water Usage and Total Recordable Incident Rate.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Permitted Acquisition (or a series of related Permitted Acquisitions) that involves an acquisition, the aggregate fair market value of which assets exceeds $150,000,000.</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materially adverse effect on (a) the business, assets, operations or financial condition, of Crown Holdings and its Subsidiaries taken as a whole, (b) the ability of the Credit Parties (taken as a whole) to perform their payment obligations under any Loan Document or (c) the rights of or benefits available to the Lenders taken as a whole under any Loan Document.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Hedging Agreements, of any one or more of Crown Holdings and its Material Subsidiaries, individually or in an aggregate principal amount exceeding $250,000,000. For purposes of determining Material Indebtedness, the “principal amount” of the obligations of Crown Holdings or any Subsidiary in respect of any Hedging Agreement at any time shall be the maximum aggregate amount (giving effect to any netting agreements) that such Person would be required to pay if such Hedging Agreement were terminated at such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any Subsidiary of Crown Holdings, which either (i) the consolidated total assets of which were more than 8% of Crown Holdings’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(ii) the consolidated total revenues of which were more than 7% of Crown Holdings’ consolidated total revenues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83" w:lineRule="auto"/>
        <w:rPr>
          <w:sz w:val="20"/>
          <w:szCs w:val="20"/>
          <w:color w:val="auto"/>
        </w:rPr>
      </w:pPr>
      <w:r>
        <w:rPr>
          <w:rFonts w:ascii="Times New Roman" w:cs="Times New Roman" w:eastAsia="Times New Roman" w:hAnsi="Times New Roman"/>
          <w:sz w:val="20"/>
          <w:szCs w:val="20"/>
          <w:color w:val="auto"/>
        </w:rPr>
        <w:t>converted into Dollars at the rates used for purposes of preparing the consolidated balance sheet of Crown Holdings included in such financial statements.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 Extension Request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Commitment</w:t>
      </w:r>
      <w:r>
        <w:rPr>
          <w:rFonts w:ascii="Times New Roman" w:cs="Times New Roman" w:eastAsia="Times New Roman" w:hAnsi="Times New Roman"/>
          <w:sz w:val="19"/>
          <w:szCs w:val="19"/>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to Incremental Amendment No. 3 and Fifth Amendment or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to Incremental Amendment No. 3 and Fifth Amendment, subject to reduction from time to time in accordance with the terms of this Agreement.</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Amount</w:t>
      </w:r>
      <w:r>
        <w:rPr>
          <w:rFonts w:ascii="Times New Roman" w:cs="Times New Roman" w:eastAsia="Times New Roman" w:hAnsi="Times New Roman"/>
          <w:sz w:val="20"/>
          <w:szCs w:val="20"/>
          <w:color w:val="auto"/>
        </w:rPr>
        <w:t>” means (i) with respect to Base Rate Loans, $1,000,000, (ii) with respect to SOFR Loans, $5,000,000, (iii) with respect to Eurocurrency Loans, €5,000,000, (iv) with respect to Daily Simple RFR Loans, £3,000,000, (v) with respect to Swing Line Loans, (a) $500,000 in the case of a Borrowing in Dollars, (b) £500,000 in the case of a Borrowing in Sterling and (c) €500,000 in the case of a Borrowing in Euro, (iv) with respect to Canadian Prime Rate Loans, Cdn.$5,000,000, and (v) with respect to B/A Loans Cdn.$5,000,000.</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Multiple</w:t>
      </w:r>
      <w:r>
        <w:rPr>
          <w:rFonts w:ascii="Times New Roman" w:cs="Times New Roman" w:eastAsia="Times New Roman" w:hAnsi="Times New Roman"/>
          <w:sz w:val="20"/>
          <w:szCs w:val="20"/>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Interest</w:t>
      </w:r>
      <w:r>
        <w:rPr>
          <w:rFonts w:ascii="Times New Roman" w:cs="Times New Roman" w:eastAsia="Times New Roman" w:hAnsi="Times New Roman"/>
          <w:sz w:val="20"/>
          <w:szCs w:val="20"/>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or any successor to the rating agency business thereof.</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Most Recent Total Leverage Ratio</w:t>
      </w:r>
      <w:r>
        <w:rPr>
          <w:rFonts w:ascii="Times New Roman" w:cs="Times New Roman" w:eastAsia="Times New Roman" w:hAnsi="Times New Roman"/>
          <w:sz w:val="20"/>
          <w:szCs w:val="20"/>
          <w:color w:val="auto"/>
        </w:rPr>
        <w:t xml:space="preserve">” means, at any date, the Total Leverage Ratio for the Test Period ending as of the most recently ended Fiscal Quarter for which financial statements have been delivered to the Lenders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Crown Holdings fails to deliver such financial statements as required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further fails to remedy such default within five Business Days of notice thereof from Administrative Agent, then, without prejudice to any other rights of any Lender hereunder, the Most Recent Total Leverage Ratio shall be deemed to be greater than the Total Leverage Ratio required to be maintained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of the date such financial statements were required to be delivered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LC Obligations</w:t>
      </w:r>
      <w:r>
        <w:rPr>
          <w:rFonts w:ascii="Times New Roman" w:cs="Times New Roman" w:eastAsia="Times New Roman" w:hAnsi="Times New Roman"/>
          <w:sz w:val="20"/>
          <w:szCs w:val="20"/>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Multicurrency LC Obligation of any Lender at any time shall mean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Multicurrency Revolver Pro Rata Share of the aggregate Multicurrency LC Obligations outstanding at such time.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Letter of Credit Exposure</w:t>
      </w:r>
      <w:r>
        <w:rPr>
          <w:rFonts w:ascii="Times New Roman" w:cs="Times New Roman" w:eastAsia="Times New Roman" w:hAnsi="Times New Roman"/>
          <w:sz w:val="20"/>
          <w:szCs w:val="20"/>
          <w:color w:val="auto"/>
        </w:rPr>
        <w:t>” means, with respect to a Revolving Lender, such Lender’s Multicurrency Revolver Pro Rata Share of the aggregate Multicurrency LC Obligations.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Revolver Pro Rata Share</w:t>
      </w:r>
      <w:r>
        <w:rPr>
          <w:rFonts w:ascii="Times New Roman" w:cs="Times New Roman" w:eastAsia="Times New Roman" w:hAnsi="Times New Roman"/>
          <w:sz w:val="20"/>
          <w:szCs w:val="20"/>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Revolving Commitment</w:t>
      </w:r>
      <w:r>
        <w:rPr>
          <w:rFonts w:ascii="Times New Roman" w:cs="Times New Roman" w:eastAsia="Times New Roman" w:hAnsi="Times New Roman"/>
          <w:sz w:val="19"/>
          <w:szCs w:val="19"/>
          <w:color w:val="auto"/>
        </w:rPr>
        <w:t xml:space="preserve">”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to Incremental Amendment No. 2 and Third Amendment under the caption “Amount of Multicurrency Revolving Commitment” as the same may be adjusted from time to time pursuant to the terms hereof and “Multicurrency Revolving Commitments” means such commitments collectively, which commitments equal $800,000,000 in the aggregate as of the Incremental Amendment No. 3 and Fifth Amendment Effective Date.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Credit Exposure</w:t>
      </w:r>
      <w:r>
        <w:rPr>
          <w:rFonts w:ascii="Times New Roman" w:cs="Times New Roman" w:eastAsia="Times New Roman" w:hAnsi="Times New Roman"/>
          <w:sz w:val="20"/>
          <w:szCs w:val="20"/>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Facility</w:t>
      </w:r>
      <w:r>
        <w:rPr>
          <w:rFonts w:ascii="Times New Roman" w:cs="Times New Roman" w:eastAsia="Times New Roman" w:hAnsi="Times New Roman"/>
          <w:sz w:val="20"/>
          <w:szCs w:val="20"/>
          <w:color w:val="auto"/>
        </w:rPr>
        <w:t>” means the credit facility under this Agreement evidenced by the Multicurrency Revolving Commitments and the Multicurrency Revolving Loans.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Lender</w:t>
      </w:r>
      <w:r>
        <w:rPr>
          <w:rFonts w:ascii="Times New Roman" w:cs="Times New Roman" w:eastAsia="Times New Roman" w:hAnsi="Times New Roman"/>
          <w:sz w:val="20"/>
          <w:szCs w:val="20"/>
          <w:color w:val="auto"/>
        </w:rPr>
        <w:t>” means any Lender which has a Multicurrency Revolving Commitment or is owed a Multicurrency Revolving Loan (or a portion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Multicurrency Revolving Loans</w:t>
      </w:r>
      <w:r>
        <w:rPr>
          <w:rFonts w:ascii="Times New Roman" w:cs="Times New Roman" w:eastAsia="Times New Roman" w:hAnsi="Times New Roman"/>
          <w:sz w:val="20"/>
          <w:szCs w:val="20"/>
          <w:color w:val="auto"/>
        </w:rPr>
        <w:t xml:space="preserve">” have the meanings given in </w:t>
      </w:r>
      <w:r>
        <w:rPr>
          <w:rFonts w:ascii="Times New Roman" w:cs="Times New Roman" w:eastAsia="Times New Roman" w:hAnsi="Times New Roman"/>
          <w:sz w:val="20"/>
          <w:szCs w:val="20"/>
          <w:u w:val="single" w:color="auto"/>
          <w:color w:val="auto"/>
        </w:rPr>
        <w:t>Section 2.1(b)(iii)(B)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Sublimit</w:t>
      </w:r>
      <w:r>
        <w:rPr>
          <w:rFonts w:ascii="Times New Roman" w:cs="Times New Roman" w:eastAsia="Times New Roman" w:hAnsi="Times New Roman"/>
          <w:sz w:val="20"/>
          <w:szCs w:val="20"/>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176" w:name="page177"/>
    <w:bookmarkEnd w:id="176"/>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Pension Plan described in Section 4001(a)(3) of ERISA to which contributions are or have, within the preceding six years, been made, or are or were, within the preceding six years, required to be made, by a Credit Party or any of its Subsidiaries or any of their ERISA Affiliates.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Indebtedness</w:t>
      </w:r>
      <w:r>
        <w:rPr>
          <w:rFonts w:ascii="Times New Roman" w:cs="Times New Roman" w:eastAsia="Times New Roman" w:hAnsi="Times New Roman"/>
          <w:sz w:val="20"/>
          <w:szCs w:val="20"/>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Asset Disposition, or any Recovery Event, (a) the cash proceeds actually received in respect of such event, including (i) any cash received in respect of any non-cash proceeds, but only as and when received, (ii) in the case of a Recovery Event, insurance proceeds in excess of $750,000,000 for all Recovery Events following the Incremental Amendment No. 3 and Fifth Amendment Effective Date, and condemnation awards and similar payments in excess of $750,000,000 for all condemnation awards and similar payments following the Incremental Amendment No. 3 and Fifth Amendment Effective Date, net of (b) the sum of (i) all reasonable costs, fees and out-of-pocket expenses incurred by Crown Holdings and its Subsidiaries to third parties (other than Affiliates) in connection with such event (or, if such costs, fees or expenses have not yet then been incurred or invoiced, such Person’s good faith estimate thereof), (ii) the amount of all Taxes paid (or reasonably estimated to be payable or held in reserve in accordance with GAAP or other applicable accounting rules) by Crown Holdings and its Subsidiaries in connection with such event (including any Taxes imposed as a result of the repatriation of any such cash proceeds), (iii) the amount of all payments required to be made by Crown Holdings and its Subsidiaries as a result of such event to repay Indebtedness (other than Loans) secured by a Prior Lien (as defined in the U.S. Security Agreement) and refinancings thereof permitted hereunder or a Lien permitted by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 by which such reserves are reduced for reasons other than payment of any such contingent liabilities shall be considered “Net Proceeds” upon such reduction, (iv) the amount of 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177" w:name="page178"/>
    <w:bookmarkEnd w:id="177"/>
    <w:p>
      <w:pPr>
        <w:jc w:val="both"/>
        <w:spacing w:after="0" w:line="251" w:lineRule="auto"/>
        <w:rPr>
          <w:sz w:val="20"/>
          <w:szCs w:val="20"/>
          <w:color w:val="auto"/>
        </w:rPr>
      </w:pPr>
      <w:r>
        <w:rPr>
          <w:rFonts w:ascii="Times New Roman" w:cs="Times New Roman" w:eastAsia="Times New Roman" w:hAnsi="Times New Roman"/>
          <w:sz w:val="20"/>
          <w:szCs w:val="20"/>
          <w:color w:val="auto"/>
        </w:rPr>
        <w:t>any indemnification obligations associated with the transaction, (vi) all distributions and other payments required to be made to minority interest holders in Subsidiaries, Unrestricted Entities or joint ventures as 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xml:space="preserve">” means any Person that becomes a Lender with respect to (a) a tranche of Additional Facilities or Incremental Equivalent Debt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(b) a tranche of Replacement Revolving Loans and Replacement Revolving Commitments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(c) a tranche of Replacement Term Loans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Maturity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Non-Cooperative Jurisdiction</w:t>
      </w:r>
      <w:r>
        <w:rPr>
          <w:rFonts w:ascii="Times New Roman" w:cs="Times New Roman" w:eastAsia="Times New Roman" w:hAnsi="Times New Roman"/>
          <w:sz w:val="20"/>
          <w:szCs w:val="20"/>
          <w:color w:val="auto"/>
        </w:rPr>
        <w:t>” means a “non-cooperative state or territory” (</w:t>
      </w:r>
      <w:r>
        <w:rPr>
          <w:rFonts w:ascii="Times New Roman" w:cs="Times New Roman" w:eastAsia="Times New Roman" w:hAnsi="Times New Roman"/>
          <w:sz w:val="20"/>
          <w:szCs w:val="20"/>
          <w:i w:val="1"/>
          <w:iCs w:val="1"/>
          <w:color w:val="auto"/>
        </w:rPr>
        <w:t>État ou territoire non coopératif</w:t>
      </w:r>
      <w:r>
        <w:rPr>
          <w:rFonts w:ascii="Times New Roman" w:cs="Times New Roman" w:eastAsia="Times New Roman" w:hAnsi="Times New Roman"/>
          <w:sz w:val="20"/>
          <w:szCs w:val="20"/>
          <w:color w:val="auto"/>
        </w:rPr>
        <w:t xml:space="preserve">) as set out in the list referred to in article 238-0 A of the French </w:t>
      </w:r>
      <w:r>
        <w:rPr>
          <w:rFonts w:ascii="Times New Roman" w:cs="Times New Roman" w:eastAsia="Times New Roman" w:hAnsi="Times New Roman"/>
          <w:sz w:val="20"/>
          <w:szCs w:val="20"/>
          <w:i w:val="1"/>
          <w:iCs w:val="1"/>
          <w:color w:val="auto"/>
        </w:rPr>
        <w:t>Code général des impôts</w:t>
      </w:r>
      <w:r>
        <w:rPr>
          <w:rFonts w:ascii="Times New Roman" w:cs="Times New Roman" w:eastAsia="Times New Roman" w:hAnsi="Times New Roman"/>
          <w:sz w:val="20"/>
          <w:szCs w:val="20"/>
          <w:color w:val="auto"/>
        </w:rPr>
        <w:t>, as of the Effective Date.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each Lender which is not a Defaulting Lender.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Non-Stock Collateral Release Event</w:t>
      </w:r>
      <w:r>
        <w:rPr>
          <w:rFonts w:ascii="Times New Roman" w:cs="Times New Roman" w:eastAsia="Times New Roman" w:hAnsi="Times New Roman"/>
          <w:sz w:val="20"/>
          <w:szCs w:val="20"/>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Ba1 and BB+ respectively and (c) the Administrative Agent shall have received a certificate from Crown Holdings certifying to the foregoing in a manner reasonably acceptable to the Administrative Agent.</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Guarantee Agreement</w:t>
      </w:r>
      <w:r>
        <w:rPr>
          <w:rFonts w:ascii="Times New Roman" w:cs="Times New Roman" w:eastAsia="Times New Roman" w:hAnsi="Times New Roman"/>
          <w:sz w:val="20"/>
          <w:szCs w:val="20"/>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18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Guarantee Subsidiary</w:t>
      </w:r>
      <w:r>
        <w:rPr>
          <w:rFonts w:ascii="Times New Roman" w:cs="Times New Roman" w:eastAsia="Times New Roman" w:hAnsi="Times New Roman"/>
          <w:sz w:val="19"/>
          <w:szCs w:val="19"/>
          <w:color w:val="auto"/>
        </w:rPr>
        <w:t xml:space="preserve">” means (i) any Wholly-Owned Subsidiary organized in England, Canada, France, Germany, Mexico, or Switzerland (other than a Receivables Subsidiary, an SLB Subsidiary, an Excluded U.K. Company, and Butimove), (ii) any Wholly-Owned Subsidiary that is organized under the laws of a jurisdiction other than the United States of America or any state thereof or the District of Columbia or England, Canada, France, Germany, Mexico or Switzerland that executes or has executed a Non-U.S. Guarantee Agreement (or a supplement thereto) and takes or has taken such other actions contemplated by </w:t>
      </w:r>
      <w:r>
        <w:rPr>
          <w:rFonts w:ascii="Times New Roman" w:cs="Times New Roman" w:eastAsia="Times New Roman" w:hAnsi="Times New Roman"/>
          <w:sz w:val="19"/>
          <w:szCs w:val="19"/>
          <w:u w:val="single" w:color="auto"/>
          <w:color w:val="auto"/>
        </w:rPr>
        <w:t>Section 7.14(c)</w:t>
      </w:r>
      <w:r>
        <w:rPr>
          <w:rFonts w:ascii="Times New Roman" w:cs="Times New Roman" w:eastAsia="Times New Roman" w:hAnsi="Times New Roman"/>
          <w:sz w:val="19"/>
          <w:szCs w:val="19"/>
          <w:color w:val="auto"/>
        </w:rPr>
        <w:t xml:space="preserve"> and (iii) all Dutch Borrowers.</w:t>
      </w:r>
    </w:p>
    <w:p>
      <w:pPr>
        <w:spacing w:after="0" w:line="17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means any Lender, Swing Line Lender or Facing Agent that is not a United States person within the meaning of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178" w:name="page179"/>
    <w:bookmarkEnd w:id="178"/>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Subsidiary</w:t>
      </w:r>
      <w:r>
        <w:rPr>
          <w:rFonts w:ascii="Times New Roman" w:cs="Times New Roman" w:eastAsia="Times New Roman" w:hAnsi="Times New Roman"/>
          <w:sz w:val="20"/>
          <w:szCs w:val="20"/>
          <w:color w:val="auto"/>
        </w:rPr>
        <w:t>” means, with respect to any Person, any Subsidiary of such Person that is organized under the laws of a jurisdiction other than the United States of America or any state thereof or the District of Columbia.</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note substantially in the form of </w:t>
      </w:r>
      <w:r>
        <w:rPr>
          <w:rFonts w:ascii="Times New Roman" w:cs="Times New Roman" w:eastAsia="Times New Roman" w:hAnsi="Times New Roman"/>
          <w:sz w:val="20"/>
          <w:szCs w:val="20"/>
          <w:u w:val="single" w:color="auto"/>
          <w:color w:val="auto"/>
        </w:rPr>
        <w:t>Exhibit 2.2(a)(1)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2.2(a)(2)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2A.2(a)</w:t>
      </w:r>
      <w:r>
        <w:rPr>
          <w:rFonts w:ascii="Times New Roman" w:cs="Times New Roman" w:eastAsia="Times New Roman" w:hAnsi="Times New Roman"/>
          <w:sz w:val="20"/>
          <w:szCs w:val="20"/>
          <w:color w:val="auto"/>
        </w:rPr>
        <w:t xml:space="preserve"> (or, in each case, such other form or mutually agreed by Crown Holdings and the Administrative Agent), and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all of such Notes collectively.</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Address</w:t>
      </w:r>
      <w:r>
        <w:rPr>
          <w:rFonts w:ascii="Times New Roman" w:cs="Times New Roman" w:eastAsia="Times New Roman" w:hAnsi="Times New Roman"/>
          <w:sz w:val="20"/>
          <w:szCs w:val="20"/>
          <w:color w:val="auto"/>
        </w:rPr>
        <w:t>” means with respect to the Administrative Agent, the office of Administrative Agent located at Deutsche Bank AG New York Branch, 1 Columbus Circle, New York, New York 10019, or with respect to the U.K. Administrative Agent, the office of the U.K. Administrative Agent located at Deutsche Bank AG London Branch, Winchester House, 1 Great Winchester Street, EC2N 2DB, London, United Kingdom or such other office as the Administrative Agent may hereafter designate in writing as such to the other parties hereto, with respect to Swing Line Lender for Swing Line Loans issued in Alternative Currencies or under the Multicurrency Revolving Facility, the office located at Deutsche Bank AG London Branch, GBS Loans and LEMG, 175 Bishopsgate, EC2A 2JN, London, United Kingdom, or such other office as Swing Line Lender may designate to Borrowers from time to time (which shall be in Europe unless consented to by European Borrower), and with respect to Canadian 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Canadian Borrowing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Canadian Conversion or Continuation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Issuance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the U.S. Obligations, the Euro Obligations, the Canadian Obligations, the Subsidiary Borrower Obligations and the Guarantee Obligations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the Guarantee Agreements. Notwithstanding the foregoing, the “Obligations” exclude Excluded Swap Obligations.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Operating Lease</w:t>
      </w:r>
      <w:r>
        <w:rPr>
          <w:rFonts w:ascii="Times New Roman" w:cs="Times New Roman" w:eastAsia="Times New Roman" w:hAnsi="Times New Roman"/>
          <w:sz w:val="20"/>
          <w:szCs w:val="20"/>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Organic Documents</w:t>
      </w:r>
      <w:r>
        <w:rPr>
          <w:rFonts w:ascii="Times New Roman" w:cs="Times New Roman" w:eastAsia="Times New Roman" w:hAnsi="Times New Roman"/>
          <w:sz w:val="20"/>
          <w:szCs w:val="20"/>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Closing Date</w:t>
      </w:r>
      <w:r>
        <w:rPr>
          <w:rFonts w:ascii="Times New Roman" w:cs="Times New Roman" w:eastAsia="Times New Roman" w:hAnsi="Times New Roman"/>
          <w:sz w:val="20"/>
          <w:szCs w:val="20"/>
          <w:color w:val="auto"/>
        </w:rPr>
        <w:t>” means December 19, 2013.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Euro Rate</w:t>
      </w:r>
      <w:r>
        <w:rPr>
          <w:rFonts w:ascii="Times New Roman" w:cs="Times New Roman" w:eastAsia="Times New Roman" w:hAnsi="Times New Roman"/>
          <w:sz w:val="19"/>
          <w:szCs w:val="19"/>
          <w:color w:val="auto"/>
        </w:rPr>
        <w:t xml:space="preserve">” on any date means the offered quotation to first-class banks in the London interbank market by Swing Line Lender for Euro overnight deposits of amounts in immediately available funds comparable to the outstanding principal amount of the Swing Line Loan of Swing Line Lender as of 11:00 a.m. (London time) on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Administrative Agent has made any determination pursuant to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in respect of Swing Line Loans denominated in Euros, or in the circumstances described in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Notwithstanding the foregoing, the Overnight Euro Rate shall not in any event be less than zero.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Sterling Rate</w:t>
      </w:r>
      <w:r>
        <w:rPr>
          <w:rFonts w:ascii="Times New Roman" w:cs="Times New Roman" w:eastAsia="Times New Roman" w:hAnsi="Times New Roman"/>
          <w:sz w:val="20"/>
          <w:szCs w:val="20"/>
          <w:color w:val="auto"/>
        </w:rPr>
        <w:t xml:space="preserve">” means Daily Simple RFR;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Administrative Agent has made any determination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respect of Swing Line Loans denominated in Sterling, or in the circumstances described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respect of Swing Line Loan, the Overnight Sterling Rate determined pursuant to this definition shall instead be the rate determined by Swing Line Lender as the all-in-cost of funds for Swing Line Lender to fund such Swing Line Loan, in each case, plus the Applicable RFR Margin for Multicurrency Revolving Loans. Notwithstanding the foregoing, the Overnight Sterling Rate shall not in any event be less than zero.</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 Loan</w:t>
      </w:r>
      <w:r>
        <w:rPr>
          <w:rFonts w:ascii="Times New Roman" w:cs="Times New Roman" w:eastAsia="Times New Roman" w:hAnsi="Times New Roman"/>
          <w:sz w:val="20"/>
          <w:szCs w:val="20"/>
          <w:color w:val="auto"/>
        </w:rPr>
        <w:t>” means each Swing Line Loan which bears interest at a rate determined with reference to the Overnight Euro Rate or the Overnight Sterling Rate, as applicable based on the Alternative Currency borrowed.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Guarantor</w:t>
      </w:r>
      <w:r>
        <w:rPr>
          <w:rFonts w:ascii="Times New Roman" w:cs="Times New Roman" w:eastAsia="Times New Roman" w:hAnsi="Times New Roman"/>
          <w:sz w:val="20"/>
          <w:szCs w:val="20"/>
          <w:color w:val="auto"/>
        </w:rPr>
        <w:t xml:space="preserve">” means each of Crown Holdings, CCSC and Crown International and any other Subsidiary of Crown Holdings that is a parent company (directly or indirectly) of either U.S. Borrower or European Borrower (other than Crown Développement) under their respective guaranties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Crown Développement under the Non-U.S. Guarantee Agreement. For purposes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hereof only, “Parent Guarantor” shall not include Crown Développement.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180" w:name="page181"/>
    <w:bookmarkEnd w:id="180"/>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(b) with respect to Administrative Agent or Swing Line Lender, for payments in any Alternative Currency, such account at such bank or office in London or such other place as Administrative Agent or Swing Line Lender, as the case may be, shall designate by notice to the Person required to make the relevant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has the meaning assigned to it in Section 11.14(a).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created by Section 4002(a) of ERISA.</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that certain perfection certificate delivered pursuant to the U.S. Security Agreement as amended, restated, amended and restated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21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 the Signode Acquisition and (B)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any Acquisition by Crown Holdings or any of its Subsidiaries if, solely with respect to this clause (B), all of the following conditions are met on the date such Acquisition is consummated (or on the date specified in the applicable condition below):</w:t>
      </w:r>
    </w:p>
    <w:p>
      <w:pPr>
        <w:spacing w:after="0" w:line="161" w:lineRule="exact"/>
        <w:rPr>
          <w:sz w:val="20"/>
          <w:szCs w:val="20"/>
          <w:color w:val="auto"/>
        </w:rPr>
      </w:pPr>
    </w:p>
    <w:p>
      <w:pPr>
        <w:jc w:val="both"/>
        <w:ind w:left="660" w:firstLine="644"/>
        <w:spacing w:after="0" w:line="261" w:lineRule="auto"/>
        <w:tabs>
          <w:tab w:leader="none" w:pos="19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execution of the definitive agreement in respect of such Acquisition, immediately after giving effect thereto on a Pro Forma Basis, no Event of Default under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shall have occurred and be continuing or would immediately result therefrom;</w:t>
      </w:r>
    </w:p>
    <w:p>
      <w:pPr>
        <w:spacing w:after="0" w:line="18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thereto are consummated in compliance, in all material respects, with applicable Requirements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Law;</w:t>
      </w:r>
    </w:p>
    <w:p>
      <w:pPr>
        <w:spacing w:after="0" w:line="20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181" w:name="page182"/>
    <w:bookmarkEnd w:id="181"/>
    <w:p>
      <w:pPr>
        <w:jc w:val="both"/>
        <w:ind w:left="660" w:firstLine="644"/>
        <w:spacing w:after="0" w:line="261" w:lineRule="auto"/>
        <w:tabs>
          <w:tab w:leader="none" w:pos="194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actions, if any, required to be taken under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(subject to any grace periods set forth therein) with respect to any newly formed Subsidiary or Person that becomes a Subsidiary as a result of such Permitted Acquisition and its property are taken as and when required under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transaction involving Acquisition Consideration of more than the greater of (x) $290,000,000 and</w:t>
      </w:r>
    </w:p>
    <w:p>
      <w:pPr>
        <w:spacing w:after="0" w:line="33"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 of Consolidated Total Assets set forth in the financial statements last delivered by Crown Holdings pursuant to </w:t>
      </w:r>
      <w:r>
        <w:rPr>
          <w:rFonts w:ascii="Times New Roman" w:cs="Times New Roman" w:eastAsia="Times New Roman" w:hAnsi="Times New Roman"/>
          <w:sz w:val="19"/>
          <w:szCs w:val="19"/>
          <w:u w:val="single" w:color="auto"/>
          <w:color w:val="auto"/>
        </w:rPr>
        <w:t>Section 7.1(a)</w:t>
      </w:r>
    </w:p>
    <w:p>
      <w:pPr>
        <w:spacing w:after="0" w:line="1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(excluding the maximum value of earn out obligations, if any) in assets that are not (or do not become) owned by a Credit Party or in Capital Stock of Persons that do not become Credit Parties, unless Administrative Agent shall otherwise agree, (A) (i) immediately after giving effect thereto, the aggregate principal amount of unutilized Revolving Commitments shall be equal to or greater than $150,000,000 and (ii) on or before 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(B) an officer’s certificate executed by a Responsible Officer of Crown Holdings certifying to his or her knowledge that such transaction complies with clause (e)(A)(i) of this definition (which shall have attached thereto reasonably detailed backup data and calculations showing such compliance).</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Covenant</w:t>
      </w:r>
      <w:r>
        <w:rPr>
          <w:rFonts w:ascii="Times New Roman" w:cs="Times New Roman" w:eastAsia="Times New Roman" w:hAnsi="Times New Roman"/>
          <w:sz w:val="20"/>
          <w:szCs w:val="20"/>
          <w:color w:val="auto"/>
        </w:rPr>
        <w:t>”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materially adversely affect the interests of the Lenders (as reasonably determined by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Cross Chain Transactions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58" w:lineRule="auto"/>
        <w:tabs>
          <w:tab w:leader="none" w:pos="19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any Wholly-Owned Subsidiary of U.S. Borrower or European Borrower into any other Subsidiary of U.S. Borrower or European Borrower in a transaction in which the surviving entity is a Wholly-Owned Subsidiary of U.S. Borrower or European Borrower and (if any party to such merger is a Subsidiary Credit Party) is a Subsidiary Credit Party;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transfer by any Subsidiary Credit Party of all or substantially all of its assets or all of the stock of a Subsidiary that it owns to any other Subsidiary Credit Party or any such sale between Subsidiaries that are not Credit Parties (whether or not such Subsidiaries are both Subsidiaries of the same Borrower);</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one or more of the Subsidiaries that are the subject of the merger or sale of assets or sale of stock, or the seller of the stock is a Credit Party, the Liens under the Security Documents on the assets or such stock and the Guarantee Obligations of such Credit Parties under the Loan Documents will (and Administrative Agent will be satisfied that such Lien and Guarantee Obligations will) remain valid, enforceable and shall not be impaired as a result of such transactions and that the Lien on such assets or such stock continues to secure at least all Obligations secured prior to such transactions and Administrative Agent shall have received legal opinions from counsel to Borrowers and reasonably acceptable to Administrative Agent in form and substance reasonably satisfactory to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182" w:name="page183"/>
    <w:bookmarkEnd w:id="182"/>
    <w:p>
      <w:pPr>
        <w:jc w:val="both"/>
        <w:spacing w:after="0" w:line="253" w:lineRule="auto"/>
        <w:rPr>
          <w:sz w:val="20"/>
          <w:szCs w:val="20"/>
          <w:color w:val="auto"/>
        </w:rPr>
      </w:pPr>
      <w:r>
        <w:rPr>
          <w:rFonts w:ascii="Times New Roman" w:cs="Times New Roman" w:eastAsia="Times New Roman" w:hAnsi="Times New Roman"/>
          <w:sz w:val="20"/>
          <w:szCs w:val="20"/>
          <w:color w:val="auto"/>
        </w:rPr>
        <w:t>Agent with respect to the continued validity and enforceability and non-impairment of such Guarantee Obligations and Liens and the continued perfection of such Liens, (b) if the surviving entity of any such merger in clause (i) is not a Credit Party or any such sale in clause (ii) is to a Subsidiary that is not a Credit Party, the parent companies of the non-surviving entity or the seller, as applicable, received fair consideration in connection with such transaction in the form of either cash or an intercompany note secured by substantially all of the assets of the obligor and (c) Crown Holdings shall have delivered an officers’ certificate to Administrative Agent confirming compliance with clauses (a) and (b).</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European Borrower Debt</w:t>
      </w:r>
      <w:r>
        <w:rPr>
          <w:rFonts w:ascii="Times New Roman" w:cs="Times New Roman" w:eastAsia="Times New Roman" w:hAnsi="Times New Roman"/>
          <w:sz w:val="20"/>
          <w:szCs w:val="20"/>
          <w:color w:val="auto"/>
        </w:rPr>
        <w:t>”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(provided that the limitations set forth in this clause (i) shall not apply to Permitted European Borrower Debt in an aggregate principal amount not to exceed the Inside Maturity Date Amount), (ii) do not restrict, limit or adversely affect the ability of any Credit Party or any of its Subsidiaries to perform its obligations under any of the Loan Documents, (iii) 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Guarantee Obligations</w:t>
      </w:r>
      <w:r>
        <w:rPr>
          <w:rFonts w:ascii="Times New Roman" w:cs="Times New Roman" w:eastAsia="Times New Roman" w:hAnsi="Times New Roman"/>
          <w:sz w:val="19"/>
          <w:szCs w:val="19"/>
          <w:color w:val="auto"/>
        </w:rPr>
        <w:t xml:space="preserve">” means (i) Guarantee Obligations of Crown Holdings or any of its Subsidiaries of obligations of any Person under leases, subleases, licenses, sublicenses,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 with respect to Indebtedness permitted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of any Credit Party (other than </w:t>
      </w:r>
      <w:r>
        <w:rPr>
          <w:rFonts w:ascii="Times New Roman" w:cs="Times New Roman" w:eastAsia="Times New Roman" w:hAnsi="Times New Roman"/>
          <w:sz w:val="19"/>
          <w:szCs w:val="19"/>
          <w:u w:val="single" w:color="auto"/>
          <w:color w:val="auto"/>
        </w:rPr>
        <w:t>clauses (a)(xiv)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(a)(xix)</w:t>
      </w:r>
      <w:r>
        <w:rPr>
          <w:rFonts w:ascii="Times New Roman" w:cs="Times New Roman" w:eastAsia="Times New Roman" w:hAnsi="Times New Roman"/>
          <w:sz w:val="19"/>
          <w:szCs w:val="19"/>
          <w:color w:val="auto"/>
        </w:rPr>
        <w:t xml:space="preserve"> (unless such Person becomes a Credit Party as a result of such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such Indebtedness is contractually subordinated to the Obligations, such Guarantee Obligation shall also be contractually subordinated to the Obligations on similar subordination terms or otherwise on terms reasonably acceptable to the Administrative Agent,</w:t>
      </w:r>
    </w:p>
    <w:p>
      <w:pPr>
        <w:spacing w:after="0" w:line="4" w:lineRule="exact"/>
        <w:rPr>
          <w:sz w:val="20"/>
          <w:szCs w:val="20"/>
          <w:color w:val="auto"/>
        </w:rPr>
      </w:pPr>
    </w:p>
    <w:p>
      <w:pPr>
        <w:jc w:val="both"/>
        <w:ind w:firstLine="8"/>
        <w:spacing w:after="0" w:line="260" w:lineRule="auto"/>
        <w:tabs>
          <w:tab w:leader="none" w:pos="36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Guarantee Obligations of any Subsidiary that is not a Credit Party with respect to Indebtedness permitted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of Crown Holdings or any Subsidiary (except that a Subsidiary that is not a Credit Party may not, by virtue of this clause (iii), guarantee Indebtedness that such Subsidiary could not otherwise incur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(iv) Guarantee Obligations with respect to surety, appeal, performance bonds and similar bonds or statutory obligations incurred by Crown Holdings or any of its Subsidiaries in the ordinary course, (v) Guarantee Obligations of Crown Holdings and any of its Subsidiaries with respect to Indebtedness permitted under </w:t>
      </w:r>
      <w:r>
        <w:rPr>
          <w:rFonts w:ascii="Times New Roman" w:cs="Times New Roman" w:eastAsia="Times New Roman" w:hAnsi="Times New Roman"/>
          <w:sz w:val="19"/>
          <w:szCs w:val="19"/>
          <w:u w:val="single" w:color="auto"/>
          <w:color w:val="auto"/>
        </w:rPr>
        <w:t>Sections 8.1(a)(xiv)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(a)(xix)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such Guarantee Obligations shall rank no higher than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the Obligations,</w:t>
      </w:r>
    </w:p>
    <w:p>
      <w:pPr>
        <w:spacing w:after="0" w:line="4" w:lineRule="exact"/>
        <w:rPr>
          <w:rFonts w:ascii="Times New Roman" w:cs="Times New Roman" w:eastAsia="Times New Roman" w:hAnsi="Times New Roman"/>
          <w:sz w:val="19"/>
          <w:szCs w:val="19"/>
          <w:color w:val="auto"/>
        </w:rPr>
      </w:pPr>
    </w:p>
    <w:p>
      <w:pPr>
        <w:jc w:val="both"/>
        <w:ind w:firstLine="8"/>
        <w:spacing w:after="0" w:line="263" w:lineRule="auto"/>
        <w:tabs>
          <w:tab w:leader="none" w:pos="3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Obligations incurred in the ordinary course of business or consistent with industry practice in respect of obligations of Crown Holdings or any Subsidiary to vendors, suppliers, customers, franchisees, lessors, licensees, sub-licensees and distribution partners and</w:t>
      </w:r>
    </w:p>
    <w:p>
      <w:pPr>
        <w:ind w:firstLine="8"/>
        <w:spacing w:after="0" w:line="253" w:lineRule="auto"/>
        <w:tabs>
          <w:tab w:leader="none" w:pos="4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Guarantee Obligations which (other than Guarantee Obligations of Indebtedness permitted under </w:t>
      </w:r>
      <w:r>
        <w:rPr>
          <w:rFonts w:ascii="Times New Roman" w:cs="Times New Roman" w:eastAsia="Times New Roman" w:hAnsi="Times New Roman"/>
          <w:sz w:val="20"/>
          <w:szCs w:val="20"/>
          <w:u w:val="single" w:color="auto"/>
          <w:color w:val="auto"/>
        </w:rPr>
        <w:t>Section 8.1(a)(vii))</w:t>
      </w:r>
      <w:r>
        <w:rPr>
          <w:rFonts w:ascii="Times New Roman" w:cs="Times New Roman" w:eastAsia="Times New Roman" w:hAnsi="Times New Roman"/>
          <w:sz w:val="20"/>
          <w:szCs w:val="20"/>
          <w:color w:val="auto"/>
        </w:rPr>
        <w:t xml:space="preserve"> do not exceed in the aggregate at any time the greater of (x) the Dollar Equivalent of $500,000,000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183" w:name="page184"/>
    <w:bookmarkEnd w:id="183"/>
    <w:p>
      <w:pPr>
        <w:ind w:left="300" w:hanging="292"/>
        <w:spacing w:after="0"/>
        <w:tabs>
          <w:tab w:leader="none" w:pos="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3.5% of Consolidated Total Assets as set forth in the financial statement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w:t>
      </w:r>
    </w:p>
    <w:p>
      <w:pPr>
        <w:spacing w:after="0" w:line="28" w:lineRule="exact"/>
        <w:rPr>
          <w:rFonts w:ascii="Times New Roman" w:cs="Times New Roman" w:eastAsia="Times New Roman" w:hAnsi="Times New Roman"/>
          <w:sz w:val="20"/>
          <w:szCs w:val="20"/>
          <w:color w:val="auto"/>
        </w:rPr>
      </w:pPr>
    </w:p>
    <w:p>
      <w:pPr>
        <w:spacing w:after="0"/>
        <w:tabs>
          <w:tab w:leader="none" w:pos="0" w:val="left"/>
        </w:tabs>
        <w:numPr>
          <w:ilvl w:val="0"/>
          <w:numId w:val="74"/>
        </w:numPr>
        <w:rPr>
          <w:rFonts w:ascii="Times New Roman" w:cs="Times New Roman" w:eastAsia="Times New Roman" w:hAnsi="Times New Roman"/>
          <w:sz w:val="20"/>
          <w:szCs w:val="20"/>
          <w:u w:val="single" w:color="auto"/>
          <w:color w:val="auto"/>
        </w:rPr>
      </w:pP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Holding Company Transaction</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61" w:lineRule="auto"/>
        <w:tabs>
          <w:tab w:leader="none" w:pos="195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any Subsidiary with or into a Wholly-Owned Subsidiary of Crown Holdings that is a Parent Guarantor (other than CCSC) and, if such merger or consolidation includes a Borrower, with the applicable Borrower as the surviving corporation; or</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7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the Capital Stock of any Subsidiary or any distribution or dividend or other transfer of the Capital Stock of any Subsidiary to Crown Holdings or any of its Wholly-Owned Subsidiaries that is a Parent Guarantor (other than CCSC);</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if the Subsidiary that is the subject of the merger or consolidation or the sale or dividend 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(b) Crown Holdings shall have delivered an officers’ certificate to Administrative Agent confirming compliance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and (c)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Preferred Stock</w:t>
      </w:r>
      <w:r>
        <w:rPr>
          <w:rFonts w:ascii="Times New Roman" w:cs="Times New Roman" w:eastAsia="Times New Roman" w:hAnsi="Times New Roman"/>
          <w:sz w:val="19"/>
          <w:szCs w:val="19"/>
          <w:color w:val="auto"/>
        </w:rPr>
        <w:t>”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 other similar provision occurring before the eighth anniversary of the Incremental Amendment No. 2 and Third Amendment, (iv) do not require the cash payment of dividends or interest,</w:t>
      </w:r>
    </w:p>
    <w:p>
      <w:pPr>
        <w:spacing w:after="0" w:line="2" w:lineRule="exact"/>
        <w:rPr>
          <w:sz w:val="20"/>
          <w:szCs w:val="20"/>
          <w:color w:val="auto"/>
        </w:rPr>
      </w:pPr>
    </w:p>
    <w:p>
      <w:pPr>
        <w:jc w:val="both"/>
        <w:ind w:firstLine="8"/>
        <w:spacing w:after="0" w:line="253" w:lineRule="auto"/>
        <w:tabs>
          <w:tab w:leader="none" w:pos="2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contain any 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Ratio Debt</w:t>
      </w:r>
      <w:r>
        <w:rPr>
          <w:rFonts w:ascii="Times New Roman" w:cs="Times New Roman" w:eastAsia="Times New Roman" w:hAnsi="Times New Roman"/>
          <w:sz w:val="20"/>
          <w:szCs w:val="20"/>
          <w:color w:val="auto"/>
        </w:rPr>
        <w:t>” means Indebtedness of Crown Holdings, the U.S. Borrower, the Canadian Borrower, the European Borrower or any of their respective Subsidiaries, the terms of which Indebtedness (i) do not provide for any scheduled repayment, mandatory redemption or sinking fund obligation prior to the then latest Term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final maturity limitations set forth in this clause (i) shall not apply to Permitted Ratio Debt in an aggregate principal amount not to exceed the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Maturity Date Amount), (ii) do not materially restrict, limit or adversely affect the ability of any Credit Party or any of its Subsidiaries to perform its obligations under any of the Loan Documents, (iii) provide that no Subsidiary of Crown Holdings is a guarantor under such Indebtedness that is not a Credit Party (unless such Person shall substantially concurrently become a Credit Party hereunder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(iv) provide that no assets secure such Indebtedness that does not secure the Obligations (unless such assets shall substantially concurrently become a part of the Collateral) and (v) taken as a whole, shall be no more restrictive than those applicable to the existing Term Facilities (other than as to pricing, interest rate margins, interest rate floors, discounts, fees, premiums, other economic terms, maturity and prepayment or redemption terms (provided that such Permitted Ratio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Indebtedness are incurred (without regard to the maturity date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to the extent the terms and conditions of such Indebtedness are not consistent with one or more of the existing Term Facilities (except to the extent permitted pursuant to the immediately preceding proviso or clause (Y) below), such terms and conditions may differ if reasonably satisfactory to Crown Holdings and the Administrative Agent or are on customary market terms for Indebtedness of such type or (Y) in the event such terms are more favorable (taken as a whole) to the Lenders providing such Indebtedness,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Indebtedness, no consent shall be required from the Administrative Agent or any Lender to the extent that such financial maintenance covenant is also added for the benefit of the Term Loans that remain outstanding after the issuance or incurrence of such Indebtedness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(v)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Real Property Encumbrances</w:t>
      </w:r>
      <w:r>
        <w:rPr>
          <w:rFonts w:ascii="Times New Roman" w:cs="Times New Roman" w:eastAsia="Times New Roman" w:hAnsi="Times New Roman"/>
          <w:sz w:val="20"/>
          <w:szCs w:val="20"/>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 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or as to which the grace period has not yet expired (not to exceed 30 days) or the amount or validity of which are being contested in good faith by proper proceedings diligently conducted and for which adequate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58" w:lineRule="auto"/>
        <w:rPr>
          <w:sz w:val="20"/>
          <w:szCs w:val="20"/>
          <w:color w:val="auto"/>
        </w:rPr>
      </w:pPr>
      <w:r>
        <w:rPr>
          <w:rFonts w:ascii="Times New Roman" w:cs="Times New Roman" w:eastAsia="Times New Roman" w:hAnsi="Times New Roman"/>
          <w:sz w:val="20"/>
          <w:szCs w:val="20"/>
          <w:color w:val="auto"/>
        </w:rPr>
        <w:t>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 delivered by a Borrower to the Administrative Agent, and (vii) such other items to which the Administrative Agent may consent in its reasonable discretion.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or Factoring Financings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right="20" w:firstLine="644"/>
        <w:spacing w:after="0" w:line="261" w:lineRule="auto"/>
        <w:tabs>
          <w:tab w:leader="none" w:pos="195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transactions under the Receivables Purchase Agreement and under the “Transaction Documents” as defined therein and (y) the transactions under the Receivables Purchase Agreement II and under the “Transaction Documents” as defined therein,</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6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under the European Receivables Purchase Agreement and under the “Transaction Documents” as defined therein,</w:t>
      </w:r>
    </w:p>
    <w:p>
      <w:pPr>
        <w:spacing w:after="0" w:line="172"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Factoring Facilities,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200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the program under the Receivables Purchase Agreement, the European Receivables Purchase Agreement, the 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$1,950,000,000, in each case pursuant to a structured receivables financing consisting of a securitization or factoring of Receivables Assets the material terms of which are (x) substantially similar to the receivables or factoring programs described in clauses (i) through (iii) or (y) on market terms for companies having a credit profile similar to Crown Holdings and its Subsidiaries at the time of such refinancing or financing.</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extension, renewal, refinancing, refunding, defeasance, restructuring or replacement of any Indebtedness incurred by a Credit Party that (a) does not increase the principal amount outstanding thereunder as of the Incremental Amendment No. 3 and Fifth Amendment Effective Date plus,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if applicable, secured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(b) the final maturity date of such Indebtedness shall be no earlier than the final maturity date of the Indebtedness being replaced, renewed, refinanced, extended, defeased, restructured, or refunded; (c) the Weighted Average Life to Maturity of such Indebtedness is not less than the Weighted Average Life to Maturity of the Indebtedness being replaced, renewed, refinanced, extended, defeased, restructured, or refunded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 (i)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 Agent may agree in its sole discretion) after the date such Permitted Refinancing Indebtedness is incurred; (e) such Indebtedness is not secured by any assets other than those required to secure such Indebtedness on the Incremental Amendment No. 3 and Fifth Amendment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without regard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on the Incremental Amendment No. 3 and Fifth Amendment Effective Date (or, if later, the date such Indebtedness was incurred, assumed or acquired); (f) in the case of other such Indebtedness the Dollar Equivalent amount which is in excess of the greater of (x) $435,000,000 and (y) 3% of Consolidated Total Assets set forth in the financial statements last delivered by Crown Holdings pursuant to </w:t>
      </w:r>
      <w:r>
        <w:rPr>
          <w:rFonts w:ascii="Times New Roman" w:cs="Times New Roman" w:eastAsia="Times New Roman" w:hAnsi="Times New Roman"/>
          <w:sz w:val="19"/>
          <w:szCs w:val="19"/>
          <w:u w:val="single" w:color="auto"/>
          <w:color w:val="auto"/>
        </w:rPr>
        <w:t>Section 7.1(a)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 (B) on customary market terms for Indebtedness of such type, and, in either case, do not contravene in any material respect the provisions of this Agreement and such Indebtedness is at the then prevailing market rates (it being understood and agreed that Crown Holdings may, at its option, deliver a certificate to the Administrative Agent at least 5 Business Days prior to the incurrence of such Indebtedness certifying that the requirements of either clause (A) or (B) of this clause</w:t>
      </w:r>
    </w:p>
    <w:p>
      <w:pPr>
        <w:spacing w:after="0" w:line="6" w:lineRule="exact"/>
        <w:rPr>
          <w:sz w:val="20"/>
          <w:szCs w:val="20"/>
          <w:color w:val="auto"/>
        </w:rPr>
      </w:pPr>
    </w:p>
    <w:p>
      <w:pPr>
        <w:jc w:val="both"/>
        <w:ind w:firstLine="8"/>
        <w:spacing w:after="0" w:line="248" w:lineRule="auto"/>
        <w:tabs>
          <w:tab w:leader="none" w:pos="31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 (i) 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CCSC 2026 Debentures or CCSC 2096 Debentures, if the Indebtedness under this Agreement is rated Ba2 or lower by Moody’s and BB- or lower by S&amp;P, Crown Holdings shall provide written confirmation from each of Moody’s and S&amp;P that the rating of such Indebtedness will not be downgraded by either Moody’s or S&amp;P as a result of the incurrence of such Permitted Refinancing Indebtedness. For the avoidance of doubt, it is understood that a Permitted Refinancing Indebtedness may constitute a portion of an issuance of Indebtedness in excess of the amount of such Permitted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excess amount is otherwise permitted to be incurred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187" w:name="page188"/>
    <w:bookmarkEnd w:id="187"/>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Pension Plan or Welfare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Securities</w:t>
      </w:r>
      <w:r>
        <w:rPr>
          <w:rFonts w:ascii="Times New Roman" w:cs="Times New Roman" w:eastAsia="Times New Roman" w:hAnsi="Times New Roman"/>
          <w:sz w:val="20"/>
          <w:szCs w:val="20"/>
          <w:color w:val="auto"/>
        </w:rPr>
        <w:t>” means any of the pledged Capital Stock pursuant to any Security Document.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Property</w:t>
      </w:r>
      <w:r>
        <w:rPr>
          <w:rFonts w:ascii="Times New Roman" w:cs="Times New Roman" w:eastAsia="Times New Roman" w:hAnsi="Times New Roman"/>
          <w:sz w:val="20"/>
          <w:szCs w:val="20"/>
          <w:color w:val="auto"/>
        </w:rPr>
        <w:t>” has the meaning given to such term under the indentures, agreements and instruments governing the Debentures, as such indentures, agreements and instruments are in effect on the Effective Date.</w:t>
      </w:r>
    </w:p>
    <w:p>
      <w:pPr>
        <w:spacing w:after="0" w:line="16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Cost Savings</w:t>
      </w:r>
      <w:r>
        <w:rPr>
          <w:rFonts w:ascii="Times New Roman" w:cs="Times New Roman" w:eastAsia="Times New Roman" w:hAnsi="Times New Roman"/>
          <w:sz w:val="20"/>
          <w:szCs w:val="20"/>
          <w:color w:val="auto"/>
        </w:rPr>
        <w:t>”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Crown Holdings) from such Subject Transaction (calculated on a pro forma basis by reference to the Borrowers’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188" w:name="page189"/>
    <w:bookmarkEnd w:id="188"/>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4" w:lineRule="exact"/>
        <w:rPr>
          <w:sz w:val="20"/>
          <w:szCs w:val="20"/>
          <w:color w:val="auto"/>
        </w:rPr>
      </w:pPr>
    </w:p>
    <w:p>
      <w:pPr>
        <w:jc w:val="both"/>
        <w:ind w:firstLine="8"/>
        <w:spacing w:after="0" w:line="260" w:lineRule="auto"/>
        <w:tabs>
          <w:tab w:leader="none" w:pos="279"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 (viii) of the definition of Consolidated EBITDA, 30% of Consolidated EBITDA in any four-Fiscal Quarter period (calculated after giving effect to any such add-backs and adjustments) and (e) if any calculation of Pro Forma Cost Savings is determined by reference to Borrowers’ internal financial statements, the effect of this provision shall not apply for purposes of calculating any financial ratio or test for purposes of (i) calculating the “Applicable Adjusted Term SOFR Margin”, “Applicable Base Rate Margin”, “Applicable B/A Margin”, “Applicable Canadian Prime Rate Margin”, “Applicable Eurocurrency Margin”, “Applicable RFR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Times New Roman" w:cs="Times New Roman" w:eastAsia="Times New Roman" w:hAnsi="Times New Roman"/>
          <w:sz w:val="19"/>
          <w:szCs w:val="19"/>
          <w:u w:val="single" w:color="auto"/>
          <w:color w:val="auto"/>
        </w:rPr>
        <w:t>Section 7.1(a)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w:t>
      </w:r>
    </w:p>
    <w:p>
      <w:pPr>
        <w:spacing w:after="0" w:line="13" w:lineRule="exact"/>
        <w:rPr>
          <w:rFonts w:ascii="Times New Roman" w:cs="Times New Roman" w:eastAsia="Times New Roman" w:hAnsi="Times New Roman"/>
          <w:sz w:val="19"/>
          <w:szCs w:val="19"/>
          <w:color w:val="auto"/>
        </w:rPr>
      </w:pPr>
    </w:p>
    <w:p>
      <w:pPr>
        <w:jc w:val="both"/>
        <w:ind w:firstLine="8"/>
        <w:spacing w:after="0" w:line="251" w:lineRule="auto"/>
        <w:tabs>
          <w:tab w:leader="none" w:pos="3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calculation of the “Applicable Adjusted Term SOFR Margin”, “Applicable Base Rate Margin”, “Applicable Eurocurrency Margin”, “Applicable B/A Margin”, “Applicable Canadian Prime Rate Margin”, “Applicable RFR Margin”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189" w:name="page190"/>
    <w:bookmarkEnd w:id="189"/>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Debt Documents</w:t>
      </w:r>
      <w:r>
        <w:rPr>
          <w:rFonts w:ascii="Times New Roman" w:cs="Times New Roman" w:eastAsia="Times New Roman" w:hAnsi="Times New Roman"/>
          <w:sz w:val="20"/>
          <w:szCs w:val="20"/>
          <w:color w:val="auto"/>
        </w:rPr>
        <w:t>” means, collectively, the Debentures, the Senior Notes Documents and any other documents evidencing, guaranteeing or otherwise governing any Permitted European Borrower Debt and Permitted Ratio Debt.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Payment Date</w:t>
      </w:r>
      <w:r>
        <w:rPr>
          <w:rFonts w:ascii="Times New Roman" w:cs="Times New Roman" w:eastAsia="Times New Roman" w:hAnsi="Times New Roman"/>
          <w:sz w:val="20"/>
          <w:szCs w:val="20"/>
          <w:color w:val="auto"/>
        </w:rPr>
        <w:t>” means the last Business Day of each March, June, September and December of each year following the Incremental Amendment No. 3 and Fifth Amendment Effective Date (commencing on December 31, 2022).</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Reaffirmation Agreement</w:t>
      </w:r>
      <w:r>
        <w:rPr>
          <w:rFonts w:ascii="Times New Roman" w:cs="Times New Roman" w:eastAsia="Times New Roman" w:hAnsi="Times New Roman"/>
          <w:sz w:val="20"/>
          <w:szCs w:val="20"/>
          <w:color w:val="auto"/>
        </w:rPr>
        <w:t>” means that certain Reaffirmation Agreement, dated as of the Effective Date, by and among the Credit Parties party thereto.</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means accounts receivable (including any bills of exchange), any security therefor, collections thereof, bank accounts holding payments in respect of accounts receivable, and related assets and property.</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Intercreditor Agreement</w:t>
      </w:r>
      <w:r>
        <w:rPr>
          <w:rFonts w:ascii="Times New Roman" w:cs="Times New Roman" w:eastAsia="Times New Roman" w:hAnsi="Times New Roman"/>
          <w:sz w:val="20"/>
          <w:szCs w:val="20"/>
          <w:color w:val="auto"/>
        </w:rPr>
        <w:t>” means, (a) in connection with the Receivables Purchase Agreement, the Intercreditor Agreement, dated as of July 27, 2018 (and as amended from time to time) among Crown Holdings, Crown International, CCSC, Crown Receivables III LLC, Crown Cork &amp; Seal USA, Inc., Crown Metal Packaging Canada LP, Coöperative Rabobank, U.A., New York Branch, as Program Agent (as defined therein) and Administrative Agent, Canadian Administrative Agent and U.K. Administrative Agent, as Bank Agents (as defined therein), and (b) in connection with any amendment to or refinancing of the Receivables Purchase Agreement or any other Permitted Receivables or Factoring Financing, if applicable, an intercreditor agreement (or amendment thereto or amendment and restatement thereof) substantially similar to the intercreditor agreement referred to above with such changes as may be reasonably acceptable to the Administrative Agent or otherwise on market terms for companies having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190" w:name="page191"/>
    <w:bookmarkEnd w:id="190"/>
    <w:p>
      <w:pPr>
        <w:jc w:val="both"/>
        <w:spacing w:after="0" w:line="283" w:lineRule="auto"/>
        <w:rPr>
          <w:sz w:val="20"/>
          <w:szCs w:val="20"/>
          <w:color w:val="auto"/>
        </w:rPr>
      </w:pPr>
      <w:r>
        <w:rPr>
          <w:rFonts w:ascii="Times New Roman" w:cs="Times New Roman" w:eastAsia="Times New Roman" w:hAnsi="Times New Roman"/>
          <w:sz w:val="20"/>
          <w:szCs w:val="20"/>
          <w:color w:val="auto"/>
        </w:rPr>
        <w:t>credit profile similar to Crown Holdings and its Subsidiaries as determined in good faith by Crown Holdings and agreed to by the Administrative Agent.</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Net Investment</w:t>
      </w:r>
      <w:r>
        <w:rPr>
          <w:rFonts w:ascii="Times New Roman" w:cs="Times New Roman" w:eastAsia="Times New Roman" w:hAnsi="Times New Roman"/>
          <w:sz w:val="20"/>
          <w:szCs w:val="20"/>
          <w:color w:val="auto"/>
        </w:rPr>
        <w:t xml:space="preserve">” means at any date of determination thereof, the aggregate Dollar Equivalent of the net cash amount paid by a funding source to a Receivables Subsidiary (including, without limitation, the lenders or purchasers under any Permitted Receivables or Factoring Financings or in connection with sales by Crown Holdings or any Subsidiary permitted pursuant to </w:t>
      </w:r>
      <w:r>
        <w:rPr>
          <w:rFonts w:ascii="Times New Roman" w:cs="Times New Roman" w:eastAsia="Times New Roman" w:hAnsi="Times New Roman"/>
          <w:sz w:val="20"/>
          <w:szCs w:val="20"/>
          <w:u w:val="single" w:color="auto"/>
          <w:color w:val="auto"/>
        </w:rPr>
        <w:t>Section 8.7(b)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Agreement</w:t>
      </w:r>
      <w:r>
        <w:rPr>
          <w:rFonts w:ascii="Times New Roman" w:cs="Times New Roman" w:eastAsia="Times New Roman" w:hAnsi="Times New Roman"/>
          <w:sz w:val="20"/>
          <w:szCs w:val="20"/>
          <w:color w:val="auto"/>
        </w:rPr>
        <w:t>” means that certain Receivables Purchase Agreement dated as of July 27, 2018, among Crown Receivables III LLC, as the seller, Crown Cork &amp; Seal USA, Inc., as the servicer, Coöperatieve Rabobank, U.A., New York Branch, as administrative agent, and the conduit purchasers, alternate purchasers, facility agents party thereto from time to time, as amended, amended and restated, supplemented or otherwise modified from time to time in accordance with the terms hereof.</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Agreement II</w:t>
      </w:r>
      <w:r>
        <w:rPr>
          <w:rFonts w:ascii="Times New Roman" w:cs="Times New Roman" w:eastAsia="Times New Roman" w:hAnsi="Times New Roman"/>
          <w:sz w:val="20"/>
          <w:szCs w:val="20"/>
          <w:color w:val="auto"/>
        </w:rPr>
        <w:t>” means that certain Second Amended and Restated Receivables Purchase Agreement, dated as of December 20, 2017, among Crown Cork and Seal Receivables II LLC, as the seller, Fábricas Monterrey, S.A. de C.V., as the initial master servicer, the servicers party thereto, the purchasers party thereto from time to time, and Coöperatieve Rabobank U.A., New York Branch, as administrative agent, as the same has been amended by that certain First Amendment to Second Amended and Restated Receivables Purchase Agreement, dated as of December 19, 2019, and may thereafter be amended, amended and restated, supplemented or otherwise modified from time to time in accordance with the terms hereof.</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xml:space="preserve">” means, initially, Crown Cork and Seal Receivables II LLC, Crown Receivables III LLC and any other special purpose subsidiary which exists solely to purchase and sell Receivables Assets or to otherwise raise financing in connection with a Permitted Receivables or Factoring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Receiver</w:t>
      </w:r>
      <w:r>
        <w:rPr>
          <w:rFonts w:ascii="Times New Roman" w:cs="Times New Roman" w:eastAsia="Times New Roman" w:hAnsi="Times New Roman"/>
          <w:sz w:val="20"/>
          <w:szCs w:val="20"/>
          <w:color w:val="auto"/>
        </w:rPr>
        <w:t>” means a receiver, interim receiver, receiver and manager, liquidator, trustee in bankruptcy or similar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any Agent, any Facing Agent, any Lender or any Swing Line Lender, as applicable.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Recovery Event</w:t>
      </w:r>
      <w:r>
        <w:rPr>
          <w:rFonts w:ascii="Times New Roman" w:cs="Times New Roman" w:eastAsia="Times New Roman" w:hAnsi="Times New Roman"/>
          <w:sz w:val="20"/>
          <w:szCs w:val="20"/>
          <w:color w:val="auto"/>
        </w:rPr>
        <w:t>” means the receipt by Crown Holdings (or any of its Subsidiaries) of any insurance or condemnation proceeds payable (i) by reason of any theft, physical destruction or damage or any other similar event with respect to any properties or assets of Crown Holdings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191" w:name="page192"/>
    <w:bookmarkEnd w:id="191"/>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Subsidiaries, (ii) by reason of any condemnation, taking, seizing or similar event with respect to any properties or assets of Crown Holdings or any of its Subsidiaries or (iii) under any policy of insurance required to be maintained under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payments made under business interruption insurance or rent insurance constitute a Recovery Event.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Year</w:t>
      </w:r>
      <w:r>
        <w:rPr>
          <w:rFonts w:ascii="Times New Roman" w:cs="Times New Roman" w:eastAsia="Times New Roman" w:hAnsi="Times New Roman"/>
          <w:sz w:val="20"/>
          <w:szCs w:val="20"/>
          <w:color w:val="auto"/>
        </w:rPr>
        <w:t>” means, with respect to any Sustainability Certificate, the calendar year ending immediately prior to the date of such Sustainability Certificate.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Revolving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Revolving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Term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Refunded Swing Line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as from time to time in effect and any successor provision to all or a portion thereof establishing reserve requirements.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with respect to any Lender which is a Fund, any other Fund that is administered or managed by the same investment advisor of such Lender or by an Affiliate of such investment advisor.</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and advisors of such Person and of such Person’s Affiliates.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Repayments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8.11(b)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Facility</w:t>
      </w:r>
      <w:r>
        <w:rPr>
          <w:rFonts w:ascii="Times New Roman" w:cs="Times New Roman" w:eastAsia="Times New Roman" w:hAnsi="Times New Roman"/>
          <w:sz w:val="20"/>
          <w:szCs w:val="20"/>
          <w:color w:val="auto"/>
        </w:rPr>
        <w:t>” means a Replacement Revolving Facility and/or a Replacement Term Facility,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 “reportable event” described in Section 4043(c) of ERISA or in the regulations thereunder with respect to a Plan, excluding any event for which the thirty (30) day notice requirement has been waived.</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and Dollar Revolver Pro Rata Share of the Dollar LC Obligations, Multicurrency Revolving Loans and Multicurrency Revolver Pro Rata Share of outstanding Swing Line Loans 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 Dollar LC Obligations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the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193" w:name="page194"/>
    <w:bookmarkEnd w:id="19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Financial Officer</w:t>
      </w:r>
      <w:r>
        <w:rPr>
          <w:rFonts w:ascii="Times New Roman" w:cs="Times New Roman" w:eastAsia="Times New Roman" w:hAnsi="Times New Roman"/>
          <w:sz w:val="20"/>
          <w:szCs w:val="20"/>
          <w:color w:val="auto"/>
        </w:rPr>
        <w:t>” means the Chief Financial Officer, Principal Accounting Officer, Controller or Treasurer of Crown Holdings, or, if being applied to a Subsidiary, of the applicable Subsidiary.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England and Belgium shall include any director).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means any shares of capital stock or evidences of indebtedness for borrowed money issued by any Restricted Subsidiary and owned by CCSC or any Restricted Subsidiary.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CCSC that would be considered a “Restricted Subsidiary” under (and as defined in) any indenture, agreement or instrument governing or evidencing any Debenture as such indenture, agreement or instrument is in effect on the Incremental Amendment No. 3 and Fifth Amendment Effective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Declined Proceeds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Pro Rata Share</w:t>
      </w:r>
      <w:r>
        <w:rPr>
          <w:rFonts w:ascii="Times New Roman" w:cs="Times New Roman" w:eastAsia="Times New Roman" w:hAnsi="Times New Roman"/>
          <w:sz w:val="20"/>
          <w:szCs w:val="20"/>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Termination Date</w:t>
      </w:r>
      <w:r>
        <w:rPr>
          <w:rFonts w:ascii="Times New Roman" w:cs="Times New Roman" w:eastAsia="Times New Roman" w:hAnsi="Times New Roman"/>
          <w:sz w:val="20"/>
          <w:szCs w:val="20"/>
          <w:color w:val="auto"/>
        </w:rPr>
        <w:t xml:space="preserve">” means, (a) with respect to each Revolving Facility other than the Canadian Revolving Facility, the five year anniversary of the Incremental Amendment No. 3 and Fifth Amendment Effective Date (or such later termination date for such Facility to the extent extended or replaced as permitted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such earlier date as the Revolving Commitments shall have been terminated or otherwise reduced to $0 pursuant to this Agreement and (b) with respect to the Canadian Revolving Facility, the Canadian Revolver Termination Date (or such later termination date for such Facility to the extent extended or replaced as permitted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any Revolving Lender, such Lender’s Dollar Revolving Commitment, Replacement Revolving Commitment and/or Multicurrency Revolving Commitment and, with respect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including such Lender’s Canadian Revolving Commitment, and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means such commitments collectively.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194" w:name="page195"/>
    <w:bookmarkEnd w:id="194"/>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Facilities</w:t>
      </w:r>
      <w:r>
        <w:rPr>
          <w:rFonts w:ascii="Times New Roman" w:cs="Times New Roman" w:eastAsia="Times New Roman" w:hAnsi="Times New Roman"/>
          <w:sz w:val="20"/>
          <w:szCs w:val="20"/>
          <w:color w:val="auto"/>
        </w:rPr>
        <w:t>” means the Dollar Revolving Facility, the Multicurrency Revolving Facility, the Replacement Revolving Facility and the Canadian Revolving Facility.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any Lender which has a Revolving Commitment or is owed a Revolving Loan (or a portion thereof).</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Dollar Revolving Loan, a Replacement Revolving Loan or a Multicurrency Revolving Loan as the case may be and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such Loans collectively.</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any day except for (i) a Saturday, (ii) a Sunday or (iii) a day on which banks are closed for general business in London.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Determination Day</w:t>
      </w:r>
      <w:r>
        <w:rPr>
          <w:rFonts w:ascii="Times New Roman" w:cs="Times New Roman" w:eastAsia="Times New Roman" w:hAnsi="Times New Roman"/>
          <w:sz w:val="21"/>
          <w:szCs w:val="21"/>
          <w:color w:val="auto"/>
        </w:rPr>
        <w:t>” has the meaning assigned to such term in the definition of “Daily Simple RFR”.</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Rate Day</w:t>
      </w:r>
      <w:r>
        <w:rPr>
          <w:rFonts w:ascii="Times New Roman" w:cs="Times New Roman" w:eastAsia="Times New Roman" w:hAnsi="Times New Roman"/>
          <w:sz w:val="21"/>
          <w:szCs w:val="21"/>
          <w:color w:val="auto"/>
        </w:rPr>
        <w:t>” has the meaning assigned to such term in the definition of “Daily Simple RFR”.</w:t>
      </w:r>
    </w:p>
    <w:p>
      <w:pPr>
        <w:spacing w:after="0" w:line="21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 a division of the McGraw-Hill Companies, Inc., or any successor to the rating agency business thereof.</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the subject or target of any comprehensive Sanctions (which, as of the Incremental Amendment No. 3 and Fifth Amendment Effective Date, includes the Crimea region of Ukraine, the so-called Donetsk People’s Republic and the so-called Luhansk People’s Republic, Cuba, Iran, North Korea and Syria).</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the U.S. Department of State, Her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 Bank</w:t>
      </w:r>
      <w:r>
        <w:rPr>
          <w:rFonts w:ascii="Times New Roman" w:cs="Times New Roman" w:eastAsia="Times New Roman" w:hAnsi="Times New Roman"/>
          <w:sz w:val="20"/>
          <w:szCs w:val="20"/>
          <w:color w:val="auto"/>
        </w:rPr>
        <w:t>” means a bank that is a Canadian chartered bank listed on Schedule I under the Bank Act (Canada).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II Bank</w:t>
      </w:r>
      <w:r>
        <w:rPr>
          <w:rFonts w:ascii="Times New Roman" w:cs="Times New Roman" w:eastAsia="Times New Roman" w:hAnsi="Times New Roman"/>
          <w:sz w:val="20"/>
          <w:szCs w:val="20"/>
          <w:color w:val="auto"/>
        </w:rPr>
        <w:t>” means a bank that is a Canadian chartered bank listed on Schedule II under the Bank Act (Canada).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III Bank</w:t>
      </w:r>
      <w:r>
        <w:rPr>
          <w:rFonts w:ascii="Times New Roman" w:cs="Times New Roman" w:eastAsia="Times New Roman" w:hAnsi="Times New Roman"/>
          <w:sz w:val="20"/>
          <w:szCs w:val="20"/>
          <w:color w:val="auto"/>
        </w:rPr>
        <w:t>” means an authorized foreign bank listed on Schedule III under the Bank Act (Canada).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Euro Loan Repayments</w:t>
      </w:r>
      <w:r>
        <w:rPr>
          <w:rFonts w:ascii="Times New Roman" w:cs="Times New Roman" w:eastAsia="Times New Roman" w:hAnsi="Times New Roman"/>
          <w:sz w:val="20"/>
          <w:szCs w:val="20"/>
          <w:color w:val="auto"/>
        </w:rPr>
        <w:t>” means, with respect to the principal payments on the Term Euro Loan, on the last Business Day of each March, June, September and December ending on or prior to each date set forth below (commencing on December 31, 2022), 0.25 times the percentage of the original aggregate principal amount of Term Euro Loans made on the Incremental Amendment No. 3 and Fifth Amendment Effective Date set forth opposite thereto, as reduced from time to time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9"/>
          <w:szCs w:val="19"/>
          <w:u w:val="single" w:color="auto"/>
          <w:color w:val="auto"/>
        </w:rPr>
        <w:t>Sections 4.3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4.4</w:t>
      </w:r>
      <w:r>
        <w:rPr>
          <w:rFonts w:ascii="Times New Roman" w:cs="Times New Roman" w:eastAsia="Times New Roman" w:hAnsi="Times New Roman"/>
          <w:sz w:val="19"/>
          <w:szCs w:val="19"/>
          <w:color w:val="auto"/>
        </w:rPr>
        <w:t>, and on the Term Euro Loan Maturity Date, the remaining outstanding principal amount thereof:</w:t>
      </w:r>
    </w:p>
    <w:p>
      <w:pPr>
        <w:spacing w:after="0" w:line="249"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Scheduled Term</w:t>
            </w:r>
          </w:p>
        </w:tc>
        <w:tc>
          <w:tcPr>
            <w:tcW w:w="0" w:type="dxa"/>
            <w:vAlign w:val="bottom"/>
          </w:tcPr>
          <w:p>
            <w:pPr>
              <w:spacing w:after="0"/>
              <w:rPr>
                <w:sz w:val="1"/>
                <w:szCs w:val="1"/>
                <w:color w:val="auto"/>
              </w:rPr>
            </w:pPr>
          </w:p>
        </w:tc>
      </w:tr>
      <w:tr>
        <w:trPr>
          <w:trHeight w:val="189"/>
        </w:trPr>
        <w:tc>
          <w:tcPr>
            <w:tcW w:w="4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9"/>
              </w:rPr>
              <w:t>Euro Loan Repayment</w:t>
            </w:r>
          </w:p>
        </w:tc>
        <w:tc>
          <w:tcPr>
            <w:tcW w:w="0" w:type="dxa"/>
            <w:vAlign w:val="bottom"/>
          </w:tcPr>
          <w:p>
            <w:pPr>
              <w:spacing w:after="0"/>
              <w:rPr>
                <w:sz w:val="1"/>
                <w:szCs w:val="1"/>
                <w:color w:val="auto"/>
              </w:rPr>
            </w:pPr>
          </w:p>
        </w:tc>
      </w:tr>
      <w:tr>
        <w:trPr>
          <w:trHeight w:val="266"/>
        </w:trPr>
        <w:tc>
          <w:tcPr>
            <w:tcW w:w="4940" w:type="dxa"/>
            <w:vAlign w:val="bottom"/>
            <w:tcBorders>
              <w:bottom w:val="single" w:sz="8" w:color="auto"/>
            </w:tcBorders>
            <w:vMerge w:val="continue"/>
          </w:tcPr>
          <w:p>
            <w:pPr>
              <w:spacing w:after="0"/>
              <w:rPr>
                <w:sz w:val="23"/>
                <w:szCs w:val="23"/>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199"/>
        </w:trPr>
        <w:tc>
          <w:tcPr>
            <w:tcW w:w="4940" w:type="dxa"/>
            <w:vAlign w:val="bottom"/>
          </w:tcPr>
          <w:p>
            <w:pPr>
              <w:ind w:left="80"/>
              <w:spacing w:after="0" w:line="199" w:lineRule="exact"/>
              <w:rPr>
                <w:sz w:val="20"/>
                <w:szCs w:val="20"/>
                <w:color w:val="auto"/>
              </w:rPr>
            </w:pPr>
            <w:r>
              <w:rPr>
                <w:rFonts w:ascii="Times New Roman" w:cs="Times New Roman" w:eastAsia="Times New Roman" w:hAnsi="Times New Roman"/>
                <w:sz w:val="20"/>
                <w:szCs w:val="20"/>
                <w:color w:val="auto"/>
              </w:rPr>
              <w:t>First anniversary of the Incremental Amendment No. 3 and</w:t>
            </w:r>
          </w:p>
        </w:tc>
        <w:tc>
          <w:tcPr>
            <w:tcW w:w="2480" w:type="dxa"/>
            <w:vAlign w:val="bottom"/>
          </w:tcPr>
          <w:p>
            <w:pPr>
              <w:jc w:val="right"/>
              <w:ind w:right="1761"/>
              <w:spacing w:after="0" w:line="199"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57"/>
        </w:trPr>
        <w:tc>
          <w:tcPr>
            <w:tcW w:w="4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13" w:right="339" w:bottom="1440" w:gutter="0" w:footer="0" w:header="0"/>
        </w:sectPr>
      </w:pPr>
    </w:p>
    <w:p>
      <w:pPr>
        <w:ind w:left="1560" w:right="200"/>
        <w:spacing w:after="0" w:line="221" w:lineRule="auto"/>
        <w:rPr>
          <w:sz w:val="20"/>
          <w:szCs w:val="20"/>
          <w:color w:val="auto"/>
        </w:rPr>
      </w:pPr>
      <w:r>
        <w:rPr>
          <w:rFonts w:ascii="Times New Roman" w:cs="Times New Roman" w:eastAsia="Times New Roman" w:hAnsi="Times New Roman"/>
          <w:sz w:val="20"/>
          <w:szCs w:val="20"/>
          <w:color w:val="auto"/>
        </w:rPr>
        <w:t>Second anniversary of the Incremental Amendment No. 3 and Fifth Amendment Effective Date</w:t>
      </w:r>
    </w:p>
    <w:p>
      <w:pPr>
        <w:spacing w:after="0" w:line="2" w:lineRule="exact"/>
        <w:rPr>
          <w:sz w:val="20"/>
          <w:szCs w:val="20"/>
          <w:color w:val="auto"/>
        </w:rPr>
      </w:pPr>
    </w:p>
    <w:p>
      <w:pPr>
        <w:ind w:left="1560"/>
        <w:spacing w:after="0" w:line="232" w:lineRule="auto"/>
        <w:rPr>
          <w:sz w:val="20"/>
          <w:szCs w:val="20"/>
          <w:color w:val="auto"/>
        </w:rPr>
      </w:pPr>
      <w:r>
        <w:rPr>
          <w:rFonts w:ascii="Times New Roman" w:cs="Times New Roman" w:eastAsia="Times New Roman" w:hAnsi="Times New Roman"/>
          <w:sz w:val="20"/>
          <w:szCs w:val="20"/>
          <w:color w:val="auto"/>
        </w:rPr>
        <w:t>Third anniversary of the Incremental Amendment No. 3 and Fifth Amendment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03" w:lineRule="exact"/>
        <w:rPr>
          <w:sz w:val="20"/>
          <w:szCs w:val="20"/>
          <w:color w:val="auto"/>
        </w:rPr>
      </w:pPr>
    </w:p>
    <w:p>
      <w:pPr>
        <w:sectPr>
          <w:pgSz w:w="11900" w:h="16838" w:orient="portrait"/>
          <w:cols w:equalWidth="0" w:num="2">
            <w:col w:w="6320" w:space="300"/>
            <w:col w:w="4620"/>
          </w:cols>
          <w:pgMar w:left="320" w:top="1413" w:right="339" w:bottom="1440" w:gutter="0" w:footer="0" w:header="0"/>
          <w:type w:val="continuous"/>
        </w:sectPr>
      </w:pPr>
    </w:p>
    <w:p>
      <w:pPr>
        <w:ind w:left="1560" w:right="200"/>
        <w:spacing w:after="0" w:line="232" w:lineRule="auto"/>
        <w:rPr>
          <w:sz w:val="20"/>
          <w:szCs w:val="20"/>
          <w:color w:val="auto"/>
        </w:rPr>
      </w:pPr>
      <w:r>
        <w:rPr>
          <w:rFonts w:ascii="Times New Roman" w:cs="Times New Roman" w:eastAsia="Times New Roman" w:hAnsi="Times New Roman"/>
          <w:sz w:val="20"/>
          <w:szCs w:val="20"/>
          <w:color w:val="auto"/>
        </w:rPr>
        <w:t>Fourth anniversary of the Incremental Amendment No. 3 and Fifth Amendment Effective Date</w:t>
      </w:r>
    </w:p>
    <w:p>
      <w:pPr>
        <w:spacing w:after="0" w:line="1" w:lineRule="exact"/>
        <w:rPr>
          <w:sz w:val="20"/>
          <w:szCs w:val="20"/>
          <w:color w:val="auto"/>
        </w:rPr>
      </w:pPr>
    </w:p>
    <w:p>
      <w:pPr>
        <w:ind w:left="1560"/>
        <w:spacing w:after="0" w:line="232" w:lineRule="auto"/>
        <w:rPr>
          <w:sz w:val="20"/>
          <w:szCs w:val="20"/>
          <w:color w:val="auto"/>
        </w:rPr>
      </w:pPr>
      <w:r>
        <w:rPr>
          <w:rFonts w:ascii="Times New Roman" w:cs="Times New Roman" w:eastAsia="Times New Roman" w:hAnsi="Times New Roman"/>
          <w:sz w:val="20"/>
          <w:szCs w:val="20"/>
          <w:color w:val="auto"/>
        </w:rPr>
        <w:t>Fifth anniversary of the Incremental Amendment No. 3 and Fifth Amendment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pacing w:after="0" w:line="414" w:lineRule="exact"/>
        <w:rPr>
          <w:sz w:val="20"/>
          <w:szCs w:val="20"/>
          <w:color w:val="auto"/>
        </w:rPr>
      </w:pPr>
    </w:p>
    <w:p>
      <w:pPr>
        <w:sectPr>
          <w:pgSz w:w="11900" w:h="16838" w:orient="portrait"/>
          <w:cols w:equalWidth="0" w:num="2">
            <w:col w:w="6260" w:space="360"/>
            <w:col w:w="4620"/>
          </w:cols>
          <w:pgMar w:left="320" w:top="1413" w:right="339" w:bottom="1440" w:gutter="0" w:footer="0" w:header="0"/>
          <w:type w:val="continuous"/>
        </w:sectPr>
      </w:pPr>
    </w:p>
    <w:p>
      <w:pPr>
        <w:spacing w:after="0" w:line="3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Loan A Repayments</w:t>
      </w:r>
      <w:r>
        <w:rPr>
          <w:rFonts w:ascii="Times New Roman" w:cs="Times New Roman" w:eastAsia="Times New Roman" w:hAnsi="Times New Roman"/>
          <w:sz w:val="20"/>
          <w:szCs w:val="20"/>
          <w:color w:val="auto"/>
        </w:rPr>
        <w:t xml:space="preserve">” means, with respect to the principal payments on the Term A Loan, on the last Business Day of each March, June, September and December ending on or prior to each date set forth below (commencing on December 31, 2022), 0.25 times the percentage of the original aggregate principal amount of Term A Loans made on the Incremental Amendment No. 3 and Fifth Amendment Effective Date set forth opposite thereto, as reduced from time to time pursuant to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and on the Term Loan A Maturity Date, the remaining outstanding principal amount thereof:</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4520" w:type="dxa"/>
            <w:vAlign w:val="bottom"/>
          </w:tcPr>
          <w:p>
            <w:pPr>
              <w:jc w:val="center"/>
              <w:ind w:left="1881"/>
              <w:spacing w:after="0"/>
              <w:rPr>
                <w:sz w:val="20"/>
                <w:szCs w:val="20"/>
                <w:color w:val="auto"/>
              </w:rPr>
            </w:pPr>
            <w:r>
              <w:rPr>
                <w:rFonts w:ascii="Times New Roman" w:cs="Times New Roman" w:eastAsia="Times New Roman" w:hAnsi="Times New Roman"/>
                <w:sz w:val="20"/>
                <w:szCs w:val="20"/>
                <w:b w:val="1"/>
                <w:bCs w:val="1"/>
                <w:color w:val="auto"/>
                <w:w w:val="98"/>
              </w:rPr>
              <w:t>Scheduled Term</w:t>
            </w:r>
          </w:p>
        </w:tc>
        <w:tc>
          <w:tcPr>
            <w:tcW w:w="0" w:type="dxa"/>
            <w:vAlign w:val="bottom"/>
          </w:tcPr>
          <w:p>
            <w:pPr>
              <w:spacing w:after="0"/>
              <w:rPr>
                <w:sz w:val="1"/>
                <w:szCs w:val="1"/>
                <w:color w:val="auto"/>
              </w:rPr>
            </w:pPr>
          </w:p>
        </w:tc>
      </w:tr>
      <w:tr>
        <w:trPr>
          <w:trHeight w:val="203"/>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4520" w:type="dxa"/>
            <w:vAlign w:val="bottom"/>
          </w:tcPr>
          <w:p>
            <w:pPr>
              <w:jc w:val="center"/>
              <w:ind w:left="1861"/>
              <w:spacing w:after="0" w:line="203" w:lineRule="exact"/>
              <w:rPr>
                <w:sz w:val="20"/>
                <w:szCs w:val="20"/>
                <w:color w:val="auto"/>
              </w:rPr>
            </w:pPr>
            <w:r>
              <w:rPr>
                <w:rFonts w:ascii="Times New Roman" w:cs="Times New Roman" w:eastAsia="Times New Roman" w:hAnsi="Times New Roman"/>
                <w:sz w:val="20"/>
                <w:szCs w:val="20"/>
                <w:b w:val="1"/>
                <w:bCs w:val="1"/>
                <w:color w:val="auto"/>
                <w:w w:val="98"/>
              </w:rPr>
              <w:t>Loan A Repayment</w:t>
            </w:r>
          </w:p>
        </w:tc>
        <w:tc>
          <w:tcPr>
            <w:tcW w:w="0" w:type="dxa"/>
            <w:vAlign w:val="bottom"/>
          </w:tcPr>
          <w:p>
            <w:pPr>
              <w:spacing w:after="0"/>
              <w:rPr>
                <w:sz w:val="1"/>
                <w:szCs w:val="1"/>
                <w:color w:val="auto"/>
              </w:rPr>
            </w:pPr>
          </w:p>
        </w:tc>
      </w:tr>
      <w:tr>
        <w:trPr>
          <w:trHeight w:val="256"/>
        </w:trPr>
        <w:tc>
          <w:tcPr>
            <w:tcW w:w="2900" w:type="dxa"/>
            <w:vAlign w:val="bottom"/>
            <w:tcBorders>
              <w:bottom w:val="single" w:sz="8" w:color="auto"/>
            </w:tcBorders>
            <w:vMerge w:val="continue"/>
          </w:tcPr>
          <w:p>
            <w:pPr>
              <w:spacing w:after="0"/>
              <w:rPr>
                <w:sz w:val="22"/>
                <w:szCs w:val="22"/>
                <w:color w:val="auto"/>
              </w:rPr>
            </w:pPr>
          </w:p>
        </w:tc>
        <w:tc>
          <w:tcPr>
            <w:tcW w:w="4520" w:type="dxa"/>
            <w:vAlign w:val="bottom"/>
            <w:tcBorders>
              <w:bottom w:val="single" w:sz="8" w:color="auto"/>
            </w:tcBorders>
          </w:tcPr>
          <w:p>
            <w:pPr>
              <w:jc w:val="center"/>
              <w:ind w:left="1861"/>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type w:val="continuous"/>
        </w:sectPr>
      </w:pPr>
    </w:p>
    <w:p>
      <w:pPr>
        <w:spacing w:after="0" w:line="155" w:lineRule="exact"/>
        <w:rPr>
          <w:sz w:val="20"/>
          <w:szCs w:val="20"/>
          <w:color w:val="auto"/>
        </w:rPr>
      </w:pPr>
    </w:p>
    <w:p>
      <w:pPr>
        <w:ind w:left="1560" w:right="80"/>
        <w:spacing w:after="0"/>
        <w:rPr>
          <w:sz w:val="20"/>
          <w:szCs w:val="20"/>
          <w:color w:val="auto"/>
        </w:rPr>
      </w:pPr>
      <w:r>
        <w:rPr>
          <w:rFonts w:ascii="Times New Roman" w:cs="Times New Roman" w:eastAsia="Times New Roman" w:hAnsi="Times New Roman"/>
          <w:sz w:val="20"/>
          <w:szCs w:val="20"/>
          <w:color w:val="auto"/>
        </w:rPr>
        <w:t>First anniversary of the Incremental Amendment No. 3 and Fifth Amendment Effective Date</w:t>
      </w:r>
    </w:p>
    <w:p>
      <w:pPr>
        <w:spacing w:after="0" w:line="1" w:lineRule="exact"/>
        <w:rPr>
          <w:sz w:val="20"/>
          <w:szCs w:val="20"/>
          <w:color w:val="auto"/>
        </w:rPr>
      </w:pPr>
    </w:p>
    <w:p>
      <w:pPr>
        <w:ind w:left="1560" w:right="200"/>
        <w:spacing w:after="0" w:line="232" w:lineRule="auto"/>
        <w:rPr>
          <w:sz w:val="20"/>
          <w:szCs w:val="20"/>
          <w:color w:val="auto"/>
        </w:rPr>
      </w:pPr>
      <w:r>
        <w:rPr>
          <w:rFonts w:ascii="Times New Roman" w:cs="Times New Roman" w:eastAsia="Times New Roman" w:hAnsi="Times New Roman"/>
          <w:sz w:val="20"/>
          <w:szCs w:val="20"/>
          <w:color w:val="auto"/>
        </w:rPr>
        <w:t>Second anniversary of the Incremental Amendment No. 3 and Fifth Amendment Effective Date</w:t>
      </w:r>
    </w:p>
    <w:p>
      <w:pPr>
        <w:spacing w:after="0" w:line="1" w:lineRule="exact"/>
        <w:rPr>
          <w:sz w:val="20"/>
          <w:szCs w:val="20"/>
          <w:color w:val="auto"/>
        </w:rPr>
      </w:pPr>
    </w:p>
    <w:p>
      <w:pPr>
        <w:ind w:left="1560"/>
        <w:spacing w:after="0" w:line="232" w:lineRule="auto"/>
        <w:rPr>
          <w:sz w:val="20"/>
          <w:szCs w:val="20"/>
          <w:color w:val="auto"/>
        </w:rPr>
      </w:pPr>
      <w:r>
        <w:rPr>
          <w:rFonts w:ascii="Times New Roman" w:cs="Times New Roman" w:eastAsia="Times New Roman" w:hAnsi="Times New Roman"/>
          <w:sz w:val="20"/>
          <w:szCs w:val="20"/>
          <w:color w:val="auto"/>
        </w:rPr>
        <w:t>Third anniversary of the Incremental Amendment No. 3 and Fifth Amendment Effective Date</w:t>
      </w:r>
    </w:p>
    <w:p>
      <w:pPr>
        <w:spacing w:after="0" w:line="1" w:lineRule="exact"/>
        <w:rPr>
          <w:sz w:val="20"/>
          <w:szCs w:val="20"/>
          <w:color w:val="auto"/>
        </w:rPr>
      </w:pPr>
    </w:p>
    <w:p>
      <w:pPr>
        <w:ind w:left="1560" w:right="260"/>
        <w:spacing w:after="0" w:line="232" w:lineRule="auto"/>
        <w:rPr>
          <w:sz w:val="20"/>
          <w:szCs w:val="20"/>
          <w:color w:val="auto"/>
        </w:rPr>
      </w:pPr>
      <w:r>
        <w:rPr>
          <w:rFonts w:ascii="Times New Roman" w:cs="Times New Roman" w:eastAsia="Times New Roman" w:hAnsi="Times New Roman"/>
          <w:sz w:val="20"/>
          <w:szCs w:val="20"/>
          <w:color w:val="auto"/>
        </w:rPr>
        <w:t>Fourth anniversary of the Incremental Amendment No. 3 and Fifth Amendment Effective Date</w:t>
      </w:r>
    </w:p>
    <w:p>
      <w:pPr>
        <w:spacing w:after="0" w:line="1" w:lineRule="exact"/>
        <w:rPr>
          <w:sz w:val="20"/>
          <w:szCs w:val="20"/>
          <w:color w:val="auto"/>
        </w:rPr>
      </w:pPr>
    </w:p>
    <w:p>
      <w:pPr>
        <w:ind w:left="1560" w:right="60"/>
        <w:spacing w:after="0" w:line="232" w:lineRule="auto"/>
        <w:rPr>
          <w:sz w:val="20"/>
          <w:szCs w:val="20"/>
          <w:color w:val="auto"/>
        </w:rPr>
      </w:pPr>
      <w:r>
        <w:rPr>
          <w:rFonts w:ascii="Times New Roman" w:cs="Times New Roman" w:eastAsia="Times New Roman" w:hAnsi="Times New Roman"/>
          <w:sz w:val="20"/>
          <w:szCs w:val="20"/>
          <w:color w:val="auto"/>
        </w:rPr>
        <w:t>Fifth anniversary of the Incremental Amendment No. 3 and Fifth Amendment Effective 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416" w:lineRule="exact"/>
        <w:rPr>
          <w:sz w:val="20"/>
          <w:szCs w:val="20"/>
          <w:color w:val="auto"/>
        </w:rPr>
      </w:pPr>
    </w:p>
    <w:p>
      <w:pPr>
        <w:sectPr>
          <w:pgSz w:w="11900" w:h="16838" w:orient="portrait"/>
          <w:cols w:equalWidth="0" w:num="2">
            <w:col w:w="6320" w:space="300"/>
            <w:col w:w="4620"/>
          </w:cols>
          <w:pgMar w:left="320" w:top="1413" w:right="339" w:bottom="1440" w:gutter="0" w:footer="0" w:header="0"/>
          <w:type w:val="continuous"/>
        </w:sectPr>
      </w:pPr>
    </w:p>
    <w:p>
      <w:pPr>
        <w:spacing w:after="0" w:line="32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Repayments</w:t>
      </w:r>
      <w:r>
        <w:rPr>
          <w:rFonts w:ascii="Times New Roman" w:cs="Times New Roman" w:eastAsia="Times New Roman" w:hAnsi="Times New Roman"/>
          <w:sz w:val="20"/>
          <w:szCs w:val="20"/>
          <w:color w:val="auto"/>
        </w:rPr>
        <w:t>” means, for any Term Facility, the scheduled principal repayments set forth in the “Scheduled Term Repayments” definition applicable to such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type w:val="continuous"/>
        </w:sectPr>
      </w:pPr>
    </w:p>
    <w:bookmarkStart w:id="196" w:name="page197"/>
    <w:bookmarkEnd w:id="196"/>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“Scope 1 and 2 GHG Emissions” means, for any Reference Year, the sum of Crown Holdings and its Subsidiaries' total absolute (a) scope 1 emissions and (b) scope 2 emissions (as such terms are identified and determined in accordance with the GHG Protocol) under operational control.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Creditors</w:t>
      </w:r>
      <w:r>
        <w:rPr>
          <w:rFonts w:ascii="Times New Roman" w:cs="Times New Roman" w:eastAsia="Times New Roman" w:hAnsi="Times New Roman"/>
          <w:sz w:val="20"/>
          <w:szCs w:val="20"/>
          <w:color w:val="auto"/>
        </w:rPr>
        <w:t>” has the meaning provided in the respective Security Documents to the extent defined therein and shall include any Person who is granted a Lien or security interest pursuant to any Loan Document.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SEMs</w:t>
      </w:r>
      <w:r>
        <w:rPr>
          <w:rFonts w:ascii="Times New Roman" w:cs="Times New Roman" w:eastAsia="Times New Roman" w:hAnsi="Times New Roman"/>
          <w:sz w:val="20"/>
          <w:szCs w:val="20"/>
          <w:color w:val="auto"/>
        </w:rPr>
        <w:t>” means the US Environmental Protection Agency Superfund Enterprise Management System (SEMS) database.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means each of the following: (i) the Senior Notes 2023, (ii) the Senior Notes 2023-2, (iii) the Senior Notes 2024, (iv) the Senior Notes 2025, (v) the Senior Notes 2026, (vi) the Senior Notes 2026-2, (vii) the Senior Notes 2026-3 and (viii) any exchange notes which are issued in a registered exchange offer for any of such notes.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2023</w:t>
      </w:r>
      <w:r>
        <w:rPr>
          <w:rFonts w:ascii="Times New Roman" w:cs="Times New Roman" w:eastAsia="Times New Roman" w:hAnsi="Times New Roman"/>
          <w:sz w:val="19"/>
          <w:szCs w:val="19"/>
          <w:color w:val="auto"/>
        </w:rPr>
        <w:t>” means the €335,000,000 in aggregate principal amount of 2.250% senior notes due 2023 of European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 Indenture</w:t>
      </w:r>
      <w:r>
        <w:rPr>
          <w:rFonts w:ascii="Times New Roman" w:cs="Times New Roman" w:eastAsia="Times New Roman" w:hAnsi="Times New Roman"/>
          <w:sz w:val="20"/>
          <w:szCs w:val="20"/>
          <w:color w:val="auto"/>
        </w:rPr>
        <w:t>” means the Indenture governing the Senior Notes 2023.</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2023-2</w:t>
      </w:r>
      <w:r>
        <w:rPr>
          <w:rFonts w:ascii="Times New Roman" w:cs="Times New Roman" w:eastAsia="Times New Roman" w:hAnsi="Times New Roman"/>
          <w:sz w:val="20"/>
          <w:szCs w:val="20"/>
          <w:color w:val="auto"/>
        </w:rPr>
        <w:t>” means the €550,000,000 in aggregate principal amount of 0.750% senior notes due 2023 of European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2023-2 Indenture</w:t>
      </w:r>
      <w:r>
        <w:rPr>
          <w:rFonts w:ascii="Times New Roman" w:cs="Times New Roman" w:eastAsia="Times New Roman" w:hAnsi="Times New Roman"/>
          <w:sz w:val="20"/>
          <w:szCs w:val="20"/>
          <w:color w:val="auto"/>
        </w:rPr>
        <w:t>” means the Indenture governing the Senior Notes 2023-2.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2024</w:t>
      </w:r>
      <w:r>
        <w:rPr>
          <w:rFonts w:ascii="Times New Roman" w:cs="Times New Roman" w:eastAsia="Times New Roman" w:hAnsi="Times New Roman"/>
          <w:sz w:val="19"/>
          <w:szCs w:val="19"/>
          <w:color w:val="auto"/>
        </w:rPr>
        <w:t>” means the €600,000,000 in aggregate principal amount of 2.625% senior notes due 2024 of European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2024 Indenture</w:t>
      </w:r>
      <w:r>
        <w:rPr>
          <w:rFonts w:ascii="Times New Roman" w:cs="Times New Roman" w:eastAsia="Times New Roman" w:hAnsi="Times New Roman"/>
          <w:sz w:val="20"/>
          <w:szCs w:val="20"/>
          <w:color w:val="auto"/>
        </w:rPr>
        <w:t>” means the Indenture governing the Senior Notes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2025</w:t>
      </w:r>
      <w:r>
        <w:rPr>
          <w:rFonts w:ascii="Times New Roman" w:cs="Times New Roman" w:eastAsia="Times New Roman" w:hAnsi="Times New Roman"/>
          <w:sz w:val="19"/>
          <w:szCs w:val="19"/>
          <w:color w:val="auto"/>
        </w:rPr>
        <w:t>” means the €600,000,000 in aggregate principal amount of 3.375% senior notes due 2025 of European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2025 Indenture</w:t>
      </w:r>
      <w:r>
        <w:rPr>
          <w:rFonts w:ascii="Times New Roman" w:cs="Times New Roman" w:eastAsia="Times New Roman" w:hAnsi="Times New Roman"/>
          <w:sz w:val="20"/>
          <w:szCs w:val="20"/>
          <w:color w:val="auto"/>
        </w:rPr>
        <w:t>” means the Indenture governing the Senior Notes 2025.</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w:t>
      </w:r>
      <w:r>
        <w:rPr>
          <w:rFonts w:ascii="Times New Roman" w:cs="Times New Roman" w:eastAsia="Times New Roman" w:hAnsi="Times New Roman"/>
          <w:sz w:val="20"/>
          <w:szCs w:val="20"/>
          <w:color w:val="auto"/>
        </w:rPr>
        <w:t>” means the $400,000,000 in aggregate principal amount of 4.25% senior notes due 2026 of U.S. Borrower and Crown Americas Capital Corp. V.</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 Indenture</w:t>
      </w:r>
      <w:r>
        <w:rPr>
          <w:rFonts w:ascii="Times New Roman" w:cs="Times New Roman" w:eastAsia="Times New Roman" w:hAnsi="Times New Roman"/>
          <w:sz w:val="20"/>
          <w:szCs w:val="20"/>
          <w:color w:val="auto"/>
        </w:rPr>
        <w:t>” means the Indenture governing the Senior Notes 2026.</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2026-2</w:t>
      </w:r>
      <w:r>
        <w:rPr>
          <w:rFonts w:ascii="Times New Roman" w:cs="Times New Roman" w:eastAsia="Times New Roman" w:hAnsi="Times New Roman"/>
          <w:sz w:val="20"/>
          <w:szCs w:val="20"/>
          <w:color w:val="auto"/>
        </w:rPr>
        <w:t>” means the $875,000,000 in aggregate principal amount of 4.750% senior notes due 2026 of U.S. Borrower and Crown Americas Capital Corp. VI.</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2026-2 Indenture</w:t>
      </w:r>
      <w:r>
        <w:rPr>
          <w:rFonts w:ascii="Times New Roman" w:cs="Times New Roman" w:eastAsia="Times New Roman" w:hAnsi="Times New Roman"/>
          <w:sz w:val="20"/>
          <w:szCs w:val="20"/>
          <w:color w:val="auto"/>
        </w:rPr>
        <w:t>” means the Indenture governing the Senior Notes 2026-2.</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2026-3</w:t>
      </w:r>
      <w:r>
        <w:rPr>
          <w:rFonts w:ascii="Times New Roman" w:cs="Times New Roman" w:eastAsia="Times New Roman" w:hAnsi="Times New Roman"/>
          <w:sz w:val="20"/>
          <w:szCs w:val="20"/>
          <w:color w:val="auto"/>
        </w:rPr>
        <w:t>” means the €500,000,000 in aggregate principal amount of 2.875% senior notes due 2026 of European Borrower.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2026-3 Indenture</w:t>
      </w:r>
      <w:r>
        <w:rPr>
          <w:rFonts w:ascii="Times New Roman" w:cs="Times New Roman" w:eastAsia="Times New Roman" w:hAnsi="Times New Roman"/>
          <w:sz w:val="20"/>
          <w:szCs w:val="20"/>
          <w:color w:val="auto"/>
        </w:rPr>
        <w:t>” means the Indenture governing the Senior Notes 2026-3.</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Documents</w:t>
      </w:r>
      <w:r>
        <w:rPr>
          <w:rFonts w:ascii="Times New Roman" w:cs="Times New Roman" w:eastAsia="Times New Roman" w:hAnsi="Times New Roman"/>
          <w:sz w:val="20"/>
          <w:szCs w:val="20"/>
          <w:color w:val="auto"/>
        </w:rPr>
        <w:t>” means the Senior Notes, the Senior Notes Indentures and all other documents evidencing, guaranteeing or otherwise governing the terms of any of the Senior Notes.</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Indentures</w:t>
      </w:r>
      <w:r>
        <w:rPr>
          <w:rFonts w:ascii="Times New Roman" w:cs="Times New Roman" w:eastAsia="Times New Roman" w:hAnsi="Times New Roman"/>
          <w:sz w:val="20"/>
          <w:szCs w:val="20"/>
          <w:color w:val="auto"/>
        </w:rPr>
        <w:t>” means the Senior Notes 2023 Indenture, the Senior Notes 2023-2 Indenture, the Senior Notes 2024 Indenture, the Senior Notes 2025 Indenture, the Senior Notes 2026 Indenture, the Senior Notes 2026-2 Indenture and the Senior Notes 2026-3 Indenture.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 Effective Date</w:t>
      </w:r>
      <w:r>
        <w:rPr>
          <w:rFonts w:ascii="Times New Roman" w:cs="Times New Roman" w:eastAsia="Times New Roman" w:hAnsi="Times New Roman"/>
          <w:sz w:val="20"/>
          <w:szCs w:val="20"/>
          <w:color w:val="auto"/>
        </w:rPr>
        <w:t>” means November 11, 2024.</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Signode Acquisition</w:t>
      </w:r>
      <w:r>
        <w:rPr>
          <w:rFonts w:ascii="Times New Roman" w:cs="Times New Roman" w:eastAsia="Times New Roman" w:hAnsi="Times New Roman"/>
          <w:sz w:val="20"/>
          <w:szCs w:val="20"/>
          <w:color w:val="auto"/>
        </w:rPr>
        <w:t>” means the acquisition by Crown Holdings and/or one or more of its subsidiaries of Signode Industrial Group Holdings (Bermuda) Ltd., pursuant to the Signode Acquisition Agreement.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Signode Acquisition Agreement</w:t>
      </w:r>
      <w:r>
        <w:rPr>
          <w:rFonts w:ascii="Times New Roman" w:cs="Times New Roman" w:eastAsia="Times New Roman" w:hAnsi="Times New Roman"/>
          <w:sz w:val="20"/>
          <w:szCs w:val="20"/>
          <w:color w:val="auto"/>
        </w:rPr>
        <w:t>” means the Agreement and Plan of Merger, dated as of December 19, 2017 (as amended, amended and restated, supplemented or otherwise modified from time to time), by and among Crown Holdings, Cobra Merger Sub, Ltd., Signode Industrial Group Holdings (Bermuda) Ltd. and TC Group VI, L.P.</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SLB Subsidiary</w:t>
      </w:r>
      <w:r>
        <w:rPr>
          <w:rFonts w:ascii="Times New Roman" w:cs="Times New Roman" w:eastAsia="Times New Roman" w:hAnsi="Times New Roman"/>
          <w:sz w:val="20"/>
          <w:szCs w:val="20"/>
          <w:color w:val="auto"/>
        </w:rPr>
        <w:t>” means, any special purpose subsidiary which is created solely to enter into a sale and leaseback transaction otherwise permitted under this Agreement.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198" w:name="page199"/>
    <w:bookmarkEnd w:id="19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means, as to any Borrowing, the SOFR Loans comprising such Borrowing.</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bears interest at a rate based on Adjusted Term SOFR, other than pursuant to clause (iii) of the definition of “Base Rate”.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RFR Business Day, a rate per annum equal to the Sterling Overnight Index Average for such RFR Business Day published by the SONIA Administrator on the SONIA Administrator’s Website on the immediately succeeding RFR Business Day.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Obligor</w:t>
      </w:r>
      <w:r>
        <w:rPr>
          <w:rFonts w:ascii="Times New Roman" w:cs="Times New Roman" w:eastAsia="Times New Roman" w:hAnsi="Times New Roman"/>
          <w:sz w:val="20"/>
          <w:szCs w:val="20"/>
          <w:color w:val="auto"/>
        </w:rPr>
        <w:t>” means any Subsidiary Credit Party incorporated under the Laws of Spain.</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Public Document</w:t>
      </w:r>
      <w:r>
        <w:rPr>
          <w:rFonts w:ascii="Times New Roman" w:cs="Times New Roman" w:eastAsia="Times New Roman" w:hAnsi="Times New Roman"/>
          <w:sz w:val="20"/>
          <w:szCs w:val="20"/>
          <w:color w:val="auto"/>
        </w:rPr>
        <w:t>” means a public document (</w:t>
      </w:r>
      <w:r>
        <w:rPr>
          <w:rFonts w:ascii="Times New Roman" w:cs="Times New Roman" w:eastAsia="Times New Roman" w:hAnsi="Times New Roman"/>
          <w:sz w:val="20"/>
          <w:szCs w:val="20"/>
          <w:i w:val="1"/>
          <w:iCs w:val="1"/>
          <w:color w:val="auto"/>
        </w:rPr>
        <w:t>documento público</w:t>
      </w:r>
      <w:r>
        <w:rPr>
          <w:rFonts w:ascii="Times New Roman" w:cs="Times New Roman" w:eastAsia="Times New Roman" w:hAnsi="Times New Roman"/>
          <w:sz w:val="20"/>
          <w:szCs w:val="20"/>
          <w:color w:val="auto"/>
        </w:rPr>
        <w:t xml:space="preserve">), being either an </w:t>
      </w:r>
      <w:r>
        <w:rPr>
          <w:rFonts w:ascii="Times New Roman" w:cs="Times New Roman" w:eastAsia="Times New Roman" w:hAnsi="Times New Roman"/>
          <w:sz w:val="20"/>
          <w:szCs w:val="20"/>
          <w:i w:val="1"/>
          <w:iCs w:val="1"/>
          <w:color w:val="auto"/>
        </w:rPr>
        <w:t>escritura pública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póliza</w:t>
      </w:r>
      <w:r>
        <w:rPr>
          <w:rFonts w:ascii="Times New Roman" w:cs="Times New Roman" w:eastAsia="Times New Roman" w:hAnsi="Times New Roman"/>
          <w:sz w:val="20"/>
          <w:szCs w:val="20"/>
          <w:color w:val="auto"/>
        </w:rPr>
        <w:t xml:space="preserve"> or an </w:t>
      </w:r>
      <w:r>
        <w:rPr>
          <w:rFonts w:ascii="Times New Roman" w:cs="Times New Roman" w:eastAsia="Times New Roman" w:hAnsi="Times New Roman"/>
          <w:sz w:val="20"/>
          <w:szCs w:val="20"/>
          <w:i w:val="1"/>
          <w:iCs w:val="1"/>
          <w:color w:val="auto"/>
        </w:rPr>
        <w:t>efecto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intervenido por fedatario público.</w:t>
      </w:r>
    </w:p>
    <w:p>
      <w:pPr>
        <w:spacing w:after="0" w:line="16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Credit Party</w:t>
      </w:r>
      <w:r>
        <w:rPr>
          <w:rFonts w:ascii="Times New Roman" w:cs="Times New Roman" w:eastAsia="Times New Roman" w:hAnsi="Times New Roman"/>
          <w:sz w:val="20"/>
          <w:szCs w:val="20"/>
          <w:color w:val="auto"/>
        </w:rPr>
        <w:t xml:space="preserve">” means any Credit Party incorporated in the United States that is not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Foreign Credit Party</w:t>
      </w:r>
      <w:r>
        <w:rPr>
          <w:rFonts w:ascii="Times New Roman" w:cs="Times New Roman" w:eastAsia="Times New Roman" w:hAnsi="Times New Roman"/>
          <w:sz w:val="20"/>
          <w:szCs w:val="20"/>
          <w:color w:val="auto"/>
        </w:rPr>
        <w:t>” means each Credit Party of Crown Holdings that is incorporated or formed in the United Kingdom or Canada.</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made by the Borrower and Guarantors, in or pursuant to </w:t>
      </w:r>
      <w:r>
        <w:rPr>
          <w:rFonts w:ascii="Times New Roman" w:cs="Times New Roman" w:eastAsia="Times New Roman" w:hAnsi="Times New Roman"/>
          <w:sz w:val="20"/>
          <w:szCs w:val="20"/>
          <w:u w:val="single" w:color="auto"/>
          <w:color w:val="auto"/>
        </w:rPr>
        <w:t>Sections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(solely as relates to entering into and performance of the relevant credit documentation by Crown Holdings and each other Credit Party),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(solely with respect to each Credit Party’s Organic Documents), </w:t>
      </w:r>
      <w:r>
        <w:rPr>
          <w:rFonts w:ascii="Times New Roman" w:cs="Times New Roman" w:eastAsia="Times New Roman" w:hAnsi="Times New Roman"/>
          <w:sz w:val="20"/>
          <w:szCs w:val="20"/>
          <w:u w:val="single" w:color="auto"/>
          <w:color w:val="auto"/>
        </w:rPr>
        <w:t>6.8(c)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xml:space="preserve"> (solely as relates to use of proceeds) and </w:t>
      </w:r>
      <w:r>
        <w:rPr>
          <w:rFonts w:ascii="Times New Roman" w:cs="Times New Roman" w:eastAsia="Times New Roman" w:hAnsi="Times New Roman"/>
          <w:sz w:val="20"/>
          <w:szCs w:val="20"/>
          <w:u w:val="single" w:color="auto"/>
          <w:color w:val="auto"/>
        </w:rPr>
        <w:t>6.23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for a currency means the rate determined by the Administrative Agent or Facing Agent, as applicable, to be the rate quoted by the Person acting in such capacity as the spot rate for the purchase by such Person of such currency with another currency through its principal foreign exchange trading office at approximately 11:00 a.m. on the date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Facing Agent may obtain such spot rate from another financial institution designated by the Administrative Agent or Facing Agent if the Person acting in such capacity does not have as of the date of determination a spot buying rate for any such currency; and provided, further, that Facing Agent may use such spot rate quoted on the date as of which the foreign exchange computation is made in the case of any Letter of Credit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199" w:name="page200"/>
    <w:bookmarkEnd w:id="199"/>
    <w:p>
      <w:pPr>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Amount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Stated Amounts</w:t>
      </w:r>
      <w:r>
        <w:rPr>
          <w:rFonts w:ascii="Times New Roman" w:cs="Times New Roman" w:eastAsia="Times New Roman" w:hAnsi="Times New Roman"/>
          <w:sz w:val="20"/>
          <w:szCs w:val="20"/>
          <w:color w:val="auto"/>
        </w:rPr>
        <w:t>” means (i) with respect to any Multicurrency Letter of Credit issued in Dollars, the stated or face amount of such Letter of Credit (to the extent) available at the time for drawing (subject to presentment of all requisite documents), and</w:t>
      </w:r>
    </w:p>
    <w:p>
      <w:pPr>
        <w:jc w:val="both"/>
        <w:ind w:firstLine="8"/>
        <w:spacing w:after="0" w:line="251" w:lineRule="auto"/>
        <w:tabs>
          <w:tab w:leader="none" w:pos="29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19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in the Stated Amount of any Letter of Credit by reason of any amendment to any Letter of Credit shall be deemed 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Stated Amount of any Letter of Credit by reason of any amendment to any Letter of Credit shall be deemed 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Step-Up</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the United Kingdom.</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 Equivalent</w:t>
      </w:r>
      <w:r>
        <w:rPr>
          <w:rFonts w:ascii="Times New Roman" w:cs="Times New Roman" w:eastAsia="Times New Roman" w:hAnsi="Times New Roman"/>
          <w:sz w:val="20"/>
          <w:szCs w:val="20"/>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Transaction</w:t>
      </w:r>
      <w:r>
        <w:rPr>
          <w:rFonts w:ascii="Times New Roman" w:cs="Times New Roman" w:eastAsia="Times New Roman" w:hAnsi="Times New Roman"/>
          <w:sz w:val="20"/>
          <w:szCs w:val="20"/>
          <w:color w:val="auto"/>
        </w:rPr>
        <w:t xml:space="preserve">”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 Revolving Credit Commitments, Additional Revolving Facilities or Incremental Equivalent Debt, (g) the designation of a Subsidiary as an Unrestricted Entity or an Unrestricted Entity as a Subsidiary in accordance with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and (h) any other event that by the terms of the Loan Documents requires pro forma compliance with a test or covenant hereunder or requires such test or covenant to be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200" w:name="page201"/>
    <w:bookmarkEnd w:id="200"/>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Crown Holdings or any of its Subsidiaries that is expressly subordinated in right of payment to the Obligations.</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 (irrespective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w:t>
      </w:r>
      <w:r>
        <w:rPr>
          <w:rFonts w:ascii="Times New Roman" w:cs="Times New Roman" w:eastAsia="Times New Roman" w:hAnsi="Times New Roman"/>
          <w:sz w:val="20"/>
          <w:szCs w:val="20"/>
          <w:color w:val="auto"/>
        </w:rPr>
        <w:t xml:space="preserve">” means each Non-U.S. Subsidiary listed as a Subsidiary Borrower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amended from time to time in accordance with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 xml:space="preserve">, including each Dutch Borrower, each German Borrower and each U.K.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commencing on the Incremental Amendment No. 3 and Fifth Amendment Effective Date, each such new Subsidiary Borrower must be incorporated (or similarly organized) in a jurisdiction as to which all applicable Lenders have confirmed to the Administrative Agent their ability and willingness to make Loans into such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Lender confirmation shall be required with respect to new Subsidiary Borrowers organized in a jurisdiction in which any Credit Party exists on the Incremental Amendment No. 3 and Fifth Amendment Effective Date.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 Obligations</w:t>
      </w:r>
      <w:r>
        <w:rPr>
          <w:rFonts w:ascii="Times New Roman" w:cs="Times New Roman" w:eastAsia="Times New Roman" w:hAnsi="Times New Roman"/>
          <w:sz w:val="20"/>
          <w:szCs w:val="20"/>
          <w:color w:val="auto"/>
        </w:rPr>
        <w:t>”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or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such Subsidiary Borrower or any of its Subsidiaries to any Agent, any Lender or any Hedge Bank pursuant to any Loan Document or any Bank Related Debt) or otherwise.</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Credit Parties</w:t>
      </w:r>
      <w:r>
        <w:rPr>
          <w:rFonts w:ascii="Times New Roman" w:cs="Times New Roman" w:eastAsia="Times New Roman" w:hAnsi="Times New Roman"/>
          <w:sz w:val="20"/>
          <w:szCs w:val="20"/>
          <w:color w:val="auto"/>
        </w:rPr>
        <w:t xml:space="preserve">” means (i) each of U.S. Borrower’s U.S. Subsidiaries (other than any Excluded Subsidiary), (ii) each Subsidiary Borrower and (iii) each Subsidiary of European Borrower, and each other Subsidiary, designated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 subsidiary guarantor or which becomes a subsidiary guarantor pursuant to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201" w:name="page202"/>
    <w:bookmarkEnd w:id="201"/>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Applicable Commitment Fee Adjustment</w:t>
      </w:r>
      <w:r>
        <w:rPr>
          <w:rFonts w:ascii="Times New Roman" w:cs="Times New Roman" w:eastAsia="Times New Roman" w:hAnsi="Times New Roman"/>
          <w:sz w:val="20"/>
          <w:szCs w:val="20"/>
          <w:color w:val="auto"/>
        </w:rPr>
        <w:t>” means, with respect to any Sustainability Certificate for any period between Sustainability Pricing Adjustment Dates, an amount (whether positive, negative or zero), expressed as a percentage, equal to the sum of (a) the Greenhouse Gas Footprint Applicable Commitment Fee Adjustment Amount (whether positive, negative or zero), plus (b) the Total Water Usage Applicable Commitment Fee Adjustment Amount (whether positive, negative or zero), plus (c) the Total Recordable Incident Rate Applicable Commitment Fee Adjustment Amount (whether positive, negative or zero) in each case for such period.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Certificate</w:t>
      </w:r>
      <w:r>
        <w:rPr>
          <w:rFonts w:ascii="Times New Roman" w:cs="Times New Roman" w:eastAsia="Times New Roman" w:hAnsi="Times New Roman"/>
          <w:sz w:val="20"/>
          <w:szCs w:val="20"/>
          <w:color w:val="auto"/>
        </w:rPr>
        <w:t>” means a certificate substantially in the form of Exhibit 2.17, executed by a Responsible Officer of Crown Holdings (a) setting forth the Sustainability Rate Adjustment and the Sustainability Applicable Commitment Fee Adjustment and calculations in reasonable detail of the KPI Metrics, in each case, for the Reference Year covered thereby, and (b) attaching a true and complete report of the Sustainability Metric Auditor, which report (i) measures, verifies, calculates and certifies each KPI Metric set forth in the Sustainability Certificate, as applicable, for the applicable Reference Year and (ii) confirms that the Sustainability Metric Auditor is not aware of any modifications that should be made to such computations in order for them to be presented in all material respects in conformity with the applicable reporting criteria and ESG Standards.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Certificate Inaccuracy</w:t>
      </w:r>
      <w:r>
        <w:rPr>
          <w:rFonts w:ascii="Times New Roman" w:cs="Times New Roman" w:eastAsia="Times New Roman" w:hAnsi="Times New Roman"/>
          <w:sz w:val="20"/>
          <w:szCs w:val="20"/>
          <w:color w:val="auto"/>
        </w:rPr>
        <w:t>” has the meaning specified in Section 2.17(d).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Coordinators</w:t>
      </w:r>
      <w:r>
        <w:rPr>
          <w:rFonts w:ascii="Times New Roman" w:cs="Times New Roman" w:eastAsia="Times New Roman" w:hAnsi="Times New Roman"/>
          <w:sz w:val="20"/>
          <w:szCs w:val="20"/>
          <w:color w:val="auto"/>
        </w:rPr>
        <w:t>” means each of Deutsche Bank Securities Inc., BNP Paribas, Coöperatieve Rabobank U.A., New York Branch, Crédit Agricole Corporate and Investment Bank, ING Capital LLC and UniCredit Bank GmbH, or any of their respective affiliates, each in their capacity as a Sustainability Coordinator.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Metric Auditor</w:t>
      </w:r>
      <w:r>
        <w:rPr>
          <w:rFonts w:ascii="Times New Roman" w:cs="Times New Roman" w:eastAsia="Times New Roman" w:hAnsi="Times New Roman"/>
          <w:sz w:val="20"/>
          <w:szCs w:val="20"/>
          <w:color w:val="auto"/>
        </w:rPr>
        <w:t>” means a qualified external reviewer (other than an Affiliate of Crown Holdings), with relevant expertise, such as an auditor, environmental consultant and/or independent ratings agency of recognized national standing. A sustainability metric auditor can be replaced as long as the newly appointed organization complies with the aforementioned definition. The Sustainability Metric Auditor shall apply auditing standards and methodology that (i) are consistent with then generally accepted industry standards or (ii) if not so consistent, are proposed by Crown Holdings and approved by the Administrative Agent, the Sustainability Coordinators and the Required Lenders.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Pricing Adjustment Date</w:t>
      </w:r>
      <w:r>
        <w:rPr>
          <w:rFonts w:ascii="Times New Roman" w:cs="Times New Roman" w:eastAsia="Times New Roman" w:hAnsi="Times New Roman"/>
          <w:sz w:val="20"/>
          <w:szCs w:val="20"/>
          <w:color w:val="auto"/>
        </w:rPr>
        <w:t>” has the meaning specified in Section 2.17.</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Rate Adjustment</w:t>
      </w:r>
      <w:r>
        <w:rPr>
          <w:rFonts w:ascii="Times New Roman" w:cs="Times New Roman" w:eastAsia="Times New Roman" w:hAnsi="Times New Roman"/>
          <w:sz w:val="20"/>
          <w:szCs w:val="20"/>
          <w:color w:val="auto"/>
        </w:rPr>
        <w:t>” with respect to any Sustainability Certificate for any period between Sustainability Pricing Adjustment Dates, an amount (whether positive, negative or zero), expressed as a percentage, equal to the sum of (a) the Greenhouse Gas Footprint Applicable Margin Adjustment Amount (whether positive, negative or zero), plus (b) the Total Water Usage Applicable Margin Adjustment Amount (whether positive, negative or zero), plus (c) the Total Recordable Incident Rate Applicable Margin Adjustment Amount (whether positive, negative or zero) in each case for such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Table</w:t>
      </w:r>
      <w:r>
        <w:rPr>
          <w:rFonts w:ascii="Times New Roman" w:cs="Times New Roman" w:eastAsia="Times New Roman" w:hAnsi="Times New Roman"/>
          <w:sz w:val="20"/>
          <w:szCs w:val="20"/>
          <w:color w:val="auto"/>
        </w:rPr>
        <w:t>” means the Sustainability Table set forth on Schedule 2.17.</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Sustainability-Related Information</w:t>
      </w:r>
      <w:r>
        <w:rPr>
          <w:rFonts w:ascii="Times New Roman" w:cs="Times New Roman" w:eastAsia="Times New Roman" w:hAnsi="Times New Roman"/>
          <w:sz w:val="20"/>
          <w:szCs w:val="20"/>
          <w:color w:val="auto"/>
        </w:rPr>
        <w:t>” has the meaning specified in Section 6.17.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202" w:name="page203"/>
    <w:bookmarkEnd w:id="202"/>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Commitment</w:t>
      </w:r>
      <w:r>
        <w:rPr>
          <w:rFonts w:ascii="Times New Roman" w:cs="Times New Roman" w:eastAsia="Times New Roman" w:hAnsi="Times New Roman"/>
          <w:sz w:val="20"/>
          <w:szCs w:val="20"/>
          <w:color w:val="auto"/>
        </w:rPr>
        <w:t xml:space="preserve">” means, at any date, the obligation of the Swing Line Lender to make Swing Line Loans pursuant to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in the amount referred to therein.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Exposure</w:t>
      </w:r>
      <w:r>
        <w:rPr>
          <w:rFonts w:ascii="Times New Roman" w:cs="Times New Roman" w:eastAsia="Times New Roman" w:hAnsi="Times New Roman"/>
          <w:sz w:val="20"/>
          <w:szCs w:val="20"/>
          <w:color w:val="auto"/>
        </w:rPr>
        <w:t>” means, with respect to a Revolving Lender, such Lender’s Multicurrency Revolver Pro Rata Share of the then outstanding Swing Line Loans.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Facility</w:t>
      </w:r>
      <w:r>
        <w:rPr>
          <w:rFonts w:ascii="Times New Roman" w:cs="Times New Roman" w:eastAsia="Times New Roman" w:hAnsi="Times New Roman"/>
          <w:sz w:val="20"/>
          <w:szCs w:val="20"/>
          <w:color w:val="auto"/>
        </w:rPr>
        <w:t>” means the sub-credit facility of the Revolving Facility under this Agreement evidenced by the Swing Line Commitment and the Swing Line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DB, or an Affiliate of DB, as applicable.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Participation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2.1(c)</w:t>
      </w:r>
      <w:r>
        <w:rPr>
          <w:rFonts w:ascii="Times New Roman" w:cs="Times New Roman" w:eastAsia="Times New Roman" w:hAnsi="Times New Roman"/>
          <w:sz w:val="20"/>
          <w:szCs w:val="20"/>
          <w:color w:val="auto"/>
        </w:rPr>
        <w:t xml:space="preserve"> (or such other form as mutually agreed by Crown Holdings and the Administrative Agent).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(i) with respect to any Lender and the Term Euro Facility, the Term Euro Commitment, (ii) with respect to any Lender and the Term Loan A Facility, the Term Loan A Commitment and (iii) with respect to any Lender and any other Term Facility, the principal amount set forth opposite such Lender’s name in the Register or in any Assignment and Assumption Agreement under the caption for the amount of commitment to such Term Facility, as such commitments may be adjusted from time to time pursuant to this Agreement, and “</w:t>
      </w:r>
      <w:r>
        <w:rPr>
          <w:rFonts w:ascii="Times New Roman" w:cs="Times New Roman" w:eastAsia="Times New Roman" w:hAnsi="Times New Roman"/>
          <w:sz w:val="20"/>
          <w:szCs w:val="20"/>
          <w:u w:val="single" w:color="auto"/>
          <w:color w:val="auto"/>
        </w:rPr>
        <w:t>Term Commitments</w:t>
      </w:r>
      <w:r>
        <w:rPr>
          <w:rFonts w:ascii="Times New Roman" w:cs="Times New Roman" w:eastAsia="Times New Roman" w:hAnsi="Times New Roman"/>
          <w:sz w:val="20"/>
          <w:szCs w:val="20"/>
          <w:color w:val="auto"/>
        </w:rPr>
        <w:t>” means such commitments collectively.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for any calculation with respect to a Canadian Prime Rate Loan, the Term CORRA Reference Rate for a tenor of one month on the day (such day, the “</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that is two (2) Business Days prior to such day,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a percentage equal to 0.29547% per annum.</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 administrator of the Term CORRA Reference Rate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Commitment</w:t>
      </w:r>
      <w:r>
        <w:rPr>
          <w:rFonts w:ascii="Times New Roman" w:cs="Times New Roman" w:eastAsia="Times New Roman" w:hAnsi="Times New Roman"/>
          <w:sz w:val="20"/>
          <w:szCs w:val="20"/>
          <w:color w:val="auto"/>
        </w:rPr>
        <w:t xml:space="preserve">” means, with respect to any Lender, the principal amount set forth opposite such Lender’s name in the Register or in any Assignment and Assumption Agreement under the caption “Amount of Term Euro Commitment,”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to Incremental Amendment No. 2 and Third Amendment under the caption “Amount of Additional Term Euro Commitment” as the same may be adjusted from time to time pursuant to the terms hereof, and “</w:t>
      </w:r>
      <w:r>
        <w:rPr>
          <w:rFonts w:ascii="Times New Roman" w:cs="Times New Roman" w:eastAsia="Times New Roman" w:hAnsi="Times New Roman"/>
          <w:sz w:val="20"/>
          <w:szCs w:val="20"/>
          <w:u w:val="single" w:color="auto"/>
          <w:color w:val="auto"/>
        </w:rPr>
        <w:t>Term Euro Commitments</w:t>
      </w:r>
      <w:r>
        <w:rPr>
          <w:rFonts w:ascii="Times New Roman" w:cs="Times New Roman" w:eastAsia="Times New Roman" w:hAnsi="Times New Roman"/>
          <w:sz w:val="20"/>
          <w:szCs w:val="20"/>
          <w:color w:val="auto"/>
        </w:rPr>
        <w:t>” means such commitments collectively, which commitments equal €540,000,000 in the aggregate as of the Incremental Amendment No. 3 and Fifth Amendment Effective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Facility</w:t>
      </w:r>
      <w:r>
        <w:rPr>
          <w:rFonts w:ascii="Times New Roman" w:cs="Times New Roman" w:eastAsia="Times New Roman" w:hAnsi="Times New Roman"/>
          <w:sz w:val="20"/>
          <w:szCs w:val="20"/>
          <w:color w:val="auto"/>
        </w:rPr>
        <w:t>” means the credit facility under this Agreement evidenced by the Term Euro Commitments and the Term Euro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Lender</w:t>
      </w:r>
      <w:r>
        <w:rPr>
          <w:rFonts w:ascii="Times New Roman" w:cs="Times New Roman" w:eastAsia="Times New Roman" w:hAnsi="Times New Roman"/>
          <w:sz w:val="20"/>
          <w:szCs w:val="20"/>
          <w:color w:val="auto"/>
        </w:rPr>
        <w:t>” means any Lender which has a Term Euro Commitment or is owed a Term Euro Loan (or a portion thereof).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Loan Maturity Date</w:t>
      </w:r>
      <w:r>
        <w:rPr>
          <w:rFonts w:ascii="Times New Roman" w:cs="Times New Roman" w:eastAsia="Times New Roman" w:hAnsi="Times New Roman"/>
          <w:sz w:val="20"/>
          <w:szCs w:val="20"/>
          <w:color w:val="auto"/>
        </w:rPr>
        <w:t>” means the date that is the fifth anniversary of the Incremental Amendment No. 3 and Fifth Amendment Effective Date.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Facilities</w:t>
      </w:r>
      <w:r>
        <w:rPr>
          <w:rFonts w:ascii="Times New Roman" w:cs="Times New Roman" w:eastAsia="Times New Roman" w:hAnsi="Times New Roman"/>
          <w:sz w:val="20"/>
          <w:szCs w:val="20"/>
          <w:color w:val="auto"/>
        </w:rPr>
        <w:t>” means the Facilities under the Agreement other than the Revolving Facilities and the Swing Line Facility, collectively.</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with respect to any Term Facility, any Lender which has a Term Commitment for such Term Facility or is owed a Term Loan (or portion thereof) under such Term Facility.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Commitment</w:t>
      </w:r>
      <w:r>
        <w:rPr>
          <w:rFonts w:ascii="Times New Roman" w:cs="Times New Roman" w:eastAsia="Times New Roman" w:hAnsi="Times New Roman"/>
          <w:sz w:val="19"/>
          <w:szCs w:val="19"/>
          <w:color w:val="auto"/>
        </w:rPr>
        <w:t xml:space="preserve">” means, with respect to any Lender, the principal amount set forth opposite such Lender’s name in the Register or in any Assignment and Assumption Agreement under the caption “Amount of Term Loan A Commitment,” which commitment as of the Incremental Amendment No. 3 and Fifth Amendment Effective Date is the amount set forth opposite such lender’s name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to Incremental Amendment No. 2 and Third Amendment under the caption “Amount of Additional Term Loan A Commitment” as the same may be adjusted from time to time pursuant to the terms hereof, and “</w:t>
      </w:r>
      <w:r>
        <w:rPr>
          <w:rFonts w:ascii="Times New Roman" w:cs="Times New Roman" w:eastAsia="Times New Roman" w:hAnsi="Times New Roman"/>
          <w:sz w:val="19"/>
          <w:szCs w:val="19"/>
          <w:u w:val="single" w:color="auto"/>
          <w:color w:val="auto"/>
        </w:rPr>
        <w:t>Term Loan A Commitments</w:t>
      </w:r>
      <w:r>
        <w:rPr>
          <w:rFonts w:ascii="Times New Roman" w:cs="Times New Roman" w:eastAsia="Times New Roman" w:hAnsi="Times New Roman"/>
          <w:sz w:val="19"/>
          <w:szCs w:val="19"/>
          <w:color w:val="auto"/>
        </w:rPr>
        <w:t>” means all such commitments collectively, which commitments equal $1,800,000,000 in the aggregate as of the Incremental Amendment No. 3 and Fifth Amendment Effective Date.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Facility</w:t>
      </w:r>
      <w:r>
        <w:rPr>
          <w:rFonts w:ascii="Times New Roman" w:cs="Times New Roman" w:eastAsia="Times New Roman" w:hAnsi="Times New Roman"/>
          <w:sz w:val="19"/>
          <w:szCs w:val="19"/>
          <w:color w:val="auto"/>
        </w:rPr>
        <w:t>” means the credit facility under this Agreement evidenced by the Term Loan A Commitments and the Term 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Lender</w:t>
      </w:r>
      <w:r>
        <w:rPr>
          <w:rFonts w:ascii="Times New Roman" w:cs="Times New Roman" w:eastAsia="Times New Roman" w:hAnsi="Times New Roman"/>
          <w:sz w:val="19"/>
          <w:szCs w:val="19"/>
          <w:color w:val="auto"/>
        </w:rPr>
        <w:t>” means any Lender which has a Term Loan A Commitment or is owed a Term A Loan (or a portion thereof).</w:t>
      </w:r>
    </w:p>
    <w:p>
      <w:pPr>
        <w:spacing w:after="0" w:line="24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A Maturity Date</w:t>
      </w:r>
      <w:r>
        <w:rPr>
          <w:rFonts w:ascii="Times New Roman" w:cs="Times New Roman" w:eastAsia="Times New Roman" w:hAnsi="Times New Roman"/>
          <w:sz w:val="20"/>
          <w:szCs w:val="20"/>
          <w:color w:val="auto"/>
        </w:rPr>
        <w:t>” means the date that is the fifth anniversary of the Incremental Amendment No. 3 and Fifth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Loans under the Term Facilities, collectively.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Maturity Date</w:t>
      </w:r>
      <w:r>
        <w:rPr>
          <w:rFonts w:ascii="Times New Roman" w:cs="Times New Roman" w:eastAsia="Times New Roman" w:hAnsi="Times New Roman"/>
          <w:sz w:val="20"/>
          <w:szCs w:val="20"/>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Percentage</w:t>
      </w:r>
      <w:r>
        <w:rPr>
          <w:rFonts w:ascii="Times New Roman" w:cs="Times New Roman" w:eastAsia="Times New Roman" w:hAnsi="Times New Roman"/>
          <w:sz w:val="20"/>
          <w:szCs w:val="20"/>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Pro Rata Share</w:t>
      </w:r>
      <w:r>
        <w:rPr>
          <w:rFonts w:ascii="Times New Roman" w:cs="Times New Roman" w:eastAsia="Times New Roman" w:hAnsi="Times New Roman"/>
          <w:sz w:val="20"/>
          <w:szCs w:val="20"/>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50" w:lineRule="auto"/>
        <w:tabs>
          <w:tab w:leader="none" w:pos="19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w:t>
      </w:r>
      <w:r>
        <w:rPr>
          <w:rFonts w:ascii="Times New Roman" w:cs="Times New Roman" w:eastAsia="Times New Roman" w:hAnsi="Times New Roman"/>
          <w:sz w:val="20"/>
          <w:szCs w:val="20"/>
          <w:color w:val="auto"/>
        </w:rPr>
        <w:t>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 a percentage equal to 0.10% per annum.</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rate per annum determined by the Administrative Agent as the forward-looking term rate based on SOFR.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Event</w:t>
      </w:r>
      <w:r>
        <w:rPr>
          <w:rFonts w:ascii="Times New Roman" w:cs="Times New Roman" w:eastAsia="Times New Roman" w:hAnsi="Times New Roman"/>
          <w:sz w:val="19"/>
          <w:szCs w:val="19"/>
          <w:color w:val="auto"/>
        </w:rPr>
        <w:t>” means, other than in respect of a Canadian Defined Benefit Plan, (i) a Reportable Event with respect to any Pension Plan; (ii) the withdrawal of any Credit Party, any of its Subsidiaries or any of their ERISA Affiliates from a Pension Plan during a plan year in which such Credit Party, Subsidiary or ERISA Affiliate was a “substantial employer” as defined in Section 4001(a)(2) of ERISA;</w:t>
      </w:r>
    </w:p>
    <w:p>
      <w:pPr>
        <w:spacing w:after="0" w:line="2" w:lineRule="exact"/>
        <w:rPr>
          <w:sz w:val="20"/>
          <w:szCs w:val="20"/>
          <w:color w:val="auto"/>
        </w:rPr>
      </w:pPr>
    </w:p>
    <w:p>
      <w:pPr>
        <w:jc w:val="both"/>
        <w:ind w:firstLine="8"/>
        <w:spacing w:after="0" w:line="261" w:lineRule="auto"/>
        <w:tabs>
          <w:tab w:leader="none" w:pos="34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w:t>
      </w:r>
    </w:p>
    <w:p>
      <w:pPr>
        <w:spacing w:after="0" w:line="1"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reorganization or insolvency with respect to a Multiemployer Plan pursuant to Section 4242 or 4245 of ERISA; (ix) 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 (xi) the filing pursuant to Section 412 of the Code or Section 302 of 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or in reorganization (within the meaning of Section 4245 or Section 4241 of ERISA) or in endangered or critical status (within the meaning of Section 432 of the Code or Section 305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the four consecutive Fiscal Quarters of Crown Holdings then last ended.</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Canadian Revolving Commitment</w:t>
      </w:r>
      <w:r>
        <w:rPr>
          <w:rFonts w:ascii="Times New Roman" w:cs="Times New Roman" w:eastAsia="Times New Roman" w:hAnsi="Times New Roman"/>
          <w:sz w:val="20"/>
          <w:szCs w:val="20"/>
          <w:color w:val="auto"/>
        </w:rPr>
        <w:t>” means, at the time any determination thereof is made, the sum of the respective Available Canadian Revolving Commitments of the Lenders at such time.</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Dollar Revolving Commitment</w:t>
      </w:r>
      <w:r>
        <w:rPr>
          <w:rFonts w:ascii="Times New Roman" w:cs="Times New Roman" w:eastAsia="Times New Roman" w:hAnsi="Times New Roman"/>
          <w:sz w:val="20"/>
          <w:szCs w:val="20"/>
          <w:color w:val="auto"/>
        </w:rPr>
        <w:t>” means, at the time any determination thereof is made, the sum of the respective Available Dollar Revolving Commitments of the Lenders at such time.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Multicurrency Revolving Commitment</w:t>
      </w:r>
      <w:r>
        <w:rPr>
          <w:rFonts w:ascii="Times New Roman" w:cs="Times New Roman" w:eastAsia="Times New Roman" w:hAnsi="Times New Roman"/>
          <w:sz w:val="20"/>
          <w:szCs w:val="20"/>
          <w:color w:val="auto"/>
        </w:rPr>
        <w:t>” means, at the time any determination thereof is made, the sum of the respective Available Multicurrency Revolving Commitments of the Lenders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206" w:name="page207"/>
    <w:bookmarkEnd w:id="206"/>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Canadian Revolving Commitment</w:t>
      </w:r>
      <w:r>
        <w:rPr>
          <w:rFonts w:ascii="Times New Roman" w:cs="Times New Roman" w:eastAsia="Times New Roman" w:hAnsi="Times New Roman"/>
          <w:sz w:val="20"/>
          <w:szCs w:val="20"/>
          <w:color w:val="auto"/>
        </w:rPr>
        <w:t>” means, at any time, the sum of the Canadian Revolving Commitments of each of the Lenders at such time.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w:t>
      </w:r>
      <w:r>
        <w:rPr>
          <w:rFonts w:ascii="Times New Roman" w:cs="Times New Roman" w:eastAsia="Times New Roman" w:hAnsi="Times New Roman"/>
          <w:sz w:val="20"/>
          <w:szCs w:val="20"/>
          <w:color w:val="auto"/>
        </w:rPr>
        <w:t>” means, at the time any determination thereof is made, the sum of the Term Commitments, Canadian Revolving Commitments and the Revolving Commitments of each of the Lenders at such time.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Dollar Revolving Commitment</w:t>
      </w:r>
      <w:r>
        <w:rPr>
          <w:rFonts w:ascii="Times New Roman" w:cs="Times New Roman" w:eastAsia="Times New Roman" w:hAnsi="Times New Roman"/>
          <w:sz w:val="20"/>
          <w:szCs w:val="20"/>
          <w:color w:val="auto"/>
        </w:rPr>
        <w:t>” means, at any time, the sum of the Dollar Revolving Commitments of each of the Lenders at such time.</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First Lien Leverage Ratio</w:t>
      </w:r>
      <w:r>
        <w:rPr>
          <w:rFonts w:ascii="Times New Roman" w:cs="Times New Roman" w:eastAsia="Times New Roman" w:hAnsi="Times New Roman"/>
          <w:sz w:val="20"/>
          <w:szCs w:val="20"/>
          <w:color w:val="auto"/>
        </w:rPr>
        <w:t>” means, for any Test Period, the ratio of (a) Net Indebtedness of Crown Holdings and its Subsidiaries (exclusive of Indebtedness under any Permitted Receivables or Factoring Financing) as of the last day of such Test Period less</w:t>
      </w:r>
    </w:p>
    <w:p>
      <w:pPr>
        <w:spacing w:after="0" w:line="1" w:lineRule="exact"/>
        <w:rPr>
          <w:sz w:val="20"/>
          <w:szCs w:val="20"/>
          <w:color w:val="auto"/>
        </w:rPr>
      </w:pPr>
    </w:p>
    <w:p>
      <w:pPr>
        <w:jc w:val="both"/>
        <w:ind w:firstLine="8"/>
        <w:spacing w:after="0" w:line="253" w:lineRule="auto"/>
        <w:tabs>
          <w:tab w:leader="none" w:pos="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Multicurrency Revolving Commitment</w:t>
      </w:r>
      <w:r>
        <w:rPr>
          <w:rFonts w:ascii="Times New Roman" w:cs="Times New Roman" w:eastAsia="Times New Roman" w:hAnsi="Times New Roman"/>
          <w:sz w:val="20"/>
          <w:szCs w:val="20"/>
          <w:color w:val="auto"/>
        </w:rPr>
        <w:t>” means, at any time, the sum of the Multicurrency Revolving Commitment of each of the Lenders at such time.</w:t>
      </w:r>
    </w:p>
    <w:p>
      <w:pPr>
        <w:spacing w:after="0" w:line="16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“Total Recordable Incidents Rate</w:t>
      </w:r>
      <w:r>
        <w:rPr>
          <w:rFonts w:ascii="Times New Roman" w:cs="Times New Roman" w:eastAsia="Times New Roman" w:hAnsi="Times New Roman"/>
          <w:sz w:val="20"/>
          <w:szCs w:val="20"/>
          <w:u w:val="single" w:color="auto"/>
          <w:color w:val="auto"/>
        </w:rPr>
        <w:t>” or “</w:t>
      </w:r>
      <w:r>
        <w:rPr>
          <w:rFonts w:ascii="Times New Roman" w:cs="Times New Roman" w:eastAsia="Times New Roman" w:hAnsi="Times New Roman"/>
          <w:sz w:val="20"/>
          <w:szCs w:val="20"/>
          <w:color w:val="auto"/>
        </w:rPr>
        <w:t>TRIR” means, for any Reference Year, the sum of Crown Holdings and its Subsidiaries’ total number of recordable work-related safety incidents, multiplied by 200,000, then divided by the total number of hours worked in a year, and third-party verified to a level of limited assurance.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Commitment</w:t>
      </w:r>
      <w:r>
        <w:rPr>
          <w:rFonts w:ascii="Times New Roman" w:cs="Times New Roman" w:eastAsia="Times New Roman" w:hAnsi="Times New Roman"/>
          <w:sz w:val="20"/>
          <w:szCs w:val="20"/>
          <w:color w:val="auto"/>
        </w:rPr>
        <w:t>” means, at any time, the sum of the Revolving Commitments of each of the Lenders at such time.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Secured Leverage Ratio</w:t>
      </w:r>
      <w:r>
        <w:rPr>
          <w:rFonts w:ascii="Times New Roman" w:cs="Times New Roman" w:eastAsia="Times New Roman" w:hAnsi="Times New Roman"/>
          <w:sz w:val="20"/>
          <w:szCs w:val="20"/>
          <w:color w:val="auto"/>
        </w:rPr>
        <w:t>” means, for any Test Period, the ratio of (a) Net Indebtedness that is secured by a Lien on any asset or property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Water Usage</w:t>
      </w:r>
      <w:r>
        <w:rPr>
          <w:rFonts w:ascii="Times New Roman" w:cs="Times New Roman" w:eastAsia="Times New Roman" w:hAnsi="Times New Roman"/>
          <w:sz w:val="20"/>
          <w:szCs w:val="20"/>
          <w:color w:val="auto"/>
        </w:rPr>
        <w:t>” means, for any Reference Year, the sum of Crown Holdings and its Subsidiaries’ total water withdrawn for use in operations from all water sources across all areas of operation, as measured in megaliters of water withdrawn and third-party verified to a level of limited assurance.</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Water Usage Applicable Commitment Fee Adjustment Amount</w:t>
      </w:r>
      <w:r>
        <w:rPr>
          <w:rFonts w:ascii="Times New Roman" w:cs="Times New Roman" w:eastAsia="Times New Roman" w:hAnsi="Times New Roman"/>
          <w:sz w:val="20"/>
          <w:szCs w:val="20"/>
          <w:color w:val="auto"/>
        </w:rPr>
        <w:t>” means, subject to the provisions of Section 2.17, with respect to any period between Sustainability Pricing Adjustment Dates, as determined for the applicable Reference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207" w:name="page208"/>
    <w:bookmarkEnd w:id="207"/>
    <w:p>
      <w:pPr>
        <w:ind w:left="1300" w:hanging="320"/>
        <w:spacing w:after="0" w:line="283" w:lineRule="auto"/>
        <w:tabs>
          <w:tab w:leader="none" w:pos="129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0.0025%, if the Total Water Usage for the applicable Reference Year as set forth in the Sustainability Certificate is more than the Total Water Usage Threshold for such Reference Year;</w:t>
      </w:r>
    </w:p>
    <w:p>
      <w:pPr>
        <w:spacing w:after="0" w:line="146"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0.0000%, if the Total Water Usage for the applicable Reference Year as set forth in the Sustainability Certificate is more than the Total Water Usage Target but less than or equal to the Total Water Usage Threshold for such Reference Year; and</w:t>
      </w:r>
    </w:p>
    <w:p>
      <w:pPr>
        <w:spacing w:after="0" w:line="146" w:lineRule="exact"/>
        <w:rPr>
          <w:rFonts w:ascii="Times New Roman" w:cs="Times New Roman" w:eastAsia="Times New Roman" w:hAnsi="Times New Roman"/>
          <w:sz w:val="20"/>
          <w:szCs w:val="20"/>
          <w:color w:val="auto"/>
        </w:rPr>
      </w:pPr>
    </w:p>
    <w:p>
      <w:pPr>
        <w:ind w:left="1300" w:hanging="320"/>
        <w:spacing w:after="0" w:line="283" w:lineRule="auto"/>
        <w:tabs>
          <w:tab w:leader="none" w:pos="129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0.0025%, if the Total Water Usage for the applicable Reference Year as set forth in the Sustainability Certificate is less than or equal to the Total Water Usage Target for such Reference Year.</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Water Usage Applicable Margin Adjustment Amount</w:t>
      </w:r>
      <w:r>
        <w:rPr>
          <w:rFonts w:ascii="Times New Roman" w:cs="Times New Roman" w:eastAsia="Times New Roman" w:hAnsi="Times New Roman"/>
          <w:sz w:val="20"/>
          <w:szCs w:val="20"/>
          <w:color w:val="auto"/>
        </w:rPr>
        <w:t>” means, subject to the provisions of Section 2.17, with respect to any period between Sustainability Pricing Adjustment Dates, as determined for the applicable Reference Year:</w:t>
      </w:r>
    </w:p>
    <w:p>
      <w:pPr>
        <w:spacing w:after="0" w:line="173" w:lineRule="exact"/>
        <w:rPr>
          <w:sz w:val="20"/>
          <w:szCs w:val="20"/>
          <w:color w:val="auto"/>
        </w:rPr>
      </w:pPr>
    </w:p>
    <w:p>
      <w:pPr>
        <w:ind w:left="1300" w:hanging="320"/>
        <w:spacing w:after="0" w:line="269" w:lineRule="auto"/>
        <w:tabs>
          <w:tab w:leader="none" w:pos="12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0.0125%, if the Total Water Usage for the applicable Reference Year as set forth in the Sustainability Certificate is more than the Total Water Usage Threshold for such Reference Year;</w:t>
      </w:r>
    </w:p>
    <w:p>
      <w:pPr>
        <w:spacing w:after="0" w:line="172"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0.0000%, if the Total Water Usage for the applicable Reference Year as set forth in the Sustainability Certificate is more than the Total Water Usage Target but less than or equal to the Total Water Usage Threshold for such Reference Year; and</w:t>
      </w:r>
    </w:p>
    <w:p>
      <w:pPr>
        <w:spacing w:after="0" w:line="146" w:lineRule="exact"/>
        <w:rPr>
          <w:rFonts w:ascii="Times New Roman" w:cs="Times New Roman" w:eastAsia="Times New Roman" w:hAnsi="Times New Roman"/>
          <w:sz w:val="20"/>
          <w:szCs w:val="20"/>
          <w:color w:val="auto"/>
        </w:rPr>
      </w:pPr>
    </w:p>
    <w:p>
      <w:pPr>
        <w:ind w:left="1300" w:hanging="320"/>
        <w:spacing w:after="0" w:line="283" w:lineRule="auto"/>
        <w:tabs>
          <w:tab w:leader="none" w:pos="12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0.0125%, if the Total Water Usage for the applicable Reference Year as set forth in the Sustainability Certificate is less than or equal to the Total Water Usage Target for such Reference Year.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Water Usage Target</w:t>
      </w:r>
      <w:r>
        <w:rPr>
          <w:rFonts w:ascii="Times New Roman" w:cs="Times New Roman" w:eastAsia="Times New Roman" w:hAnsi="Times New Roman"/>
          <w:sz w:val="20"/>
          <w:szCs w:val="20"/>
          <w:color w:val="auto"/>
        </w:rPr>
        <w:t>” means, with respect to any Reference Year, the Total Water Usage Target for such Reference Year as set forth in the Sustainability Table.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Water Usage Threshold</w:t>
      </w:r>
      <w:r>
        <w:rPr>
          <w:rFonts w:ascii="Times New Roman" w:cs="Times New Roman" w:eastAsia="Times New Roman" w:hAnsi="Times New Roman"/>
          <w:sz w:val="20"/>
          <w:szCs w:val="20"/>
          <w:color w:val="auto"/>
        </w:rPr>
        <w:t>” means, with respect to any Reference Year, the Total Water Usage Threshold for such Reference Year, below which point a positive Total Water Usage Applicable Margin Adjustment Amount and Total Water Usage Commitment Fee Adjustment Amount shall be made, as set forth in the Sustainability Table.</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and includes (i) each of the Credit Events occurring on the Incremental Amendment No. 3 and Fifth Amendment Effective Date and (ii) the payment of fees and expenses in connection with the foregoing.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TRIR Applicable Commitment Fee Adjustment Amount</w:t>
      </w:r>
      <w:r>
        <w:rPr>
          <w:rFonts w:ascii="Times New Roman" w:cs="Times New Roman" w:eastAsia="Times New Roman" w:hAnsi="Times New Roman"/>
          <w:sz w:val="20"/>
          <w:szCs w:val="20"/>
          <w:color w:val="auto"/>
        </w:rPr>
        <w:t>” means, subject to the provisions of Section 2.17, with respect to any period between Sustainability Pricing Adjustment Dates, as determined for the applicable Reference Year:</w:t>
      </w:r>
    </w:p>
    <w:p>
      <w:pPr>
        <w:spacing w:after="0" w:line="146" w:lineRule="exact"/>
        <w:rPr>
          <w:sz w:val="20"/>
          <w:szCs w:val="20"/>
          <w:color w:val="auto"/>
        </w:rPr>
      </w:pPr>
    </w:p>
    <w:p>
      <w:pPr>
        <w:ind w:left="1300" w:hanging="320"/>
        <w:spacing w:after="0" w:line="283" w:lineRule="auto"/>
        <w:tabs>
          <w:tab w:leader="none" w:pos="12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0.0025%, if the TRIR for the applicable Reference Year as set forth in the Sustainability Certificate is more than the TRIR Threshold for such Reference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208" w:name="page209"/>
    <w:bookmarkEnd w:id="208"/>
    <w:p>
      <w:pPr>
        <w:ind w:left="1300" w:hanging="320"/>
        <w:spacing w:after="0" w:line="283" w:lineRule="auto"/>
        <w:tabs>
          <w:tab w:leader="none" w:pos="128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0.0000%, if the TRIR for the applicable Reference Year as set forth in the Sustainability Certificate is more than the TRIR Target but less than or equal to the TRIR Threshold for such Reference Year; and</w:t>
      </w:r>
    </w:p>
    <w:p>
      <w:pPr>
        <w:spacing w:after="0" w:line="146"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9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0.0025%, if the TRIR for the applicable Reference Year as set forth in the Sustainability Certificate is less than or equal to the TRIR Target for such Reference Year.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TRIR Applicable Margin Adjustment Amount</w:t>
      </w:r>
      <w:r>
        <w:rPr>
          <w:rFonts w:ascii="Times New Roman" w:cs="Times New Roman" w:eastAsia="Times New Roman" w:hAnsi="Times New Roman"/>
          <w:sz w:val="19"/>
          <w:szCs w:val="19"/>
          <w:color w:val="auto"/>
        </w:rPr>
        <w:t>” means, subject to the provisions of Section 2.17, with respect to any period between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Sustainability Pricing Adjustment Dates, as determined for the applicable Reference Year:</w:t>
      </w:r>
    </w:p>
    <w:p>
      <w:pPr>
        <w:spacing w:after="0" w:line="214" w:lineRule="exact"/>
        <w:rPr>
          <w:sz w:val="20"/>
          <w:szCs w:val="20"/>
          <w:color w:val="auto"/>
        </w:rPr>
      </w:pPr>
    </w:p>
    <w:p>
      <w:pPr>
        <w:ind w:left="1300" w:hanging="320"/>
        <w:spacing w:after="0" w:line="269" w:lineRule="auto"/>
        <w:tabs>
          <w:tab w:leader="none" w:pos="12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0.0125%, if the TRIR for the applicable Reference Year as set forth in the Sustainability Certificate is more than the TRIR Threshold for such Reference Year;</w:t>
      </w:r>
    </w:p>
    <w:p>
      <w:pPr>
        <w:spacing w:after="0" w:line="172"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0.0000%, if the TRIR for the applicable Reference Year as set forth in the Sustainability Certificate is more than the TRIR Target but less than or equal to the TRIR Threshold for such Reference Year; and</w:t>
      </w:r>
    </w:p>
    <w:p>
      <w:pPr>
        <w:spacing w:after="0" w:line="172"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0.0125%, if the TRIR for the applicable Reference Year as set forth in the Sustainability Certificate is less than or equal to the TRIR Target for such Reference Year.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TRIR Target</w:t>
      </w:r>
      <w:r>
        <w:rPr>
          <w:rFonts w:ascii="Times New Roman" w:cs="Times New Roman" w:eastAsia="Times New Roman" w:hAnsi="Times New Roman"/>
          <w:sz w:val="19"/>
          <w:szCs w:val="19"/>
          <w:color w:val="auto"/>
        </w:rPr>
        <w:t>” means, with respect to any Reference Year, the TRIR Target for such Reference Year as set forth in the Sustainability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w:t>
      </w:r>
    </w:p>
    <w:p>
      <w:pPr>
        <w:spacing w:after="0" w:line="19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TRIR Threshold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with respect to any Reference Year, the TRIR Threshold for such Reference Year, above which point a positive TRIR Applicable Margin Adjustment Amount and TRIR Commitment Fee Adjustment Amount shall be made, as set forth in the Sustainability Table.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any type of Loan, namely, a SOFR Loan, Base Rate Loan, Canadian Prime Rate Loan, B/A Loan, Daily Simple RFR Loan or Eurocurrency Loan. For purposes hereof, the term “Rate” shall include Adjusted Term SOFR, the Eurocurrency Rate, the Base Rate, the Canadian Prime Rate, and the Discount Rate applicable to B/A and B/A Equivalent Loans.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from time to time in the relevant jurisdictions;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209" w:name="page210"/>
    <w:bookmarkEnd w:id="209"/>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Administrative Agent</w:t>
      </w:r>
      <w:r>
        <w:rPr>
          <w:rFonts w:ascii="Times New Roman" w:cs="Times New Roman" w:eastAsia="Times New Roman" w:hAnsi="Times New Roman"/>
          <w:sz w:val="20"/>
          <w:szCs w:val="20"/>
          <w:color w:val="auto"/>
        </w:rPr>
        <w:t>” has the meaning assigned to that term in the preamble to this Agreement and any successor U.K.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in such capacity and shall include, where the context requires, the Euro Collateral Agent.</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Borrowers</w:t>
      </w:r>
      <w:r>
        <w:rPr>
          <w:rFonts w:ascii="Times New Roman" w:cs="Times New Roman" w:eastAsia="Times New Roman" w:hAnsi="Times New Roman"/>
          <w:sz w:val="20"/>
          <w:szCs w:val="20"/>
          <w:color w:val="auto"/>
        </w:rPr>
        <w:t xml:space="preserve">” means each Non-U.S. Subsidiary of Crown Holdings organized under the laws of England, as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Non-U.S. Subsidiary of Crown Holdings organized under the laws of England and requested by Crown Holdings to be a U.K. Borrower, subject to the approval of Administrative Agent which shall not be unreasonably withheld or delayed.</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Unasserted Contingent Obligations</w:t>
      </w:r>
      <w:r>
        <w:rPr>
          <w:rFonts w:ascii="Times New Roman" w:cs="Times New Roman" w:eastAsia="Times New Roman" w:hAnsi="Times New Roman"/>
          <w:sz w:val="20"/>
          <w:szCs w:val="20"/>
          <w:color w:val="auto"/>
        </w:rPr>
        <w:t>” means all (i) unasserted contingent indemnification obligations not then due and payable and (ii) unasserted expense reimbursement obligations not then due and payable.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Uncommitted Short Term Lines of Credit</w:t>
      </w:r>
      <w:r>
        <w:rPr>
          <w:rFonts w:ascii="Times New Roman" w:cs="Times New Roman" w:eastAsia="Times New Roman" w:hAnsi="Times New Roman"/>
          <w:sz w:val="20"/>
          <w:szCs w:val="20"/>
          <w:color w:val="auto"/>
        </w:rPr>
        <w: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Unmatured Event of Default</w:t>
      </w:r>
      <w:r>
        <w:rPr>
          <w:rFonts w:ascii="Times New Roman" w:cs="Times New Roman" w:eastAsia="Times New Roman" w:hAnsi="Times New Roman"/>
          <w:sz w:val="20"/>
          <w:szCs w:val="20"/>
          <w:color w:val="auto"/>
        </w:rPr>
        <w:t>” means an event, act or occurrence which with the giving of notice or the lapse of time (or both) would become an Event of Default.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Unreallocated Portion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2.12(a)(ii)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Entity</w:t>
      </w:r>
      <w:r>
        <w:rPr>
          <w:rFonts w:ascii="Times New Roman" w:cs="Times New Roman" w:eastAsia="Times New Roman" w:hAnsi="Times New Roman"/>
          <w:sz w:val="20"/>
          <w:szCs w:val="20"/>
          <w:color w:val="auto"/>
        </w:rPr>
        <w:t xml:space="preserve">” means (i) prior to a redesignation by Crown Holdings pursuant to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each Person set forth on </w:t>
      </w:r>
      <w:r>
        <w:rPr>
          <w:rFonts w:ascii="Times New Roman" w:cs="Times New Roman" w:eastAsia="Times New Roman" w:hAnsi="Times New Roman"/>
          <w:sz w:val="20"/>
          <w:szCs w:val="20"/>
          <w:u w:val="single" w:color="auto"/>
          <w:color w:val="auto"/>
        </w:rPr>
        <w:t>Schedule 1.1(e)</w:t>
      </w:r>
      <w:r>
        <w:rPr>
          <w:rFonts w:ascii="Times New Roman" w:cs="Times New Roman" w:eastAsia="Times New Roman" w:hAnsi="Times New Roman"/>
          <w:sz w:val="20"/>
          <w:szCs w:val="20"/>
          <w:color w:val="auto"/>
        </w:rPr>
        <w:t xml:space="preserve"> hereto, (ii) prior to a redesignation by Crown Holdings pursuant to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each Person from time to time designated as an Unrestricted Entity by Crown Holdings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after giving effect to such redesignation,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and (iii) each successor of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xml:space="preserve">” means collectively and individually, as the context may require, each of Crown Americas LLC and any additional U.S. Subsidiary that (A) executes a U.S. Borrower Joinder Agreement substantially in the form of </w:t>
      </w:r>
      <w:r>
        <w:rPr>
          <w:rFonts w:ascii="Times New Roman" w:cs="Times New Roman" w:eastAsia="Times New Roman" w:hAnsi="Times New Roman"/>
          <w:sz w:val="20"/>
          <w:szCs w:val="20"/>
          <w:u w:val="single" w:color="auto"/>
          <w:color w:val="auto"/>
        </w:rPr>
        <w:t>Exhibit 13</w:t>
      </w:r>
      <w:r>
        <w:rPr>
          <w:rFonts w:ascii="Times New Roman" w:cs="Times New Roman" w:eastAsia="Times New Roman" w:hAnsi="Times New Roman"/>
          <w:sz w:val="20"/>
          <w:szCs w:val="20"/>
          <w:color w:val="auto"/>
        </w:rPr>
        <w:t xml:space="preserve"> (or such other form as mutually agreed by Crown Holdings and the Administrative Agent) and (B) delivers to the Administrative Agent, to the extent not previously delivered, (1) the Additional Security Documents required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20"/>
          <w:szCs w:val="20"/>
          <w:u w:val="single" w:color="auto"/>
          <w:color w:val="auto"/>
        </w:rPr>
        <w:t>Section 5.1(f)(ii)</w:t>
      </w:r>
      <w:r>
        <w:rPr>
          <w:rFonts w:ascii="Times New Roman" w:cs="Times New Roman" w:eastAsia="Times New Roman" w:hAnsi="Times New Roman"/>
          <w:sz w:val="20"/>
          <w:szCs w:val="20"/>
          <w:color w:val="auto"/>
        </w:rPr>
        <w:t>. Any additional U.S. Subsidiary (other than Crown Americas LLC) may be removed as a U.S. Borrower upon (i) execution and delivery by Crown Americas LLC of a written request providing for such removal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210" w:name="page211"/>
    <w:bookmarkEnd w:id="210"/>
    <w:p>
      <w:pPr>
        <w:jc w:val="both"/>
        <w:ind w:firstLine="8"/>
        <w:spacing w:after="0" w:line="253" w:lineRule="auto"/>
        <w:tabs>
          <w:tab w:leader="none" w:pos="31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 previously delivered, satisfaction of the conditions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of the Credit Agreement, if applicable. For purposes of the definition of “Existing Non-U.S. Facilities”, the definition of “Parent Guarantor”, the definition of “Senior Notes 2023”, the definition of “Senior Notes 2026”, the definition of “Senior Notes 2026-2”,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8.1(a)(iii)</w:t>
      </w:r>
      <w:r>
        <w:rPr>
          <w:rFonts w:ascii="Times New Roman" w:cs="Times New Roman" w:eastAsia="Times New Roman" w:hAnsi="Times New Roman"/>
          <w:sz w:val="20"/>
          <w:szCs w:val="20"/>
          <w:color w:val="auto"/>
        </w:rPr>
        <w:t>, “U.S. Borrower” shall be defined to include only Crown Americas LLC and no other entity. Each reference to the “U.S. Borrower” in the Loan Documents shall be deemed to refer to this definition.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w:t>
      </w:r>
      <w:r>
        <w:rPr>
          <w:rFonts w:ascii="Times New Roman" w:cs="Times New Roman" w:eastAsia="Times New Roman" w:hAnsi="Times New Roman"/>
          <w:sz w:val="20"/>
          <w:szCs w:val="20"/>
          <w:color w:val="auto"/>
        </w:rPr>
        <w:t>” means all Collateral securing the U.S. Obligations, the Canadian Obligations and the Euro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 Agent</w:t>
      </w:r>
      <w:r>
        <w:rPr>
          <w:rFonts w:ascii="Times New Roman" w:cs="Times New Roman" w:eastAsia="Times New Roman" w:hAnsi="Times New Roman"/>
          <w:sz w:val="20"/>
          <w:szCs w:val="20"/>
          <w:color w:val="auto"/>
        </w:rPr>
        <w:t>” means DB, in its capacity as collateral agent under the U.S. Security Documents.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Credit Parties</w:t>
      </w:r>
      <w:r>
        <w:rPr>
          <w:rFonts w:ascii="Times New Roman" w:cs="Times New Roman" w:eastAsia="Times New Roman" w:hAnsi="Times New Roman"/>
          <w:sz w:val="20"/>
          <w:szCs w:val="20"/>
          <w:color w:val="auto"/>
        </w:rPr>
        <w:t>” means Crown Holdings and its U.S. Subsidiaries (other than any Excluded Subsidiary).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Guarantee Agreement</w:t>
      </w:r>
      <w:r>
        <w:rPr>
          <w:rFonts w:ascii="Times New Roman" w:cs="Times New Roman" w:eastAsia="Times New Roman" w:hAnsi="Times New Roman"/>
          <w:sz w:val="20"/>
          <w:szCs w:val="20"/>
          <w:color w:val="auto"/>
        </w:rPr>
        <w:t>” means that certain U.S. Guarantee Agreement, dated as of December 19, 2013 as amended, restated, amended and restated, supplemented or otherwise modified from time to time, among the Guarantors party thereto, U.S. Collateral Agent and the Administrative Agent.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Indemnity, Subrogation and Contribution Agreement</w:t>
      </w:r>
      <w:r>
        <w:rPr>
          <w:rFonts w:ascii="Times New Roman" w:cs="Times New Roman" w:eastAsia="Times New Roman" w:hAnsi="Times New Roman"/>
          <w:sz w:val="20"/>
          <w:szCs w:val="20"/>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Obligations</w:t>
      </w:r>
      <w:r>
        <w:rPr>
          <w:rFonts w:ascii="Times New Roman" w:cs="Times New Roman" w:eastAsia="Times New Roman" w:hAnsi="Times New Roman"/>
          <w:sz w:val="20"/>
          <w:szCs w:val="20"/>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and all other obligations and liabilities of U.S. Borrower or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211" w:name="page212"/>
    <w:bookmarkEnd w:id="211"/>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Pledge Agreement</w:t>
      </w:r>
      <w:r>
        <w:rPr>
          <w:rFonts w:ascii="Times New Roman" w:cs="Times New Roman" w:eastAsia="Times New Roman" w:hAnsi="Times New Roman"/>
          <w:sz w:val="20"/>
          <w:szCs w:val="20"/>
          <w:color w:val="auto"/>
        </w:rPr>
        <w:t>” means the U.S. Pledge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means the U.S. Security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Documents</w:t>
      </w:r>
      <w:r>
        <w:rPr>
          <w:rFonts w:ascii="Times New Roman" w:cs="Times New Roman" w:eastAsia="Times New Roman" w:hAnsi="Times New Roman"/>
          <w:sz w:val="20"/>
          <w:szCs w:val="20"/>
          <w:color w:val="auto"/>
        </w:rPr>
        <w:t xml:space="preserve">” means the U.S. Security Agreement, the U.S. Pledge Agreement, each Receivables Intercreditor Agreement governed by U.S. law, the Perfection Certificate executed by the U.S. Credit Parties and each other security agreement or other instrument or document executed and delivered by any U.S. Borrower or U.S. Subsidiary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to secure any of the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w:t>
      </w:r>
      <w:r>
        <w:rPr>
          <w:rFonts w:ascii="Times New Roman" w:cs="Times New Roman" w:eastAsia="Times New Roman" w:hAnsi="Times New Roman"/>
          <w:sz w:val="20"/>
          <w:szCs w:val="20"/>
          <w:color w:val="auto"/>
        </w:rPr>
        <w:t>” means any Subsidiary of Crown Holdings that is not a Non-U.S. Subsidiary of Crown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4.7(d)(ii)(B)(III)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12.8(c)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Participant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Securities</w:t>
      </w:r>
      <w:r>
        <w:rPr>
          <w:rFonts w:ascii="Times New Roman" w:cs="Times New Roman" w:eastAsia="Times New Roman" w:hAnsi="Times New Roman"/>
          <w:sz w:val="20"/>
          <w:szCs w:val="20"/>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Indebtedness at any date, the number of years obtained by dividing</w:t>
      </w:r>
    </w:p>
    <w:p>
      <w:pPr>
        <w:spacing w:after="0" w:line="40" w:lineRule="exact"/>
        <w:rPr>
          <w:sz w:val="20"/>
          <w:szCs w:val="20"/>
          <w:color w:val="auto"/>
        </w:rPr>
      </w:pPr>
    </w:p>
    <w:p>
      <w:pPr>
        <w:jc w:val="both"/>
        <w:ind w:firstLine="8"/>
        <w:spacing w:after="0" w:line="253" w:lineRule="auto"/>
        <w:tabs>
          <w:tab w:leader="none" w:pos="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Welfare Plan</w:t>
      </w:r>
      <w:r>
        <w:rPr>
          <w:rFonts w:ascii="Times New Roman" w:cs="Times New Roman" w:eastAsia="Times New Roman" w:hAnsi="Times New Roman"/>
          <w:sz w:val="20"/>
          <w:szCs w:val="20"/>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with respect to any Person, any Subsidiary of such Person, all of the outstanding shares of Capital Stock of which (other than qualifying shares required to be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t>by directors) are at the time owned directly or indirectly by such Person and/or one or more Wholly-Owned Subsidiaries of such Person.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written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in writing</w:t>
      </w:r>
      <w:r>
        <w:rPr>
          <w:rFonts w:ascii="Times New Roman" w:cs="Times New Roman" w:eastAsia="Times New Roman" w:hAnsi="Times New Roman"/>
          <w:sz w:val="20"/>
          <w:szCs w:val="20"/>
          <w:color w:val="auto"/>
        </w:rPr>
        <w:t>” means any form of written communication or a communication by means of facsimile device or other electronic image scan transmission (e.g., “pdf” via email).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WURA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Winding-Up and Restructuring Act</w:t>
      </w:r>
      <w:r>
        <w:rPr>
          <w:rFonts w:ascii="Times New Roman" w:cs="Times New Roman" w:eastAsia="Times New Roman" w:hAnsi="Times New Roman"/>
          <w:sz w:val="20"/>
          <w:szCs w:val="20"/>
          <w:color w:val="auto"/>
        </w:rPr>
        <w:t xml:space="preserve"> (Canada), as amended.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I.2</w:t>
      </w:r>
      <w:r>
        <w:rPr>
          <w:sz w:val="20"/>
          <w:szCs w:val="20"/>
          <w:color w:val="auto"/>
        </w:rPr>
        <w:tab/>
      </w:r>
      <w:r>
        <w:rPr>
          <w:rFonts w:ascii="Times New Roman" w:cs="Times New Roman" w:eastAsia="Times New Roman" w:hAnsi="Times New Roman"/>
          <w:sz w:val="20"/>
          <w:szCs w:val="20"/>
          <w:u w:val="single" w:color="auto"/>
          <w:color w:val="auto"/>
        </w:rPr>
        <w:t>Terms Generally; Financial Statements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56"/>
        <w:spacing w:after="0" w:line="266" w:lineRule="auto"/>
        <w:tabs>
          <w:tab w:leader="none" w:pos="1286"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Except as expressly provided herein, the financial statements required to be delivered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whenever a reference is made to a determination which is required to be made on a consolidated basis (whether in accordance with GAAP or otherwise) for Crown Holdings and its Subsidiaries, such determination shall be made as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213" w:name="page214"/>
    <w:bookmarkEnd w:id="21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all Unrestricted Entities were wholly-owned by a Person not an Affiliate of Crown Holdings. In the event that any changes in generally accepted accounting principles in the U.S. occur after the Effective Date or the application thereof from that used in the preparation of the financial statements referred to in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hereof occur after the Effective Date and such changes or such application result in a material variation in the method of calculation of financial covenants or other terms of this Agreement, then Crown Holdings, 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to the contrary above or in the definitions of Capitalized Lease, Capitalized Lease Obligations, Consolidated Interest Expense or any other term or provision in this Agreement or any other Loan Document, in the event of a change under GAAP (or the application thereof) requiring all or certain Operating Leases to be capitalized, only those leases that would result in a Capitalized Lease or Capitalized Lease Obligation on December 15, 2018 (assuming for purposes hereof that they were in existence on December 15, 2018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201" w:lineRule="exact"/>
        <w:rPr>
          <w:sz w:val="20"/>
          <w:szCs w:val="20"/>
          <w:color w:val="auto"/>
        </w:rPr>
      </w:pPr>
    </w:p>
    <w:p>
      <w:pPr>
        <w:jc w:val="both"/>
        <w:ind w:firstLine="656"/>
        <w:spacing w:after="0" w:line="253"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computing ratios in the financial covenant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of the end of any Test Period, all components of such ratios for the applicable Test Period shall include or exclude, as the case may be, without duplication, such components of such ratios attributable to any business or assets 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the limitations, levels and baskets in </w:t>
      </w:r>
      <w:r>
        <w:rPr>
          <w:rFonts w:ascii="Times New Roman" w:cs="Times New Roman" w:eastAsia="Times New Roman" w:hAnsi="Times New Roman"/>
          <w:sz w:val="20"/>
          <w:szCs w:val="20"/>
          <w:u w:val="single" w:color="auto"/>
          <w:color w:val="auto"/>
        </w:rPr>
        <w:t>Articles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stated in Dollars, non-Dollar currencies will be converted into Dollars at the time of incurrence or receipt, as the case may be, using the methodology set forth in the definition of “Dollar Equivalent”.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this Agreement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the Cross-Border Mergers Directive (2005/56/EC) (as codified) as implemented in the United Kingdom and Ireland.</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for purposes of the limitations, levels and baskets in </w:t>
      </w:r>
      <w:r>
        <w:rPr>
          <w:rFonts w:ascii="Times New Roman" w:cs="Times New Roman" w:eastAsia="Times New Roman" w:hAnsi="Times New Roman"/>
          <w:sz w:val="20"/>
          <w:szCs w:val="20"/>
          <w:u w:val="single" w:color="auto"/>
          <w:color w:val="auto"/>
        </w:rPr>
        <w:t>Articles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214" w:name="page215"/>
    <w:bookmarkEnd w:id="214"/>
    <w:p>
      <w:pPr>
        <w:jc w:val="both"/>
        <w:spacing w:after="0" w:line="252" w:lineRule="auto"/>
        <w:rPr>
          <w:sz w:val="20"/>
          <w:szCs w:val="20"/>
          <w:color w:val="auto"/>
        </w:rPr>
      </w:pPr>
      <w:r>
        <w:rPr>
          <w:rFonts w:ascii="Times New Roman" w:cs="Times New Roman" w:eastAsia="Times New Roman" w:hAnsi="Times New Roman"/>
          <w:sz w:val="20"/>
          <w:szCs w:val="20"/>
          <w:color w:val="auto"/>
        </w:rPr>
        <w:t>default or Event of Default, an “</w:t>
      </w:r>
      <w:r>
        <w:rPr>
          <w:rFonts w:ascii="Times New Roman" w:cs="Times New Roman" w:eastAsia="Times New Roman" w:hAnsi="Times New Roman"/>
          <w:sz w:val="20"/>
          <w:szCs w:val="20"/>
          <w:b w:val="1"/>
          <w:bCs w:val="1"/>
          <w:color w:val="auto"/>
        </w:rPr>
        <w:t>Initial Default</w:t>
      </w:r>
      <w:r>
        <w:rPr>
          <w:rFonts w:ascii="Times New Roman" w:cs="Times New Roman" w:eastAsia="Times New Roman" w:hAnsi="Times New Roman"/>
          <w:sz w:val="20"/>
          <w:szCs w:val="20"/>
          <w:color w:val="auto"/>
        </w:rPr>
        <w:t>”) and is subsequently cured or waived (a “</w:t>
      </w:r>
      <w:r>
        <w:rPr>
          <w:rFonts w:ascii="Times New Roman" w:cs="Times New Roman" w:eastAsia="Times New Roman" w:hAnsi="Times New Roman"/>
          <w:sz w:val="20"/>
          <w:szCs w:val="20"/>
          <w:b w:val="1"/>
          <w:bCs w:val="1"/>
          <w:color w:val="auto"/>
        </w:rPr>
        <w:t>Cured Default</w:t>
      </w:r>
      <w:r>
        <w:rPr>
          <w:rFonts w:ascii="Times New Roman" w:cs="Times New Roman" w:eastAsia="Times New Roman" w:hAnsi="Times New Roman"/>
          <w:sz w:val="20"/>
          <w:szCs w:val="20"/>
          <w:color w:val="auto"/>
        </w:rPr>
        <w:t>”), any other default or Event of Default that resulted from (i) the making or deemed making of any representation or warranty by any Credit Party or (ii) 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Responsible Officer of the Borrowers had knowledge of any such Initial Default.</w:t>
      </w:r>
    </w:p>
    <w:p>
      <w:pPr>
        <w:spacing w:after="0" w:line="19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u w:val="single" w:color="auto"/>
          <w:color w:val="auto"/>
        </w:rPr>
        <w:t>Luxembourg terms</w:t>
      </w:r>
      <w:r>
        <w:rPr>
          <w:rFonts w:ascii="Times New Roman" w:cs="Times New Roman" w:eastAsia="Times New Roman" w:hAnsi="Times New Roman"/>
          <w:sz w:val="20"/>
          <w:szCs w:val="20"/>
          <w:color w:val="auto"/>
        </w:rPr>
        <w:t>. In this Agreement, where it relates to a company incorporated under the laws of Luxembourg, a reference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203" w:lineRule="exact"/>
        <w:rPr>
          <w:sz w:val="20"/>
          <w:szCs w:val="20"/>
          <w:color w:val="auto"/>
        </w:rPr>
      </w:pPr>
    </w:p>
    <w:p>
      <w:pPr>
        <w:jc w:val="both"/>
        <w:ind w:left="660" w:firstLine="889"/>
        <w:spacing w:after="0" w:line="260"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winding-up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liquidation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dissolution</w:t>
      </w:r>
      <w:r>
        <w:rPr>
          <w:rFonts w:ascii="Times New Roman" w:cs="Times New Roman" w:eastAsia="Times New Roman" w:hAnsi="Times New Roman"/>
          <w:sz w:val="20"/>
          <w:szCs w:val="20"/>
          <w:color w:val="auto"/>
        </w:rPr>
        <w:t xml:space="preserve">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voluntary or judicial liquidation (</w:t>
      </w:r>
      <w:r>
        <w:rPr>
          <w:rFonts w:ascii="Times New Roman" w:cs="Times New Roman" w:eastAsia="Times New Roman" w:hAnsi="Times New Roman"/>
          <w:sz w:val="20"/>
          <w:szCs w:val="20"/>
          <w:i w:val="1"/>
          <w:iCs w:val="1"/>
          <w:color w:val="auto"/>
        </w:rPr>
        <w:t>liquidation volontaire ou judiciaire</w:t>
      </w:r>
      <w:r>
        <w:rPr>
          <w:rFonts w:ascii="Times New Roman" w:cs="Times New Roman" w:eastAsia="Times New Roman" w:hAnsi="Times New Roman"/>
          <w:sz w:val="20"/>
          <w:szCs w:val="20"/>
          <w:color w:val="auto"/>
        </w:rPr>
        <w:t>),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general settlement with creditors, reorganisation or similar laws affecting the rights of creditors generally;</w:t>
      </w:r>
    </w:p>
    <w:p>
      <w:pPr>
        <w:spacing w:after="0" w:line="164" w:lineRule="exact"/>
        <w:rPr>
          <w:sz w:val="20"/>
          <w:szCs w:val="20"/>
          <w:color w:val="auto"/>
        </w:rPr>
      </w:pPr>
    </w:p>
    <w:p>
      <w:pPr>
        <w:jc w:val="both"/>
        <w:ind w:left="660" w:firstLine="900"/>
        <w:spacing w:after="0" w:line="287"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receiver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administrative receiver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xml:space="preserve"> or the like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commissaire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juge-commissaire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liquidateur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curateur</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660" w:firstLine="878"/>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security interest</w:t>
      </w:r>
      <w:r>
        <w:rPr>
          <w:rFonts w:ascii="Times New Roman" w:cs="Times New Roman" w:eastAsia="Times New Roman" w:hAnsi="Times New Roman"/>
          <w:sz w:val="20"/>
          <w:szCs w:val="20"/>
          <w:color w:val="auto"/>
        </w:rPr>
        <w:t xml:space="preserve"> includes any </w:t>
      </w:r>
      <w:r>
        <w:rPr>
          <w:rFonts w:ascii="Times New Roman" w:cs="Times New Roman" w:eastAsia="Times New Roman" w:hAnsi="Times New Roman"/>
          <w:sz w:val="20"/>
          <w:szCs w:val="20"/>
          <w:i w:val="1"/>
          <w:iCs w:val="1"/>
          <w:color w:val="auto"/>
        </w:rPr>
        <w:t>hypothèque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nantissement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privilège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droit de rétention</w:t>
      </w:r>
      <w:r>
        <w:rPr>
          <w:rFonts w:ascii="Times New Roman" w:cs="Times New Roman" w:eastAsia="Times New Roman" w:hAnsi="Times New Roman"/>
          <w:sz w:val="20"/>
          <w:szCs w:val="20"/>
          <w:color w:val="auto"/>
        </w:rPr>
        <w:t xml:space="preserve"> and any type of real security or agreement or arrangement having a similar effect and any transfer of title by way of security (</w:t>
      </w:r>
      <w:r>
        <w:rPr>
          <w:rFonts w:ascii="Times New Roman" w:cs="Times New Roman" w:eastAsia="Times New Roman" w:hAnsi="Times New Roman"/>
          <w:sz w:val="20"/>
          <w:szCs w:val="20"/>
          <w:i w:val="1"/>
          <w:iCs w:val="1"/>
          <w:color w:val="auto"/>
        </w:rPr>
        <w:t>transfert de propriété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à titre de garantie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846"/>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means, so far as a guarantee is given by a Credit Party incorporated under the laws of Luxembourg under this Agreement, a first demand independent guarantee and does not constitute a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xml:space="preserve">) in the sense of articles 2011 </w:t>
      </w:r>
      <w:r>
        <w:rPr>
          <w:rFonts w:ascii="Times New Roman" w:cs="Times New Roman" w:eastAsia="Times New Roman" w:hAnsi="Times New Roman"/>
          <w:sz w:val="20"/>
          <w:szCs w:val="20"/>
          <w:i w:val="1"/>
          <w:iCs w:val="1"/>
          <w:color w:val="auto"/>
        </w:rPr>
        <w:t xml:space="preserve">et seq </w:t>
      </w:r>
      <w:r>
        <w:rPr>
          <w:rFonts w:ascii="Times New Roman" w:cs="Times New Roman" w:eastAsia="Times New Roman" w:hAnsi="Times New Roman"/>
          <w:sz w:val="20"/>
          <w:szCs w:val="20"/>
          <w:color w:val="auto"/>
        </w:rPr>
        <w:t>of the Luxembourg civil code; and</w:t>
      </w:r>
    </w:p>
    <w:p>
      <w:pPr>
        <w:spacing w:after="0" w:line="175" w:lineRule="exact"/>
        <w:rPr>
          <w:sz w:val="20"/>
          <w:szCs w:val="20"/>
          <w:color w:val="auto"/>
        </w:rPr>
      </w:pPr>
    </w:p>
    <w:p>
      <w:pPr>
        <w:jc w:val="both"/>
        <w:ind w:left="660" w:right="20" w:firstLine="936"/>
        <w:spacing w:after="0" w:line="287" w:lineRule="auto"/>
        <w:rPr>
          <w:sz w:val="20"/>
          <w:szCs w:val="20"/>
          <w:color w:val="auto"/>
        </w:rPr>
      </w:pPr>
      <w:r>
        <w:rPr>
          <w:rFonts w:ascii="Times New Roman" w:cs="Times New Roman" w:eastAsia="Times New Roman" w:hAnsi="Times New Roman"/>
          <w:sz w:val="20"/>
          <w:szCs w:val="20"/>
          <w:color w:val="auto"/>
        </w:rPr>
        <w:t xml:space="preserve">a person </w:t>
      </w:r>
      <w:r>
        <w:rPr>
          <w:rFonts w:ascii="Times New Roman" w:cs="Times New Roman" w:eastAsia="Times New Roman" w:hAnsi="Times New Roman"/>
          <w:sz w:val="20"/>
          <w:szCs w:val="20"/>
          <w:b w:val="1"/>
          <w:bCs w:val="1"/>
          <w:color w:val="auto"/>
        </w:rPr>
        <w:t>being unable, or admitting inability, to pay its debts</w:t>
      </w:r>
      <w:r>
        <w:rPr>
          <w:rFonts w:ascii="Times New Roman" w:cs="Times New Roman" w:eastAsia="Times New Roman" w:hAnsi="Times New Roman"/>
          <w:sz w:val="20"/>
          <w:szCs w:val="20"/>
          <w:color w:val="auto"/>
        </w:rPr>
        <w:t xml:space="preserve"> includes that person being in a state of cessation of payments (</w:t>
      </w:r>
      <w:r>
        <w:rPr>
          <w:rFonts w:ascii="Times New Roman" w:cs="Times New Roman" w:eastAsia="Times New Roman" w:hAnsi="Times New Roman"/>
          <w:sz w:val="20"/>
          <w:szCs w:val="20"/>
          <w:i w:val="1"/>
          <w:iCs w:val="1"/>
          <w:color w:val="auto"/>
        </w:rPr>
        <w:t>cessation de paiements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French terms</w:t>
      </w:r>
      <w:r>
        <w:rPr>
          <w:rFonts w:ascii="Times New Roman" w:cs="Times New Roman" w:eastAsia="Times New Roman" w:hAnsi="Times New Roman"/>
          <w:sz w:val="19"/>
          <w:szCs w:val="19"/>
          <w:color w:val="auto"/>
        </w:rPr>
        <w:t>. In this Agreement, where it relates to a company incorporated under the laws of France, a reference to:</w:t>
      </w:r>
    </w:p>
    <w:p>
      <w:pPr>
        <w:spacing w:after="0" w:line="225" w:lineRule="exact"/>
        <w:rPr>
          <w:sz w:val="20"/>
          <w:szCs w:val="20"/>
          <w:color w:val="auto"/>
        </w:rPr>
      </w:pPr>
    </w:p>
    <w:p>
      <w:pPr>
        <w:jc w:val="both"/>
        <w:ind w:left="660" w:firstLine="986"/>
        <w:spacing w:after="0" w:line="27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winding-up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dissolution</w:t>
      </w:r>
      <w:r>
        <w:rPr>
          <w:rFonts w:ascii="Times New Roman" w:cs="Times New Roman" w:eastAsia="Times New Roman" w:hAnsi="Times New Roman"/>
          <w:sz w:val="20"/>
          <w:szCs w:val="20"/>
          <w:color w:val="auto"/>
        </w:rPr>
        <w:t xml:space="preserve"> includes a redressement judiciaire, a </w:t>
      </w:r>
      <w:r>
        <w:rPr>
          <w:rFonts w:ascii="Times New Roman" w:cs="Times New Roman" w:eastAsia="Times New Roman" w:hAnsi="Times New Roman"/>
          <w:sz w:val="20"/>
          <w:szCs w:val="20"/>
          <w:i w:val="1"/>
          <w:iCs w:val="1"/>
          <w:color w:val="auto"/>
        </w:rPr>
        <w:t>cession totale de l’entreprise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liquidation judiciaire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a sauvegarde</w:t>
      </w:r>
      <w:r>
        <w:rPr>
          <w:rFonts w:ascii="Times New Roman" w:cs="Times New Roman" w:eastAsia="Times New Roman" w:hAnsi="Times New Roman"/>
          <w:sz w:val="20"/>
          <w:szCs w:val="20"/>
          <w:color w:val="auto"/>
        </w:rPr>
        <w:t>, or a</w:t>
      </w:r>
      <w:r>
        <w:rPr>
          <w:rFonts w:ascii="Times New Roman" w:cs="Times New Roman" w:eastAsia="Times New Roman" w:hAnsi="Times New Roman"/>
          <w:sz w:val="20"/>
          <w:szCs w:val="20"/>
          <w:i w:val="1"/>
          <w:iCs w:val="1"/>
          <w:color w:val="auto"/>
        </w:rPr>
        <w:t xml:space="preserve"> sauvegarde accélérée </w:t>
      </w:r>
      <w:r>
        <w:rPr>
          <w:rFonts w:ascii="Times New Roman" w:cs="Times New Roman" w:eastAsia="Times New Roman" w:hAnsi="Times New Roman"/>
          <w:sz w:val="20"/>
          <w:szCs w:val="20"/>
          <w:color w:val="auto"/>
        </w:rPr>
        <w:t>under articles L. 620-1 to L. 670-8 of the French Commercial Code;</w:t>
      </w:r>
    </w:p>
    <w:p>
      <w:pPr>
        <w:spacing w:after="0" w:line="165" w:lineRule="exact"/>
        <w:rPr>
          <w:sz w:val="20"/>
          <w:szCs w:val="20"/>
          <w:color w:val="auto"/>
        </w:rPr>
      </w:pPr>
    </w:p>
    <w:p>
      <w:pPr>
        <w:jc w:val="both"/>
        <w:ind w:left="660" w:firstLine="878"/>
        <w:spacing w:after="0" w:line="287"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composition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similar arrangement</w:t>
      </w:r>
      <w:r>
        <w:rPr>
          <w:rFonts w:ascii="Times New Roman" w:cs="Times New Roman" w:eastAsia="Times New Roman" w:hAnsi="Times New Roman"/>
          <w:sz w:val="20"/>
          <w:szCs w:val="20"/>
          <w:color w:val="auto"/>
        </w:rPr>
        <w:t xml:space="preserve"> with any creditor includes a </w:t>
      </w:r>
      <w:r>
        <w:rPr>
          <w:rFonts w:ascii="Times New Roman" w:cs="Times New Roman" w:eastAsia="Times New Roman" w:hAnsi="Times New Roman"/>
          <w:sz w:val="20"/>
          <w:szCs w:val="20"/>
          <w:i w:val="1"/>
          <w:iCs w:val="1"/>
          <w:color w:val="auto"/>
        </w:rPr>
        <w:t>conciliation</w:t>
      </w:r>
      <w:r>
        <w:rPr>
          <w:rFonts w:ascii="Times New Roman" w:cs="Times New Roman" w:eastAsia="Times New Roman" w:hAnsi="Times New Roman"/>
          <w:sz w:val="20"/>
          <w:szCs w:val="20"/>
          <w:color w:val="auto"/>
        </w:rPr>
        <w:t xml:space="preserve"> or a </w:t>
      </w:r>
      <w:r>
        <w:rPr>
          <w:rFonts w:ascii="Times New Roman" w:cs="Times New Roman" w:eastAsia="Times New Roman" w:hAnsi="Times New Roman"/>
          <w:sz w:val="20"/>
          <w:szCs w:val="20"/>
          <w:i w:val="1"/>
          <w:iCs w:val="1"/>
          <w:color w:val="auto"/>
        </w:rPr>
        <w:t>mandat ad hoc</w:t>
      </w:r>
      <w:r>
        <w:rPr>
          <w:rFonts w:ascii="Times New Roman" w:cs="Times New Roman" w:eastAsia="Times New Roman" w:hAnsi="Times New Roman"/>
          <w:sz w:val="20"/>
          <w:szCs w:val="20"/>
          <w:color w:val="auto"/>
        </w:rPr>
        <w:t xml:space="preserve"> under articles L. 611-3 to L. 611-16 of the French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09" w:right="339" w:bottom="1440" w:gutter="0" w:footer="0" w:header="0"/>
        </w:sectPr>
      </w:pPr>
    </w:p>
    <w:bookmarkStart w:id="215" w:name="page216"/>
    <w:bookmarkEnd w:id="215"/>
    <w:p>
      <w:pPr>
        <w:jc w:val="both"/>
        <w:ind w:left="660" w:firstLine="997"/>
        <w:spacing w:after="0" w:line="260"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compulsory manager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receiver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xml:space="preserve"> includes an </w:t>
      </w:r>
      <w:r>
        <w:rPr>
          <w:rFonts w:ascii="Times New Roman" w:cs="Times New Roman" w:eastAsia="Times New Roman" w:hAnsi="Times New Roman"/>
          <w:sz w:val="20"/>
          <w:szCs w:val="20"/>
          <w:i w:val="1"/>
          <w:iCs w:val="1"/>
          <w:color w:val="auto"/>
        </w:rPr>
        <w:t>administrateur judiciaire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conciliateur</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i w:val="1"/>
          <w:iCs w:val="1"/>
          <w:color w:val="auto"/>
        </w:rPr>
        <w:t xml:space="preserve"> mandataire liquidateur </w:t>
      </w:r>
      <w:r>
        <w:rPr>
          <w:rFonts w:ascii="Times New Roman" w:cs="Times New Roman" w:eastAsia="Times New Roman" w:hAnsi="Times New Roman"/>
          <w:sz w:val="20"/>
          <w:szCs w:val="20"/>
          <w:color w:val="auto"/>
        </w:rPr>
        <w:t>or any other person appointed as a result of any proceedings described in paragraphs (a) and</w:t>
      </w:r>
    </w:p>
    <w:p>
      <w:pPr>
        <w:ind w:left="660"/>
        <w:spacing w:after="0"/>
        <w:rPr>
          <w:sz w:val="20"/>
          <w:szCs w:val="20"/>
          <w:color w:val="auto"/>
        </w:rPr>
      </w:pPr>
      <w:r>
        <w:rPr>
          <w:rFonts w:ascii="Times New Roman" w:cs="Times New Roman" w:eastAsia="Times New Roman" w:hAnsi="Times New Roman"/>
          <w:sz w:val="20"/>
          <w:szCs w:val="20"/>
          <w:color w:val="auto"/>
        </w:rPr>
        <w:t>(b) above;</w:t>
      </w:r>
    </w:p>
    <w:p>
      <w:pPr>
        <w:spacing w:after="0" w:line="203" w:lineRule="exact"/>
        <w:rPr>
          <w:sz w:val="20"/>
          <w:szCs w:val="20"/>
          <w:color w:val="auto"/>
        </w:rPr>
      </w:pPr>
    </w:p>
    <w:p>
      <w:pPr>
        <w:jc w:val="both"/>
        <w:ind w:left="660" w:firstLine="921"/>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means, so far as a guarantee is given by a Credit Party incorporated under the laws of France under this Agreement, a first demand independent guarantee under articles 2321 and seq. of the French Civil Code and does not constitute a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xml:space="preserve">) in the sense of articles 2288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French Civil Code; and</w:t>
      </w:r>
    </w:p>
    <w:p>
      <w:pPr>
        <w:spacing w:after="0" w:line="175" w:lineRule="exact"/>
        <w:rPr>
          <w:sz w:val="20"/>
          <w:szCs w:val="20"/>
          <w:color w:val="auto"/>
        </w:rPr>
      </w:pPr>
    </w:p>
    <w:p>
      <w:pPr>
        <w:jc w:val="both"/>
        <w:ind w:left="660" w:firstLine="846"/>
        <w:spacing w:after="0" w:line="273" w:lineRule="auto"/>
        <w:rPr>
          <w:sz w:val="20"/>
          <w:szCs w:val="20"/>
          <w:color w:val="auto"/>
        </w:rPr>
      </w:pPr>
      <w:r>
        <w:rPr>
          <w:rFonts w:ascii="Times New Roman" w:cs="Times New Roman" w:eastAsia="Times New Roman" w:hAnsi="Times New Roman"/>
          <w:sz w:val="20"/>
          <w:szCs w:val="20"/>
          <w:color w:val="auto"/>
        </w:rPr>
        <w:t xml:space="preserve">a person being </w:t>
      </w:r>
      <w:r>
        <w:rPr>
          <w:rFonts w:ascii="Times New Roman" w:cs="Times New Roman" w:eastAsia="Times New Roman" w:hAnsi="Times New Roman"/>
          <w:sz w:val="20"/>
          <w:szCs w:val="20"/>
          <w:b w:val="1"/>
          <w:bCs w:val="1"/>
          <w:color w:val="auto"/>
        </w:rPr>
        <w:t>unable to pay its debts</w:t>
      </w:r>
      <w:r>
        <w:rPr>
          <w:rFonts w:ascii="Times New Roman" w:cs="Times New Roman" w:eastAsia="Times New Roman" w:hAnsi="Times New Roman"/>
          <w:sz w:val="20"/>
          <w:szCs w:val="20"/>
          <w:color w:val="auto"/>
        </w:rPr>
        <w:t xml:space="preserve"> includes that person being in a state of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xml:space="preserve"> as defined in article L. 631-1 of the French Commercial Code.</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Calculation of Exchange Rate</w:t>
      </w:r>
      <w:r>
        <w:rPr>
          <w:rFonts w:ascii="Times New Roman" w:cs="Times New Roman" w:eastAsia="Times New Roman" w:hAnsi="Times New Roman"/>
          <w:sz w:val="20"/>
          <w:szCs w:val="20"/>
          <w:color w:val="auto"/>
        </w:rPr>
        <w:t>.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9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Limited Condition Transactions</w:t>
      </w:r>
      <w:r>
        <w:rPr>
          <w:rFonts w:ascii="Times New Roman" w:cs="Times New Roman" w:eastAsia="Times New Roman" w:hAnsi="Times New Roman"/>
          <w:sz w:val="20"/>
          <w:szCs w:val="20"/>
          <w:color w:val="auto"/>
        </w:rPr>
        <w:t>. Notwithstanding anything in this Agreement or any other Loan Document to the contrary, in connection with any action being taken solely in connection with a Limited Condition Transaction, for purposes of:</w:t>
      </w:r>
    </w:p>
    <w:p>
      <w:pPr>
        <w:spacing w:after="0" w:line="146" w:lineRule="exact"/>
        <w:rPr>
          <w:sz w:val="20"/>
          <w:szCs w:val="20"/>
          <w:color w:val="auto"/>
        </w:rPr>
      </w:pPr>
    </w:p>
    <w:p>
      <w:pPr>
        <w:jc w:val="both"/>
        <w:ind w:left="660" w:firstLine="912"/>
        <w:spacing w:after="0" w:line="253" w:lineRule="auto"/>
        <w:rPr>
          <w:sz w:val="20"/>
          <w:szCs w:val="20"/>
          <w:color w:val="auto"/>
        </w:rPr>
      </w:pPr>
      <w:r>
        <w:rPr>
          <w:rFonts w:ascii="Times New Roman" w:cs="Times New Roman" w:eastAsia="Times New Roman" w:hAnsi="Times New Roman"/>
          <w:sz w:val="20"/>
          <w:szCs w:val="20"/>
          <w:color w:val="auto"/>
        </w:rPr>
        <w:t xml:space="preserve">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 Incremental Cap or Available Amount (including, without limitation,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(other than for purposes of any Applicable Adjusted Term SOFR Margin, Applicable B/A Margin, Applicable Base Rate Margin, Applicable Canadian Prime Rate Margin, Applicable RFR Margin, Applicable Eurocurrency Margin or Applicable Commitment Fee Percentage); or</w:t>
      </w:r>
    </w:p>
    <w:p>
      <w:pPr>
        <w:spacing w:after="0" w:line="192" w:lineRule="exact"/>
        <w:rPr>
          <w:sz w:val="20"/>
          <w:szCs w:val="20"/>
          <w:color w:val="auto"/>
        </w:rPr>
      </w:pPr>
    </w:p>
    <w:p>
      <w:pPr>
        <w:jc w:val="both"/>
        <w:ind w:left="660" w:firstLine="1002"/>
        <w:spacing w:after="0" w:line="269" w:lineRule="auto"/>
        <w:rPr>
          <w:sz w:val="20"/>
          <w:szCs w:val="20"/>
          <w:color w:val="auto"/>
        </w:rPr>
      </w:pPr>
      <w:r>
        <w:rPr>
          <w:rFonts w:ascii="Times New Roman" w:cs="Times New Roman" w:eastAsia="Times New Roman" w:hAnsi="Times New Roman"/>
          <w:sz w:val="20"/>
          <w:szCs w:val="20"/>
          <w:color w:val="auto"/>
        </w:rPr>
        <w:t>testing availability under baskets set forth in this Agreement (including, without limitation, baskets measured as a percentage of Consolidated Tangible Assets or Consolidated Total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each case, at the option of Crown Holdings (Crown Holdings’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 the date of determination of whether any such action is permitted hereunder shall be deemed to be (i) in the case of a Limited Condition Acquisition, the date the definitive agreements for such Limited Condition Acquisition are entered into,</w:t>
      </w:r>
    </w:p>
    <w:p>
      <w:pPr>
        <w:spacing w:after="0" w:line="1" w:lineRule="exact"/>
        <w:rPr>
          <w:sz w:val="20"/>
          <w:szCs w:val="20"/>
          <w:color w:val="auto"/>
        </w:rPr>
      </w:pPr>
    </w:p>
    <w:p>
      <w:pPr>
        <w:jc w:val="both"/>
        <w:ind w:firstLine="8"/>
        <w:spacing w:after="0" w:line="249" w:lineRule="auto"/>
        <w:tabs>
          <w:tab w:leader="none" w:pos="30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transaction described in clause (b) of the definition of “Limited Condition Transaction,” the date of such irrevocable advance notice and (iii) in the case of any transaction described in clause (c) of the definition of “Limited Condition Transaction,” the date of such declaration, irrevocable advance notice or irrevocable offer (each, an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giving pro forma effect to the Limited Condition Transaction and the other transactions to be entered into or consummated in connection therewith (including any incurrence of Indebtedness and the use of proceeds thereof) as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09" w:right="339" w:bottom="1440" w:gutter="0" w:footer="0" w:header="0"/>
        </w:sectPr>
      </w:pPr>
    </w:p>
    <w:bookmarkStart w:id="216" w:name="page217"/>
    <w:bookmarkEnd w:id="216"/>
    <w:p>
      <w:pPr>
        <w:jc w:val="both"/>
        <w:spacing w:after="0" w:line="249" w:lineRule="auto"/>
        <w:rPr>
          <w:sz w:val="20"/>
          <w:szCs w:val="20"/>
          <w:color w:val="auto"/>
        </w:rPr>
      </w:pPr>
      <w:r>
        <w:rPr>
          <w:rFonts w:ascii="Times New Roman" w:cs="Times New Roman" w:eastAsia="Times New Roman" w:hAnsi="Times New Roman"/>
          <w:sz w:val="20"/>
          <w:szCs w:val="20"/>
          <w:color w:val="auto"/>
        </w:rPr>
        <w:t>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and (y) such tests, ratios and baskets shall not be tested at the time of consummation of such Limited Condition Transaction and all related transactions to be entered into or consummated in connection therewith. If Crown Holdings has made an LCT Election and any of the tests, ratios or baskets for which compliance was determined or tested as of the LCT Test Date are exceeded as a result of fluctuations in any such test, ratio or basket, including due to fluctuations in Consolidated EBITDA, Consolidated Total Assets or Consolidated Tangible Assets of Crown Holdings and its Subsidiaries, at or prior to the consummation of the Limited Condition Transaction, such tests, baskets or ratios will be deemed not to have been exceeded as a result of such fluctuations solely for purposes of determining whether the relevant Limited Condition Transaction is permitted to be consummated or taken. If Crown Holdings has made an LCT Election for any Limited Condition Transaction, then in connection with any subsequent calculation of any test, ratio or basket availability with respect to such Limited Condition Transaction on or following the relevant LCT Test Date and prior to the earlier of the date on which such Limited Condition Transaction is consummated or the definitive agreement (or, if applicable, the irrevocable notice or similar event) for such Limited Condition Transaction is terminated or expires without consummation of such Limited Condition Transaction,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connection with any action being taken in connection with a Limited Condition Acquisition, for purposes of determining compliance with the representations and warranties and/or any provision of this Agreement which requires that no Unmatured Event of Default, Event of Default or specified Event of Default, as applicable, has occurred, is continuing or would result from any such action, as applicable, such condition shall, at the option of Crown Holdings, be deemed satisfied, so long as no representation or warranty would be breached and no Unmatured Event of Default, Event of Default, or specified Event of Default, as applicable, exists on the date the definitive agreements for such Limited Condition Acquisition are entered into. If Crown Holdings has exercised its option under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and any representation or warranty is breached or any Unmatured Event of Default, Event of Default or specified Event of Default occurs following the date the definitive agreements for the applicable Limited Condition Acquisition were entered into and prior to the consummation of such Limited Condition Acquisition, any such representation or warranty breach or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1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Sanctions Limitations</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and the covenants contained in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56"/>
        <w:spacing w:after="0" w:line="253" w:lineRule="auto"/>
        <w:tabs>
          <w:tab w:leader="none" w:pos="1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made or given by, and shall apply to, any Credit Party or any of their Affiliates that qualify as a resident party domiciled, incorporated or established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of the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AWG</w:t>
      </w:r>
      <w:r>
        <w:rPr>
          <w:rFonts w:ascii="Times New Roman" w:cs="Times New Roman" w:eastAsia="Times New Roman" w:hAnsi="Times New Roman"/>
          <w:sz w:val="20"/>
          <w:szCs w:val="20"/>
          <w:color w:val="auto"/>
        </w:rPr>
        <w:t>”) only to the extent that the making or giving of, and compliance with, such representations and warranties and covenants do not result in any violation of or conflict with, Section 7 of the German Foreign Trade Ordinance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AWV</w:t>
      </w:r>
      <w:r>
        <w:rPr>
          <w:rFonts w:ascii="Times New Roman" w:cs="Times New Roman" w:eastAsia="Times New Roman" w:hAnsi="Times New Roman"/>
          <w:sz w:val="20"/>
          <w:szCs w:val="20"/>
          <w:color w:val="auto"/>
        </w:rPr>
        <w:t>”), the Canadian Foreign Extraterritorial Measures Act (“</w:t>
      </w:r>
      <w:r>
        <w:rPr>
          <w:rFonts w:ascii="Times New Roman" w:cs="Times New Roman" w:eastAsia="Times New Roman" w:hAnsi="Times New Roman"/>
          <w:sz w:val="20"/>
          <w:szCs w:val="20"/>
          <w:u w:val="single" w:color="auto"/>
          <w:color w:val="auto"/>
        </w:rPr>
        <w:t>FEMA</w:t>
      </w:r>
      <w:r>
        <w:rPr>
          <w:rFonts w:ascii="Times New Roman" w:cs="Times New Roman" w:eastAsia="Times New Roman" w:hAnsi="Times New Roman"/>
          <w:sz w:val="20"/>
          <w:szCs w:val="20"/>
          <w:color w:val="auto"/>
        </w:rPr>
        <w:t>”), or any other applicable anti-blocking laws or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217" w:name="page218"/>
    <w:bookmarkEnd w:id="217"/>
    <w:p>
      <w:pPr>
        <w:jc w:val="both"/>
        <w:ind w:firstLine="656"/>
        <w:spacing w:after="0" w:line="252"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with respect to any Lender which qualifies as a resident party domiciled, incorporated or established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AWG or which notifies the Administrative Agent in writing that it does not wish to receive the benefit of those representations and warranties and covenants (a “</w:t>
      </w:r>
      <w:r>
        <w:rPr>
          <w:rFonts w:ascii="Times New Roman" w:cs="Times New Roman" w:eastAsia="Times New Roman" w:hAnsi="Times New Roman"/>
          <w:sz w:val="20"/>
          <w:szCs w:val="20"/>
          <w:u w:val="single" w:color="auto"/>
          <w:color w:val="auto"/>
        </w:rPr>
        <w:t>Restricted Lender</w:t>
      </w:r>
      <w:r>
        <w:rPr>
          <w:rFonts w:ascii="Times New Roman" w:cs="Times New Roman" w:eastAsia="Times New Roman" w:hAnsi="Times New Roman"/>
          <w:sz w:val="20"/>
          <w:szCs w:val="20"/>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Effect of Amendment and Restatement of the Existing Credit Agreement</w:t>
      </w:r>
      <w:r>
        <w:rPr>
          <w:rFonts w:ascii="Times New Roman" w:cs="Times New Roman" w:eastAsia="Times New Roman" w:hAnsi="Times New Roman"/>
          <w:sz w:val="20"/>
          <w:szCs w:val="20"/>
          <w:color w:val="auto"/>
        </w:rPr>
        <w:t xml:space="preserve">.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each Borrower hereby reaffirms that (a) all Letters of Credit under and as defined in the Existing Credit Agreement shall continue as Letters of Credit under this Agreement and (b) the Collateral and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on its terms unless otherwise expressly stated herein.</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9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u w:val="single" w:color="auto"/>
          <w:color w:val="auto"/>
        </w:rPr>
        <w:t xml:space="preserve">Rates. </w:t>
      </w:r>
      <w:r>
        <w:rPr>
          <w:rFonts w:ascii="Times New Roman" w:cs="Times New Roman" w:eastAsia="Times New Roman" w:hAnsi="Times New Roman"/>
          <w:sz w:val="20"/>
          <w:szCs w:val="20"/>
          <w:color w:val="auto"/>
        </w:rPr>
        <w:t>The Administrative Agent does not warrant or accept responsibility for, and shall not have any liability with respect to</w:t>
      </w:r>
    </w:p>
    <w:p>
      <w:pPr>
        <w:spacing w:after="0" w:line="22" w:lineRule="exact"/>
        <w:rPr>
          <w:sz w:val="20"/>
          <w:szCs w:val="20"/>
          <w:color w:val="auto"/>
        </w:rPr>
      </w:pPr>
    </w:p>
    <w:p>
      <w:pPr>
        <w:jc w:val="both"/>
        <w:ind w:firstLine="8"/>
        <w:spacing w:after="0" w:line="249" w:lineRule="auto"/>
        <w:tabs>
          <w:tab w:leader="none" w:pos="2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Base Rate, the Term SOFR Reference Rate, Adjusted Term SOFR, Term SOFR, the Eurocurrency Rate, Canadian Prime Rate, Adjusted Term CORRA Rate, CDOR Rate, or Daily Simple RFR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the Eurocurrency Rate, Canadian Prime Rate, Adjusted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50" w:lineRule="auto"/>
        <w:rPr>
          <w:sz w:val="20"/>
          <w:szCs w:val="20"/>
          <w:color w:val="auto"/>
        </w:rPr>
      </w:pPr>
      <w:r>
        <w:rPr>
          <w:rFonts w:ascii="Times New Roman" w:cs="Times New Roman" w:eastAsia="Times New Roman" w:hAnsi="Times New Roman"/>
          <w:sz w:val="20"/>
          <w:szCs w:val="20"/>
          <w:color w:val="auto"/>
        </w:rPr>
        <w:t>CORRA Rate, CDOR Rate, Daily Simple RFR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Adjusted Term SOFR, the Eurocurrency Rate, Canadian Prime Rate, Adjusted Term CORRA Rate, CDOR Rate or Daily Simple RFR,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Base Rate, the Term SOFR Reference Rate, Term SOFR, Adjusted Term SOFR, the Eurocurrency Rate, Canadian Prime Rate, Adjusted Term CORRA Rate, CDOR Rate or Daily Simple RFR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U.S. DOLLAR, STERLING AND EURO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-24765</wp:posOffset>
            </wp:positionV>
            <wp:extent cx="4384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The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 A Facility</w:t>
      </w:r>
      <w:r>
        <w:rPr>
          <w:rFonts w:ascii="Times New Roman" w:cs="Times New Roman" w:eastAsia="Times New Roman" w:hAnsi="Times New Roman"/>
          <w:sz w:val="20"/>
          <w:szCs w:val="20"/>
          <w:color w:val="auto"/>
        </w:rPr>
        <w:t>. Each Term Loan A Lender, severally and for itself alone, hereby agrees, on the terms and subject to the terms and conditions set forth herein and in the Incremental Amendment No. 3 and Fifth Amendment and in reliance upon the representations and warranties set forth herein and in the Incremental Amendment No. 3 and Fifth Amendment and in the other Loan Documents to make a loan (each such loan, a “</w:t>
      </w:r>
      <w:r>
        <w:rPr>
          <w:rFonts w:ascii="Times New Roman" w:cs="Times New Roman" w:eastAsia="Times New Roman" w:hAnsi="Times New Roman"/>
          <w:sz w:val="20"/>
          <w:szCs w:val="20"/>
          <w:u w:val="single" w:color="auto"/>
          <w:color w:val="auto"/>
        </w:rPr>
        <w:t>Term Loan A</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to U.S. Borrower on the Incremental Amendment No. 3 and Fifth Amendment Effective Date in an aggregate principal amount equal to the Term Loan A Commitment of such Lender. The Term A Loans (i) shall be incurred by U.S. Borrower pursuant to a single drawing, (ii) shall be denominated in Dollars and (iii) shall not exceed for any Lender at the time of incurrence thereof on the Incremental Amendment No. 3 and Fifth Amendment Effective Date that aggregate principal amount which equals the Term Loan A Commitment, if any, of such Lender at such time. Each Lender’s Term Loan A Commitment shall expire immediately and without further action on the Incremental Amendment No. 3 and Fifth Amendment Effective Date, after giving effect to the Term A Loans made thereon. No amount of any Term A Loan which is repaid or prepaid by U.S. Borrower may be reborrowed hereunder.</w:t>
      </w:r>
    </w:p>
    <w:p>
      <w:pPr>
        <w:spacing w:after="0" w:line="186" w:lineRule="exact"/>
        <w:rPr>
          <w:rFonts w:ascii="Times New Roman" w:cs="Times New Roman" w:eastAsia="Times New Roman" w:hAnsi="Times New Roman"/>
          <w:sz w:val="20"/>
          <w:szCs w:val="20"/>
          <w:color w:val="auto"/>
        </w:rPr>
      </w:pPr>
    </w:p>
    <w:p>
      <w:pPr>
        <w:jc w:val="both"/>
        <w:ind w:left="660" w:firstLine="903"/>
        <w:spacing w:after="0" w:line="253" w:lineRule="auto"/>
        <w:tabs>
          <w:tab w:leader="none" w:pos="194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Euro Facility</w:t>
      </w:r>
      <w:r>
        <w:rPr>
          <w:rFonts w:ascii="Times New Roman" w:cs="Times New Roman" w:eastAsia="Times New Roman" w:hAnsi="Times New Roman"/>
          <w:sz w:val="20"/>
          <w:szCs w:val="20"/>
          <w:color w:val="auto"/>
        </w:rPr>
        <w:t>. Each Term Euro Lender, severally and for itself alone, hereby agrees, on the terms and subject to conditions set forth herein and in the Incremental Amendment No. 3 and Fifth Amendment and in reliance upon the representations and warranties set forth herein and in the Incremental Amendment No. 3 and Fifth Amendment and in the other Loan Documents to make a loan (each such loan, a “</w:t>
      </w:r>
      <w:r>
        <w:rPr>
          <w:rFonts w:ascii="Times New Roman" w:cs="Times New Roman" w:eastAsia="Times New Roman" w:hAnsi="Times New Roman"/>
          <w:sz w:val="20"/>
          <w:szCs w:val="20"/>
          <w:u w:val="single" w:color="auto"/>
          <w:color w:val="auto"/>
        </w:rPr>
        <w:t>Term Euro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Term Euro Loans</w:t>
      </w:r>
      <w:r>
        <w:rPr>
          <w:rFonts w:ascii="Times New Roman" w:cs="Times New Roman" w:eastAsia="Times New Roman" w:hAnsi="Times New Roman"/>
          <w:sz w:val="20"/>
          <w:szCs w:val="20"/>
          <w:color w:val="auto"/>
        </w:rPr>
        <w:t>”) to European Borrower on the Incremental Amendment No. 3 and Fifth Amendment Effective Date in an aggregate principal amount equal to the Term Euro Commitment of such Lender. The Term Euro Loans (i) shall be incurred by European Borrower pursuant to a single drawing, (ii) shall be denominated in Euros, (iii) shall not exceed for any Lender at the time of incurrence thereof on the Incremental Amendment No. 3 and Fifth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219" w:name="page220"/>
    <w:bookmarkEnd w:id="219"/>
    <w:p>
      <w:pPr>
        <w:jc w:val="both"/>
        <w:ind w:left="460"/>
        <w:spacing w:after="0" w:line="258" w:lineRule="auto"/>
        <w:rPr>
          <w:sz w:val="20"/>
          <w:szCs w:val="20"/>
          <w:color w:val="auto"/>
        </w:rPr>
      </w:pPr>
      <w:r>
        <w:rPr>
          <w:rFonts w:ascii="Times New Roman" w:cs="Times New Roman" w:eastAsia="Times New Roman" w:hAnsi="Times New Roman"/>
          <w:sz w:val="20"/>
          <w:szCs w:val="20"/>
          <w:color w:val="auto"/>
        </w:rPr>
        <w:t>Amendment Effective Date that aggregate principal amount which equals the Term Euro Commitment, if any, of such Lender at such time. Each Term Euro Lender’s Term Euro Commitment shall expire immediately and without further action on the Incremental Amendment No. 3 and Fifth Amendment Effective Date, after giving effect to the Term Euro Loans made thereon. No amount of a Term Euro Loan which is repaid or prepaid by European Borrower may be reborrowed hereunder.</w:t>
      </w:r>
    </w:p>
    <w:p>
      <w:pPr>
        <w:spacing w:after="0" w:line="172" w:lineRule="exact"/>
        <w:rPr>
          <w:sz w:val="20"/>
          <w:szCs w:val="20"/>
          <w:color w:val="auto"/>
        </w:rPr>
      </w:pPr>
    </w:p>
    <w:p>
      <w:pPr>
        <w:ind w:left="500" w:hanging="494"/>
        <w:spacing w:after="0"/>
        <w:tabs>
          <w:tab w:leader="none" w:pos="5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00" w:hanging="644"/>
        <w:spacing w:after="0"/>
        <w:tabs>
          <w:tab w:leader="none" w:pos="11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60" w:firstLine="903"/>
        <w:spacing w:after="0" w:line="250" w:lineRule="auto"/>
        <w:tabs>
          <w:tab w:leader="none" w:pos="1743"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Dollar Revolving Loan Facility</w:t>
      </w:r>
      <w:r>
        <w:rPr>
          <w:rFonts w:ascii="Times New Roman" w:cs="Times New Roman" w:eastAsia="Times New Roman" w:hAnsi="Times New Roman"/>
          <w:sz w:val="20"/>
          <w:szCs w:val="20"/>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Times New Roman" w:cs="Times New Roman" w:eastAsia="Times New Roman" w:hAnsi="Times New Roman"/>
          <w:sz w:val="20"/>
          <w:szCs w:val="20"/>
          <w:u w:val="single" w:color="auto"/>
          <w:color w:val="auto"/>
        </w:rPr>
        <w:t>Dollar 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Dollar Revolving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all Dollar Revolving Loans comprising the same Borrowing shall at all times be of the same Type.</w:t>
      </w:r>
    </w:p>
    <w:p>
      <w:pPr>
        <w:spacing w:after="0" w:line="186" w:lineRule="exact"/>
        <w:rPr>
          <w:rFonts w:ascii="Times New Roman" w:cs="Times New Roman" w:eastAsia="Times New Roman" w:hAnsi="Times New Roman"/>
          <w:sz w:val="20"/>
          <w:szCs w:val="20"/>
          <w:color w:val="auto"/>
        </w:rPr>
      </w:pPr>
    </w:p>
    <w:p>
      <w:pPr>
        <w:ind w:left="1740" w:hanging="377"/>
        <w:spacing w:after="0"/>
        <w:tabs>
          <w:tab w:leader="none" w:pos="174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460" w:firstLine="903"/>
        <w:spacing w:after="0" w:line="263" w:lineRule="auto"/>
        <w:tabs>
          <w:tab w:leader="none" w:pos="1745"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Multicurrency Revolving Loan Facility</w:t>
      </w:r>
      <w:r>
        <w:rPr>
          <w:rFonts w:ascii="Times New Roman" w:cs="Times New Roman" w:eastAsia="Times New Roman" w:hAnsi="Times New Roman"/>
          <w:sz w:val="19"/>
          <w:szCs w:val="19"/>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Times New Roman" w:cs="Times New Roman" w:eastAsia="Times New Roman" w:hAnsi="Times New Roman"/>
          <w:sz w:val="19"/>
          <w:szCs w:val="19"/>
          <w:u w:val="single" w:color="auto"/>
          <w:color w:val="auto"/>
        </w:rPr>
        <w:t>Multicurrency Revolving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Multicurrency Revolving Loans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no such Multicurrency Revolving Loan shall be made if after giving effect thereto, the Total Available Multicurrency Revolving Commitments would equal less than zero and (b) the aggregate principal amount of all Multicurrency Revolving Loans denominated in Sterling shall not exceed the Sterling Equivalent of $250,000,000.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040"/>
          </w:cols>
          <w:pgMar w:left="520" w:top="1413" w:right="339" w:bottom="1440" w:gutter="0" w:footer="0" w:header="0"/>
        </w:sectPr>
      </w:pPr>
    </w:p>
    <w:bookmarkStart w:id="220" w:name="page221"/>
    <w:bookmarkEnd w:id="220"/>
    <w:p>
      <w:pPr>
        <w:ind w:left="4" w:right="20"/>
        <w:spacing w:after="0" w:line="283" w:lineRule="auto"/>
        <w:rPr>
          <w:sz w:val="20"/>
          <w:szCs w:val="20"/>
          <w:color w:val="auto"/>
        </w:rPr>
      </w:pPr>
      <w:r>
        <w:rPr>
          <w:rFonts w:ascii="Times New Roman" w:cs="Times New Roman" w:eastAsia="Times New Roman" w:hAnsi="Times New Roman"/>
          <w:sz w:val="20"/>
          <w:szCs w:val="20"/>
          <w:color w:val="auto"/>
        </w:rPr>
        <w:t xml:space="preserve">except as otherwise specifically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all Multicurrency Revolving Loans comprising the same Borrowing shall at all times be of the same Type.</w:t>
      </w:r>
    </w:p>
    <w:p>
      <w:pPr>
        <w:spacing w:after="0" w:line="146" w:lineRule="exact"/>
        <w:rPr>
          <w:sz w:val="20"/>
          <w:szCs w:val="20"/>
          <w:color w:val="auto"/>
        </w:rPr>
      </w:pPr>
    </w:p>
    <w:p>
      <w:pPr>
        <w:ind w:left="644" w:hanging="644"/>
        <w:spacing w:after="0"/>
        <w:tabs>
          <w:tab w:leader="none" w:pos="64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84" w:hanging="377"/>
        <w:spacing w:after="0"/>
        <w:tabs>
          <w:tab w:leader="none" w:pos="128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 w:firstLine="903"/>
        <w:spacing w:after="0" w:line="249" w:lineRule="auto"/>
        <w:tabs>
          <w:tab w:leader="none" w:pos="128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Multicurrency Swing Line</w:t>
      </w:r>
      <w:r>
        <w:rPr>
          <w:rFonts w:ascii="Times New Roman" w:cs="Times New Roman" w:eastAsia="Times New Roman" w:hAnsi="Times New Roman"/>
          <w:sz w:val="20"/>
          <w:szCs w:val="20"/>
          <w:color w:val="auto"/>
        </w:rPr>
        <w:t>. Subject to the terms and conditions hereof, the Swing Line Lender in its individual capacity agrees to make swing line loans in Dollars or Alternative Currencies (“</w:t>
      </w: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no event may the amount of any Borrowing of Swing Line Loans (A) exceed the Total Available Multicurrency Revolving Commitment immediately prior to such Borrowing (after giving effect to the use of proceeds thereof), (B) exceed the Available Multicurrency Revolving Sublimit for such Borrower immediately prior to such Borrowing or (C) 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 notwithstanding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shall not be entitled to be converted into any other Type of Loan. Notwithstanding the foregoing, in the event there is a Defaulting Lender, Swing 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pacing w:after="0" w:line="200" w:lineRule="exact"/>
        <w:rPr>
          <w:rFonts w:ascii="Times New Roman" w:cs="Times New Roman" w:eastAsia="Times New Roman" w:hAnsi="Times New Roman"/>
          <w:sz w:val="20"/>
          <w:szCs w:val="20"/>
          <w:color w:val="auto"/>
        </w:rPr>
      </w:pPr>
    </w:p>
    <w:p>
      <w:pPr>
        <w:jc w:val="both"/>
        <w:ind w:left="4" w:firstLine="903"/>
        <w:spacing w:after="0" w:line="250" w:lineRule="auto"/>
        <w:tabs>
          <w:tab w:leader="none" w:pos="1289"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Refunding of Swing Line Loans</w:t>
      </w:r>
      <w:r>
        <w:rPr>
          <w:rFonts w:ascii="Times New Roman" w:cs="Times New Roman" w:eastAsia="Times New Roman" w:hAnsi="Times New Roman"/>
          <w:sz w:val="20"/>
          <w:szCs w:val="20"/>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(the “</w:t>
      </w:r>
      <w:r>
        <w:rPr>
          <w:rFonts w:ascii="Times New Roman" w:cs="Times New Roman" w:eastAsia="Times New Roman" w:hAnsi="Times New Roman"/>
          <w:sz w:val="20"/>
          <w:szCs w:val="20"/>
          <w:u w:val="single" w:color="auto"/>
          <w:color w:val="auto"/>
        </w:rPr>
        <w:t>Refunded Swing Line Loans</w:t>
      </w:r>
      <w:r>
        <w:rPr>
          <w:rFonts w:ascii="Times New Roman" w:cs="Times New Roman" w:eastAsia="Times New Roman" w:hAnsi="Times New Roman"/>
          <w:sz w:val="20"/>
          <w:szCs w:val="20"/>
          <w:color w:val="auto"/>
        </w:rPr>
        <w:t xml:space="preserve">”) outstanding on the date such notice is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notice shall be deemed to have automatically been given upon the occurrence of an Event of Default under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Unless any of the events described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have occurred (in which event the procedures of this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local time in the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0584"/>
          </w:cols>
          <w:pgMar w:left="976" w:top="1413" w:right="339" w:bottom="1440" w:gutter="0" w:footer="0" w:header="0"/>
        </w:sectPr>
      </w:pPr>
    </w:p>
    <w:bookmarkStart w:id="221" w:name="page222"/>
    <w:bookmarkEnd w:id="221"/>
    <w:p>
      <w:pPr>
        <w:spacing w:after="0" w:line="283" w:lineRule="auto"/>
        <w:rPr>
          <w:sz w:val="20"/>
          <w:szCs w:val="20"/>
          <w:color w:val="auto"/>
        </w:rPr>
      </w:pPr>
      <w:r>
        <w:rPr>
          <w:rFonts w:ascii="Times New Roman" w:cs="Times New Roman" w:eastAsia="Times New Roman" w:hAnsi="Times New Roman"/>
          <w:sz w:val="20"/>
          <w:szCs w:val="20"/>
          <w:color w:val="auto"/>
        </w:rPr>
        <w:t>of funding, in funds immediately available on the Business Day next succeeding the date such notice is given. The proceeds of such Revolving Loans shall be immediately applied to repay the Refunded Swing Line Loans.</w:t>
      </w:r>
    </w:p>
    <w:p>
      <w:pPr>
        <w:spacing w:after="0" w:line="146" w:lineRule="exact"/>
        <w:rPr>
          <w:sz w:val="20"/>
          <w:szCs w:val="20"/>
          <w:color w:val="auto"/>
        </w:rPr>
      </w:pPr>
    </w:p>
    <w:p>
      <w:pPr>
        <w:jc w:val="both"/>
        <w:ind w:firstLine="903"/>
        <w:spacing w:after="0" w:line="251" w:lineRule="auto"/>
        <w:tabs>
          <w:tab w:leader="none" w:pos="128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 in Swing Line Loans</w:t>
      </w:r>
      <w:r>
        <w:rPr>
          <w:rFonts w:ascii="Times New Roman" w:cs="Times New Roman" w:eastAsia="Times New Roman" w:hAnsi="Times New Roman"/>
          <w:sz w:val="20"/>
          <w:szCs w:val="20"/>
          <w:color w:val="auto"/>
        </w:rPr>
        <w:t xml:space="preserve">. If, prior to refunding a Swing Line Loan with a Revolving Loan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an Event of Default under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have occurred, or if for any other reason a Revolving Loan cannot be made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then, subject to the provisions of </w:t>
      </w:r>
      <w:r>
        <w:rPr>
          <w:rFonts w:ascii="Times New Roman" w:cs="Times New Roman" w:eastAsia="Times New Roman" w:hAnsi="Times New Roman"/>
          <w:sz w:val="20"/>
          <w:szCs w:val="20"/>
          <w:u w:val="single" w:color="auto"/>
          <w:color w:val="auto"/>
        </w:rPr>
        <w:t>Section 2.1(c)(v)</w:t>
      </w:r>
      <w:r>
        <w:rPr>
          <w:rFonts w:ascii="Times New Roman" w:cs="Times New Roman" w:eastAsia="Times New Roman" w:hAnsi="Times New Roman"/>
          <w:sz w:val="20"/>
          <w:szCs w:val="20"/>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195" w:lineRule="exact"/>
        <w:rPr>
          <w:rFonts w:ascii="Times New Roman" w:cs="Times New Roman" w:eastAsia="Times New Roman" w:hAnsi="Times New Roman"/>
          <w:sz w:val="20"/>
          <w:szCs w:val="20"/>
          <w:color w:val="auto"/>
        </w:rPr>
      </w:pPr>
    </w:p>
    <w:p>
      <w:pPr>
        <w:jc w:val="both"/>
        <w:ind w:firstLine="903"/>
        <w:spacing w:after="0" w:line="248" w:lineRule="auto"/>
        <w:tabs>
          <w:tab w:leader="none" w:pos="12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Obligations Unconditional</w:t>
      </w:r>
      <w:r>
        <w:rPr>
          <w:rFonts w:ascii="Times New Roman" w:cs="Times New Roman" w:eastAsia="Times New Roman" w:hAnsi="Times New Roman"/>
          <w:sz w:val="20"/>
          <w:szCs w:val="20"/>
          <w:color w:val="auto"/>
        </w:rPr>
        <w:t xml:space="preserve">. Each Lender’s obligation to make Revolving Loans in accordance with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above and to purchase participating interests in accordance with </w:t>
      </w:r>
      <w:r>
        <w:rPr>
          <w:rFonts w:ascii="Times New Roman" w:cs="Times New Roman" w:eastAsia="Times New Roman" w:hAnsi="Times New Roman"/>
          <w:sz w:val="20"/>
          <w:szCs w:val="20"/>
          <w:u w:val="single" w:color="auto"/>
          <w:color w:val="auto"/>
        </w:rPr>
        <w:t>Section 2.1(c)(iv)</w:t>
      </w:r>
      <w:r>
        <w:rPr>
          <w:rFonts w:ascii="Times New Roman" w:cs="Times New Roman" w:eastAsia="Times New Roman" w:hAnsi="Times New Roman"/>
          <w:sz w:val="20"/>
          <w:szCs w:val="20"/>
          <w:color w:val="auto"/>
        </w:rPr>
        <w:t xml:space="preserve"> above shall be absolute and unconditional and shall not be affected by any circumstance, including, without limitation, (A) any set-off, counterclaim, recoupment, defense or other 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 (D) 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Lender does not make available to Swing Line Lender the amount required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as the case may be, Swing Line Lender shall be entitled to recover such amount on demand from such Lender, together with interest thereon for each day from the date of non-payment until such amount is paid in full at the Federal Funds Rate for the first two Business Days and at the Base Rate thereafter. Notwithstanding the foregoing provisions of this </w:t>
      </w:r>
      <w:r>
        <w:rPr>
          <w:rFonts w:ascii="Times New Roman" w:cs="Times New Roman" w:eastAsia="Times New Roman" w:hAnsi="Times New Roman"/>
          <w:sz w:val="20"/>
          <w:szCs w:val="20"/>
          <w:u w:val="single" w:color="auto"/>
          <w:color w:val="auto"/>
        </w:rPr>
        <w:t>Section 2.1(c)(v)</w:t>
      </w:r>
      <w:r>
        <w:rPr>
          <w:rFonts w:ascii="Times New Roman" w:cs="Times New Roman" w:eastAsia="Times New Roman" w:hAnsi="Times New Roman"/>
          <w:sz w:val="20"/>
          <w:szCs w:val="20"/>
          <w:color w:val="auto"/>
        </w:rPr>
        <w:t xml:space="preserve">, no Lender shall be required to make a Revolving Loan to any Borrower for the purpose of refunding a Swing Line Loan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above or to purchase a participating interest in a Swing Line Loan pursuant to </w:t>
      </w:r>
      <w:r>
        <w:rPr>
          <w:rFonts w:ascii="Times New Roman" w:cs="Times New Roman" w:eastAsia="Times New Roman" w:hAnsi="Times New Roman"/>
          <w:sz w:val="20"/>
          <w:szCs w:val="20"/>
          <w:u w:val="single" w:color="auto"/>
          <w:color w:val="auto"/>
        </w:rPr>
        <w:t>Section 2.1(c)(iv)</w:t>
      </w:r>
      <w:r>
        <w:rPr>
          <w:rFonts w:ascii="Times New Roman" w:cs="Times New Roman" w:eastAsia="Times New Roman" w:hAnsi="Times New Roman"/>
          <w:sz w:val="20"/>
          <w:szCs w:val="20"/>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 of such Lender to make such Refunded Swing Line Loans and to purchase such participating interests shall be reinstated upon the earlier to occur of (y) the date upon which such Lender notifies Swing Line Lender that its prior notice has been withdrawn and (z) the date upon which the Event of Default or Unmatured Event of Default specified in such notice no longer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0580"/>
          </w:cols>
          <w:pgMar w:left="980" w:top="1413" w:right="339" w:bottom="1440" w:gutter="0" w:footer="0" w:header="0"/>
        </w:sectPr>
      </w:pPr>
    </w:p>
    <w:bookmarkStart w:id="222" w:name="page223"/>
    <w:bookmarkEnd w:id="222"/>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Evidence of Indebtedness; Repayment of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Times New Roman" w:cs="Times New Roman" w:eastAsia="Times New Roman" w:hAnsi="Times New Roman"/>
          <w:sz w:val="20"/>
          <w:szCs w:val="20"/>
          <w:u w:val="single" w:color="auto"/>
          <w:color w:val="auto"/>
        </w:rPr>
        <w:t>Exhibit 2.2(a)(1)</w:t>
      </w:r>
      <w:r>
        <w:rPr>
          <w:rFonts w:ascii="Times New Roman" w:cs="Times New Roman" w:eastAsia="Times New Roman" w:hAnsi="Times New Roman"/>
          <w:sz w:val="20"/>
          <w:szCs w:val="20"/>
          <w:color w:val="auto"/>
        </w:rPr>
        <w:t xml:space="preserve"> hereto (or such other form as mutually agreed by Crown Holdings and the Administrative Agent), with blanks appropriately completed in conformity herewith and (2) if Revolving Loans, by a promissory note duly executed and delivered by such Borrower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2.2(a)(2)</w:t>
      </w:r>
      <w:r>
        <w:rPr>
          <w:rFonts w:ascii="Times New Roman" w:cs="Times New Roman" w:eastAsia="Times New Roman" w:hAnsi="Times New Roman"/>
          <w:sz w:val="20"/>
          <w:szCs w:val="20"/>
          <w:color w:val="auto"/>
        </w:rPr>
        <w:t xml:space="preserve"> hereto (or such other form as mutually agreed by Crown Holdings and the Administrative Agent), with blanks appropriately completed in conformity herewith.</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Notation of Payments</w:t>
      </w:r>
      <w:r>
        <w:rPr>
          <w:rFonts w:ascii="Times New Roman" w:cs="Times New Roman" w:eastAsia="Times New Roman" w:hAnsi="Times New Roman"/>
          <w:sz w:val="20"/>
          <w:szCs w:val="20"/>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Loans</w:t>
      </w:r>
      <w:r>
        <w:rPr>
          <w:rFonts w:ascii="Times New Roman" w:cs="Times New Roman" w:eastAsia="Times New Roman" w:hAnsi="Times New Roman"/>
          <w:sz w:val="20"/>
          <w:szCs w:val="20"/>
          <w:color w:val="auto"/>
        </w:rPr>
        <w:t xml:space="preserve">. Each Borrower hereby unconditionally promises to pay to Administrative Agent for the account of the relevant Lenders (i) 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 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Effective Date until payment in full thereof at the rates per annum, and on the dates,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Minimum Amount of Each Borrowing; Maximum Number of Borrowings</w:t>
      </w:r>
      <w:r>
        <w:rPr>
          <w:rFonts w:ascii="Times New Roman" w:cs="Times New Roman" w:eastAsia="Times New Roman" w:hAnsi="Times New Roman"/>
          <w:sz w:val="20"/>
          <w:szCs w:val="20"/>
          <w:color w:val="auto"/>
        </w:rPr>
        <w:t xml:space="preserve">.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no time shall there be outstanding more than, unless approved by Administrative Agent in its reasonable discretion, ten (10) Borrowings of Eurocurrency Loans, SOFR Loans and RFR Loans at any time.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Borrowing Options</w:t>
      </w:r>
      <w:r>
        <w:rPr>
          <w:rFonts w:ascii="Times New Roman" w:cs="Times New Roman" w:eastAsia="Times New Roman" w:hAnsi="Times New Roman"/>
          <w:sz w:val="20"/>
          <w:szCs w:val="20"/>
          <w:color w:val="auto"/>
        </w:rPr>
        <w:t>. The Term Loans and the Revolving Loans shall, at the option of the applicable Borrower except as otherwise provided in this Agreement, be (i) Base Rate Loans, (ii) SOFR Loans, or (iii) part Base Rate Loans and part SOFR Loans. The Term Loans and Multicurrency Revolving Loans denominated in Euro shall be Eurocurrency Loans. Multicurrency Revolving Loans denominated in Sterling shall be Daily Simple RFR Loans. Multicurrency Revolving Loans denominated in any other Alternative Currency shall bear interest based on the benchmark rate agreed for such Alternative Currency pursuant to Section 2.8. As to any Loan, any Lender may, if it so elects, fulfill its commitment by causing a domestic or foreign branch or affiliate with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223" w:name="page224"/>
    <w:bookmarkEnd w:id="223"/>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capacities to fund such currency and without any increased cost to Borrowers to make or continue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Whenever any Borrower desires to make a Borrowing of any Loan (other than a Swing Line Loan) hereunder, it shall give Administrative Agent at its Notice Address at least one Business Day’s prior written notice (or telephonic notice promptly confirmed in writing), given not later than 12:00 p.m. (New York City time), of each Base Rate Loan, at least one Business Day’s prior written notice (or telephonic notice promptly confirmed in writing), given not later than 8:00 a.m. (New York City time), of each Daily Simple RFR Loan, and at least three Business Days’ prior written notice (or telephonic notice promptly confirmed in writing), given not later than 12:00 p.m. (New York City time) (or 8:00 a.m. (New York City time), in the case of a borrowing in Euro), of each SOFR Loan or Eurocurrency Loan, as applicable, to be made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Notice of Borrowing with respect to Borrowings to be made on the Incremental Amendment No. 3 and Fifth Amendment Effective Date may be delivered later than the time specified above but no later than (x) in the case of Dollar denominated Loans, 10:00 a.m. (New York City time) and (y) in the case of Alternative Currency Loans, 12:00 p.m. (London time), in each case, on the Business Day prior to the Incremental Amendment No. 3 and Fifth Amendment Effective Date. Whenever U.S. Borrower desires that Swing Line Lender make a Swing Line Loan in Dollars under </w:t>
      </w:r>
      <w:r>
        <w:rPr>
          <w:rFonts w:ascii="Times New Roman" w:cs="Times New Roman" w:eastAsia="Times New Roman" w:hAnsi="Times New Roman"/>
          <w:sz w:val="19"/>
          <w:szCs w:val="19"/>
          <w:u w:val="single" w:color="auto"/>
          <w:color w:val="auto"/>
        </w:rPr>
        <w:t>Section 2.1(c)(ii)</w:t>
      </w:r>
      <w:r>
        <w:rPr>
          <w:rFonts w:ascii="Times New Roman" w:cs="Times New Roman" w:eastAsia="Times New Roman" w:hAnsi="Times New Roman"/>
          <w:sz w:val="19"/>
          <w:szCs w:val="19"/>
          <w:color w:val="auto"/>
        </w:rPr>
        <w:t xml:space="preserve">,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under </w:t>
      </w:r>
      <w:r>
        <w:rPr>
          <w:rFonts w:ascii="Times New Roman" w:cs="Times New Roman" w:eastAsia="Times New Roman" w:hAnsi="Times New Roman"/>
          <w:sz w:val="19"/>
          <w:szCs w:val="19"/>
          <w:u w:val="single" w:color="auto"/>
          <w:color w:val="auto"/>
        </w:rPr>
        <w:t>Section 2.1(c)(ii)</w:t>
      </w:r>
      <w:r>
        <w:rPr>
          <w:rFonts w:ascii="Times New Roman" w:cs="Times New Roman" w:eastAsia="Times New Roman" w:hAnsi="Times New Roman"/>
          <w:sz w:val="19"/>
          <w:szCs w:val="19"/>
          <w:color w:val="auto"/>
        </w:rPr>
        <w:t>, the applicable Borrower shall deliver written notice (or telephone notice promptly confirmed in writing) to Swing Line Lender and U.K. Administrative Agent with a copy to the Administrative Agent prior to 9:30 a.m. (London time) on (i) with respect to Swing Line Loans denominated in Sterling, the date of such Borrowing and (ii) with respect to Swing Line Loans denominated in Euro, the date that is two Business Days prior to such Borrowing. Each such notice (each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which shall be in the form of </w:t>
      </w:r>
      <w:r>
        <w:rPr>
          <w:rFonts w:ascii="Times New Roman" w:cs="Times New Roman" w:eastAsia="Times New Roman" w:hAnsi="Times New Roman"/>
          <w:sz w:val="19"/>
          <w:szCs w:val="19"/>
          <w:u w:val="single" w:color="auto"/>
          <w:color w:val="auto"/>
        </w:rPr>
        <w:t>Exhibit 2.5</w:t>
      </w:r>
      <w:r>
        <w:rPr>
          <w:rFonts w:ascii="Times New Roman" w:cs="Times New Roman" w:eastAsia="Times New Roman" w:hAnsi="Times New Roman"/>
          <w:sz w:val="19"/>
          <w:szCs w:val="19"/>
          <w:color w:val="auto"/>
        </w:rPr>
        <w:t xml:space="preserve"> hereto (or such other form as mutually agreed by Crown Holdings and the Administrative Agent), shall be irrevocable, shall be deemed a representation by such Borrower that all conditions precedent to such Borrowing have been satisfied and shall specify (i) the aggregate principal amount of the Loans to be made pursuant to such Borrowing stated in the relevant currency, (ii) the date of Borrowing (which shall be a Business Day), (iii) whether the Loans being made pursuant to such Borrowing are to be Swing Line Loans, and (iv) whether the Loans being made pursuant to such Borrowing are to be Dollar Revolving Loans or Multicurrency Revolving Loans, and, as applicable, whether such Loans are to be Base Rate Loans, SOFR Loans, Daily Simple RFR Loans or Eurocurrency Loans and, with respect to SOFR Loans and Eurocurrency Loans, the Interest Period and Applicable Currency to be applicable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Borrower shall have failed to specify the Type, Applicable Currency or Interest Period of such Loans (and shall not have promptly responded to the Administrative Agent’s request for such information), such Borrower shall be deemed to have requested a (x) in the case of a Loan denominated in Dollars, a SOFR Loan, (y) in the case of a Loan denominated in Euro, a Eurocurrency Loan or (z) in the case of a loan denominated in Sterling, an RFR Loan, with an Interest Period (in the case of a Eurocurrency Loan or a SOFR Loan) of one month, and if no currency is specified, in Dollars (or Sterling, in the case of an RFR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date of such notice is less than 3 Business Days from the date of such Borrowing, such Borrower shall be deemed to have requested a Base Rate Loan in Dollars. Administrative Agent shall as promptly as practicable give each Lender that would be required to fund a portion of a proposed Borrowing written or telephonic notice (promptly confirmed in writing) of such proposed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224" w:name="page225"/>
    <w:bookmarkEnd w:id="224"/>
    <w:p>
      <w:pPr>
        <w:jc w:val="both"/>
        <w:spacing w:after="0" w:line="253" w:lineRule="auto"/>
        <w:rPr>
          <w:sz w:val="20"/>
          <w:szCs w:val="20"/>
          <w:color w:val="auto"/>
        </w:rPr>
      </w:pPr>
      <w:r>
        <w:rPr>
          <w:rFonts w:ascii="Times New Roman" w:cs="Times New Roman" w:eastAsia="Times New Roman" w:hAnsi="Times New Roman"/>
          <w:sz w:val="20"/>
          <w:szCs w:val="20"/>
          <w:color w:val="auto"/>
        </w:rPr>
        <w:t>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Conversion or Continuation</w:t>
      </w:r>
      <w:r>
        <w:rPr>
          <w:rFonts w:ascii="Times New Roman" w:cs="Times New Roman" w:eastAsia="Times New Roman" w:hAnsi="Times New Roman"/>
          <w:sz w:val="20"/>
          <w:szCs w:val="20"/>
          <w:color w:val="auto"/>
        </w:rPr>
        <w:t xml:space="preserve">. Any Borrower may elect (i) on any Business Day to convert Base Rate Loans or any portion thereof to SOFR Loans, (ii) at the end of any Interest Period with respect thereto, to convert Loans denominated in Dollars that are SOFR Loans or any portion thereof into Base Rate Loans or to continue such SOFR Loans or any portion thereof for an additional Interest Period and (iii) at the end of any Interest Period with respect thereto, to continue Eurocurrency Loans for an additional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SOFR Loans or Eurocurrency Loans shall be allocated among the SOFR Loans or Eurocurrency Loans, as applicable, in the applicable Facility of the applicable Lenders in accordance with their respective Pro Rata Shares. Each such election shall be in substantially the form of </w:t>
      </w:r>
      <w:r>
        <w:rPr>
          <w:rFonts w:ascii="Times New Roman" w:cs="Times New Roman" w:eastAsia="Times New Roman" w:hAnsi="Times New Roman"/>
          <w:sz w:val="20"/>
          <w:szCs w:val="20"/>
          <w:u w:val="single" w:color="auto"/>
          <w:color w:val="auto"/>
        </w:rPr>
        <w:t>Exhibit 2.6</w:t>
      </w:r>
      <w:r>
        <w:rPr>
          <w:rFonts w:ascii="Times New Roman" w:cs="Times New Roman" w:eastAsia="Times New Roman" w:hAnsi="Times New Roman"/>
          <w:sz w:val="20"/>
          <w:szCs w:val="20"/>
          <w:color w:val="auto"/>
        </w:rPr>
        <w:t xml:space="preserve"> hereto (or such other form as mutually agreed by Crown Holdings and the Administrative Agent) (a “</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and shall be made by giving Administrative Agent at least three Business Days’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SOFR Loans or Eurocurrency Loans, the Interest Period therefor, and (iii) in the case of a conversion, the date of conversion (which date shall be a Business Day). Notwithstanding the foregoing, no conversion in whole or in part of Base Rate Loans to SOFR Loans, and no continuation in whole or in part of SOFR Loans, shall be permitted at any time at which an Event of Default shall have occurred and be continuing. If, within the time period required under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Administrative Agent does not receive a Notice of Conversion or Continuation from the applicable Borrower containing a permitted election to continue any SOFR Loans or Eurocurrency Loans for an additional Interest Period or to convert any such SOFR Loans or Eurocurrency Loans, then, upon the expiration of the Interest Period therefor, such SOFR Loans or Eurocurrency Loans will be automatically continued as SOFR Loans or Eurocurrency Loans, as applicable, in the same Applicable Currency with an Interest Period of one month. Each Notice of Conversion or Continuation shall be irrevocable.</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Disbursement of Funds</w:t>
      </w:r>
      <w:r>
        <w:rPr>
          <w:rFonts w:ascii="Times New Roman" w:cs="Times New Roman" w:eastAsia="Times New Roman" w:hAnsi="Times New Roman"/>
          <w:sz w:val="20"/>
          <w:szCs w:val="20"/>
          <w:color w:val="auto"/>
        </w:rPr>
        <w:t>. No later than 9:00 a.m. (local time at the place of funding) on the date specified in each Notice of Borrowing (3:30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Daily Simple RFR Loans) and Administrative Agent will make available to the applicable Borrower at its Payment Office the aggregate of the amounts so made available by the Lenders not later than 10:00 a.m. (local time at the place of funding), or in the case of Swing Line Loans, 4:30 p.m. (local time in the place of funding). Unless Administrative Agent shall have been notified by any Lender at least one (1)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225" w:name="page226"/>
    <w:bookmarkEnd w:id="22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date of Borrowing that 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SOFR Loans, Daily Simple RFR Loans or Eurocurrency Loans, as the case may be, applicable during the period in question;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interest paid to Administrative Agent in respect of such corresponding amount shall be credited against interest payable by Borrower to such Lender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 Borrower with respect to any amounts paid to Administrative Agent or any Lender with respect to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Utilization of Revolving Commitments in an Alternative Currency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2"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Loans as of the last Business Day of each Interest Period or Interest Payment Date, as applicable,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226" w:name="page227"/>
    <w:bookmarkEnd w:id="226"/>
    <w:p>
      <w:pPr>
        <w:spacing w:after="0" w:line="283" w:lineRule="auto"/>
        <w:rPr>
          <w:sz w:val="20"/>
          <w:szCs w:val="20"/>
          <w:color w:val="auto"/>
        </w:rPr>
      </w:pPr>
      <w:r>
        <w:rPr>
          <w:rFonts w:ascii="Times New Roman" w:cs="Times New Roman" w:eastAsia="Times New Roman" w:hAnsi="Times New Roman"/>
          <w:sz w:val="20"/>
          <w:szCs w:val="20"/>
          <w:color w:val="auto"/>
        </w:rPr>
        <w:t>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146" w:lineRule="exact"/>
        <w:rPr>
          <w:sz w:val="20"/>
          <w:szCs w:val="20"/>
          <w:color w:val="auto"/>
        </w:rPr>
      </w:pPr>
    </w:p>
    <w:p>
      <w:pPr>
        <w:jc w:val="both"/>
        <w:ind w:firstLine="656"/>
        <w:spacing w:after="0" w:line="250"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European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Times New Roman" w:cs="Times New Roman" w:eastAsia="Times New Roman" w:hAnsi="Times New Roman"/>
          <w:sz w:val="20"/>
          <w:szCs w:val="20"/>
          <w:u w:val="single" w:color="auto"/>
          <w:color w:val="auto"/>
        </w:rPr>
        <w:t>Agreed Alternative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xml:space="preserve">”). European Borrower shall deliver to Administrative Agent any request for designation of an Agreed Alternative Currency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 (2) Business Days of receipt thereof. Each Multicurrency Revolving Lender may grant or accept such request in its sole discretion. Administrative Agent will promptly notify European Borrower of the acceptance or rejection of any such request.</w:t>
      </w:r>
    </w:p>
    <w:p>
      <w:pPr>
        <w:spacing w:after="0" w:line="19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 (3) Business Days prior to the day of such Borrowing that such Lender cannot provide Loans in the requested Agreed Alternative Currency, in which 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Crown Holdings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proposed continuation of Revolving Loans denominated in an Agreed Alternative Currency for an additional Interest Period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227" w:name="page228"/>
    <w:bookmarkEnd w:id="227"/>
    <w:p>
      <w:pPr>
        <w:jc w:val="both"/>
        <w:spacing w:after="0" w:line="251" w:lineRule="auto"/>
        <w:rPr>
          <w:sz w:val="20"/>
          <w:szCs w:val="20"/>
          <w:color w:val="auto"/>
        </w:rPr>
      </w:pPr>
      <w:r>
        <w:rPr>
          <w:rFonts w:ascii="Times New Roman" w:cs="Times New Roman" w:eastAsia="Times New Roman" w:hAnsi="Times New Roman"/>
          <w:sz w:val="20"/>
          <w:szCs w:val="20"/>
          <w:color w:val="auto"/>
        </w:rPr>
        <w:t>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SOFR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195" w:lineRule="exact"/>
        <w:rPr>
          <w:sz w:val="20"/>
          <w:szCs w:val="20"/>
          <w:color w:val="auto"/>
        </w:rPr>
      </w:pPr>
    </w:p>
    <w:p>
      <w:pPr>
        <w:jc w:val="both"/>
        <w:ind w:firstLine="656"/>
        <w:spacing w:after="0" w:line="262" w:lineRule="auto"/>
        <w:tabs>
          <w:tab w:leader="none" w:pos="128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an Alternative Currency Loan denominated in a currency other than Euros is outstanding, the relevant Alternative Currency is replaced as the lawful currency of the country that issued such Alternative Currency (the “</w:t>
      </w:r>
      <w:r>
        <w:rPr>
          <w:rFonts w:ascii="Times New Roman" w:cs="Times New Roman" w:eastAsia="Times New Roman" w:hAnsi="Times New Roman"/>
          <w:sz w:val="19"/>
          <w:szCs w:val="19"/>
          <w:u w:val="single" w:color="auto"/>
          <w:color w:val="auto"/>
        </w:rPr>
        <w:t>Issuing Country</w:t>
      </w:r>
      <w:r>
        <w:rPr>
          <w:rFonts w:ascii="Times New Roman" w:cs="Times New Roman" w:eastAsia="Times New Roman" w:hAnsi="Times New Roman"/>
          <w:sz w:val="19"/>
          <w:szCs w:val="19"/>
          <w:color w:val="auto"/>
        </w:rPr>
        <w:t>”) by the Euro so that all payments are to be made in the Issuing Country in Euros and not in the Alternative Currency previously the lawful currency of such country, then such Alternative Currency Loan shall be automatically converted into an Alternative Currency Loan denominated in Euros in a principal amount equal to the amount of Euros into which the principal amount of such Alternative Currency Loan would be converted pursuant to the EMU Legislation and thereafter no further Alternative Currency Loans will be available in such Alternative Currency, with the basis of accrual of interest, notice requirements and payment offices with respect to such Alternative Currency Loan to be that consistent with the convention and practices in the Euro-zone interbank market for Euro denominated loans. Without prejudice and in addition to any method of conversion or rounding prescribed by any relevant EMU Legislation, (i) each reference in this Agreement to a minimum amount (or an integral multiple thereof) in such Alternative Currency shall be replaced by a reference to such reasonably comparable and convenient amount (or an integral multiple thereof) in Euros as the Administrative Agent may from time to time specify and</w:t>
      </w:r>
    </w:p>
    <w:p>
      <w:pPr>
        <w:spacing w:after="0" w:line="3"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subject to such other reasonable changes of construction as the Administrative Agent may from time to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specify to be necessary or appropriate to reflect the introduction of or changeover to Euros.</w:t>
      </w:r>
    </w:p>
    <w:p>
      <w:pPr>
        <w:spacing w:after="0" w:line="200" w:lineRule="exact"/>
        <w:rPr>
          <w:sz w:val="20"/>
          <w:szCs w:val="20"/>
          <w:color w:val="auto"/>
        </w:rPr>
      </w:pPr>
    </w:p>
    <w:p>
      <w:pPr>
        <w:jc w:val="both"/>
        <w:ind w:firstLine="656"/>
        <w:spacing w:after="0" w:line="252" w:lineRule="auto"/>
        <w:tabs>
          <w:tab w:leader="none" w:pos="129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each case, to the maximum extent permitted under applicable law, the applicable Borrowers from time to time, at the request of any Lender or any Facing Agent, shall pay to such Lender or Facing Agent the amount of any losses, damages, liabilities, claims, reduction in yield, additional expense, increased cost, reduction in any amount payable, reduction in the effective return of its capital, the decrease or delay in the payment of interest or any other return forgone as reasonably determined by such Lender or Facing Agent or its affiliates with respect to an Alternative Currency Loan affected by </w:t>
      </w:r>
      <w:r>
        <w:rPr>
          <w:rFonts w:ascii="Times New Roman" w:cs="Times New Roman" w:eastAsia="Times New Roman" w:hAnsi="Times New Roman"/>
          <w:sz w:val="20"/>
          <w:szCs w:val="20"/>
          <w:u w:val="single" w:color="auto"/>
          <w:color w:val="auto"/>
        </w:rPr>
        <w:t>Section 2.8(e)</w:t>
      </w:r>
      <w:r>
        <w:rPr>
          <w:rFonts w:ascii="Times New Roman" w:cs="Times New Roman" w:eastAsia="Times New Roman" w:hAnsi="Times New Roman"/>
          <w:sz w:val="20"/>
          <w:szCs w:val="20"/>
          <w:color w:val="auto"/>
        </w:rPr>
        <w:t xml:space="preserve"> as a result of the tax or currency exchange resulting from the introduction, changeover to or operation of the Euro in any applicable nation or the Eurozone. A certificate of any such Lender or the respective Facing Agent setting forth such Lender’s or such Facing Agent’s determination of the amount or amounts necessary to compensate such Lender or such Facing Agent shall be delivered to the Administrative Agent for delivery to the applicable Borrower and shall be conclusive absent manifest error so long as such determination is made by such Lender or such Facing Agent on a reasonable basis. The applicable Borrower shall pay such Lender the amount shown as due on any such certificate within 10 days after receipt thereof.</w:t>
      </w:r>
    </w:p>
    <w:p>
      <w:pPr>
        <w:spacing w:after="0" w:line="17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during the existence of an Event of Default, upon the request of the Majority Lenders under any Revolving Facility with outstanding Alternative Currency Loans, all or any part of any outstanding Revolving Loans that are Alternative Currency Loans under such Revolving Facility shall be redenominated and converted into Base Rate Loans in Dollars with effect from the last day of the Interest Period with respect to any such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Currency Loans. The Administrative Agent will promptly notify Company of any such redenomination and conversion request.</w:t>
      </w:r>
    </w:p>
    <w:p>
      <w:pPr>
        <w:spacing w:after="0" w:line="22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Additional Facility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48" w:lineRule="auto"/>
        <w:tabs>
          <w:tab w:leader="none" w:pos="128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Borrower and European Borrower shall have the right at any time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with respect to any Additional Facility the proceeds of which are being used to finance a Limited Condition Transaction, so long as no Event of Default then exists) and from time to time after the Incremental Amendment No. 3 and Fifth Amendment Effective Date to obtain and incur from one or more existing Lenders and/or other Persons that are Eligible Assignees and which, in each case, agree to make such commitments and loans to such Borrower, loans and commitments to make loans in an aggregate principal amount not to exceed the Incremental Cap, which loans and commitments may be incurred as (i) commitments to increase any tranche of Revolving Commitments (“</w:t>
      </w:r>
      <w:r>
        <w:rPr>
          <w:rFonts w:ascii="Times New Roman" w:cs="Times New Roman" w:eastAsia="Times New Roman" w:hAnsi="Times New Roman"/>
          <w:sz w:val="20"/>
          <w:szCs w:val="20"/>
          <w:u w:val="single" w:color="auto"/>
          <w:color w:val="auto"/>
        </w:rPr>
        <w:t>Additional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(ii) one or more additional tranches of revolving commitments (“</w:t>
      </w:r>
      <w:r>
        <w:rPr>
          <w:rFonts w:ascii="Times New Roman" w:cs="Times New Roman" w:eastAsia="Times New Roman" w:hAnsi="Times New Roman"/>
          <w:sz w:val="20"/>
          <w:szCs w:val="20"/>
          <w:u w:val="single" w:color="auto"/>
          <w:color w:val="auto"/>
        </w:rPr>
        <w:t>Additional Revolving Facility</w:t>
      </w:r>
      <w:r>
        <w:rPr>
          <w:rFonts w:ascii="Times New Roman" w:cs="Times New Roman" w:eastAsia="Times New Roman" w:hAnsi="Times New Roman"/>
          <w:sz w:val="20"/>
          <w:szCs w:val="20"/>
          <w:color w:val="auto"/>
        </w:rPr>
        <w:t xml:space="preserve">”) as allocated by Crown Holdings and the Lenders providing commitments in respect of such Additional Revolving Facility under a facility that would provide that such Additional Revolving Facility would have a final maturity no earlier than the latest existing Revolver Termination Date (except Additional Revolving Facilities in an aggregate principal amount not to exceed the Inside Maturity Date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and conditions of any Additional Revolving Facility, taken as a whole, shall be no more restrictive than those applicable to the existing Revolving Facilities (other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Additional Revolving Facilities, (A) the applicable Borrowers shall have the right to unilaterally provide the Lenders under the existing Revolving Facilities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 similar financial maintenance covenant and to the extent that such financial maintenance covenant would be effective prior to the latest Revolving Termination Date for such Revolving Facilities) (it being understood and agreed that Crown Holdings may, at its option, deliver a certificate to the Administrative Agent certifying that the requirements of the provisos to this clause (ii)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(iii) one or more tranches of additional term loans (“</w:t>
      </w:r>
      <w:r>
        <w:rPr>
          <w:rFonts w:ascii="Times New Roman" w:cs="Times New Roman" w:eastAsia="Times New Roman" w:hAnsi="Times New Roman"/>
          <w:sz w:val="20"/>
          <w:szCs w:val="20"/>
          <w:u w:val="single" w:color="auto"/>
          <w:color w:val="auto"/>
        </w:rPr>
        <w:t>Additional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allocated by Crown Holdings and the Lenders providing such Additional Term Loans under a facility that would provide that the Additional Term Loans would have a Weighted Average Life to Maturity of not less than the existing Term Loans with the then longest Weighted Average Life to Maturity and a final maturity no earlier than the latest Term Loan A Maturity Date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Weighted Average Life to Maturity and final maturity limitations set forth in this clause (iii) shall not apply to Additional Term Loans in an aggregate principal amount not to exceed the Inside Maturity Date Amount and/or (iv) increases to one or more existing Term Facilities (collectively, the increases and tranches referred to in clauses (i)-(iv), the “</w:t>
      </w:r>
      <w:r>
        <w:rPr>
          <w:rFonts w:ascii="Times New Roman" w:cs="Times New Roman" w:eastAsia="Times New Roman" w:hAnsi="Times New Roman"/>
          <w:sz w:val="19"/>
          <w:szCs w:val="19"/>
          <w:u w:val="single" w:color="auto"/>
          <w:color w:val="auto"/>
        </w:rPr>
        <w:t>Additional Facilities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terms and conditions of any Additional Term Loans, taken as a whole, shall be no more restrictive than those applicable to the existing Term Facilities (other than as to pricing, interest rate margins, interest rate floors, discounts, 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w:t>
      </w:r>
    </w:p>
    <w:p>
      <w:pPr>
        <w:spacing w:after="0" w:line="8" w:lineRule="exact"/>
        <w:rPr>
          <w:sz w:val="20"/>
          <w:szCs w:val="20"/>
          <w:color w:val="auto"/>
        </w:rPr>
      </w:pPr>
    </w:p>
    <w:p>
      <w:pPr>
        <w:jc w:val="both"/>
        <w:ind w:firstLine="8"/>
        <w:spacing w:after="0" w:line="247" w:lineRule="auto"/>
        <w:tabs>
          <w:tab w:leader="none" w:pos="33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such terms are more favorable (taken as a whole) to the 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Term Loans, no consent shall be required from the Administrative Agent or any Lender to the extent that such financial maintenance covenant is also added for the benefit of the Term Loans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existing Lender approached to provide all or a portion of the Additional Facilities may elect or decline, in its sole discretion, to provide such Additional Facilities. Any Additional Facility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and/or Revolving Commitments and/or Additional Facility Commitments in right of payment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 a Lender with respect to a tranche of Additional Facilities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extension of an Additional Facility to which a New Lender is a party shall apply to such New Lender without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230" w:name="page231"/>
    <w:bookmarkEnd w:id="230"/>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consent. Each New Lender hereby agrees to take such actions and execute and deliver such amendments, agreements, instruments or documents as the Administrative Agent may reasonably request to give effect to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172" w:lineRule="exact"/>
        <w:rPr>
          <w:sz w:val="20"/>
          <w:szCs w:val="20"/>
          <w:color w:val="auto"/>
        </w:rPr>
      </w:pPr>
    </w:p>
    <w:p>
      <w:pPr>
        <w:jc w:val="both"/>
        <w:ind w:firstLine="656"/>
        <w:spacing w:after="0" w:line="252"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U.S. Borrower or European Borrower desires to create an Additional Facility, such Borrower will enter into an amendment to this Agreement with the lenders providing such Additional Facility (who shall by execution thereof become Lenders hereunder if not theretofore Lenders) to provide for such Additional Facility, which amendment shall set forth any terms and conditions of the Additional Facility not covered by this Agreement as agreed by the applicable Borrower and such Lenders, and shall provide for the issuance of promissory notes to evidence the Additional Facility if requested by the Lenders making advances under the Additional Facility (which notes shall constitute Notes for purposes of this Agreement), with such amendment to be in form and substance reasonably acceptable to Administrative Agent and consistent with the terms of this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and of the other provisions of this Agreement. Notwithstanding anything herein to the contrary, no consent of any Lender (other than any Lender making loans or whose commitment is increased under such Additional Facility) is required to permit the Loans or commitments contemplated by this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or the aforesaid amendment to effectuate such Additional Facility.</w:t>
      </w:r>
    </w:p>
    <w:p>
      <w:pPr>
        <w:spacing w:after="0" w:line="177"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implementation of any Additional Revolving Credit Commitments or any new Additional Revolving Facility, (i) if such Additional Revolving Credit Commitments or Additional Revolving Facility, as applicable, is implemented either by increasing the amount of then-existing Revolving Commitments 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it being understood and agreed that the minimum borrowing,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borrowing and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and (ii) if 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Times New Roman" w:cs="Times New Roman" w:eastAsia="Times New Roman" w:hAnsi="Times New Roman"/>
          <w:sz w:val="20"/>
          <w:szCs w:val="20"/>
          <w:u w:val="single" w:color="auto"/>
          <w:color w:val="auto"/>
        </w:rPr>
        <w:t>Comparable Revolving Facility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231" w:name="page232"/>
    <w:bookmarkEnd w:id="23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such new Additional Revolving Facility, (B) repayments required upon the Maturity Date of the then-existing Comparable Revolving Facility and such new Additional Comparable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other Comparable Revolving Facility that has a later Maturity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193" w:lineRule="exact"/>
        <w:rPr>
          <w:sz w:val="20"/>
          <w:szCs w:val="20"/>
          <w:color w:val="auto"/>
        </w:rPr>
      </w:pPr>
    </w:p>
    <w:p>
      <w:pPr>
        <w:jc w:val="both"/>
        <w:ind w:firstLine="656"/>
        <w:spacing w:after="0" w:line="261" w:lineRule="auto"/>
        <w:tabs>
          <w:tab w:leader="none" w:pos="1284"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U.S. Borrower and European Borrower may utilize any portion of the Incremental Cap in effect at such time (subject to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with respect to any Incremental Equivalent Debt the proceeds of which are being used to finance a Limited Condition Transaction, so long as no Event of Default then exists) to issue or incur Indebtedness consisting of senior secured first lien term loans or notes in lieu of an Additional Term Facility (“</w:t>
      </w:r>
      <w:r>
        <w:rPr>
          <w:rFonts w:ascii="Times New Roman" w:cs="Times New Roman" w:eastAsia="Times New Roman" w:hAnsi="Times New Roman"/>
          <w:sz w:val="19"/>
          <w:szCs w:val="19"/>
          <w:u w:val="single" w:color="auto"/>
          <w:color w:val="auto"/>
        </w:rPr>
        <w:t>Incremental Equivalent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(1) such Incremental Equivalent Debt shall have a Weighted Average Life to Maturity of not less than the existing Term Loans with the then longest Weighted Average Life to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Weighted Average Life to Maturity and final maturity limitations set forth in this clause (1) shall not apply to Incremental Equivalent Debt in an aggregate principal amount not to exceed the Inside Maturity Date Amount and (2) that the terms and conditions of such Incremental Equivalent Debt, taken as a whole, shall be no more restrictive than those applicable to the existing Term Facilities (other than as to pricing, interest rate margins, interest rate floors, discounts, fees, premiums, other economic terms, maturity and prepayment or redemption terms (provided that such Incremental Equivalent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Incremental Equivalent Debt is incurred (without regard to the maturity date of such Incremental Equivalent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w:t>
      </w:r>
    </w:p>
    <w:p>
      <w:pPr>
        <w:spacing w:after="0" w:line="11"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terms and conditions of such Incremental Equivalent Debt are not consistent with one or more of the existing Term</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Incremental Equivalent Debt,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Incremental Equivalent Debt, no consent shall be required from the Administrative Agent or any Lender to the extent that such financial maintenance covenant is also added for the benefit of the Term Loans that remain outstanding after the issuance or incurrence of such Incremental Equivalent Debt (to the extent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232" w:name="page233"/>
    <w:bookmarkEnd w:id="23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Times New Roman" w:cs="Times New Roman" w:eastAsia="Times New Roman" w:hAnsi="Times New Roman"/>
          <w:sz w:val="20"/>
          <w:szCs w:val="20"/>
          <w:i w:val="1"/>
          <w:iCs w:val="1"/>
          <w:color w:val="auto"/>
        </w:rPr>
        <w:t xml:space="preserve">pari passu </w:t>
      </w:r>
      <w:r>
        <w:rPr>
          <w:rFonts w:ascii="Times New Roman" w:cs="Times New Roman" w:eastAsia="Times New Roman" w:hAnsi="Times New Roman"/>
          <w:sz w:val="20"/>
          <w:szCs w:val="20"/>
          <w:color w:val="auto"/>
        </w:rPr>
        <w:t>with any then-existing tranche of Loans and/or Revolving Commitments and/or Additional Facility Commitments in right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payment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incurred by and/or Revolving Commitments and/or Additional Facility Commitments made available to the same Borrower in right of guarantees and security and the holders of such 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193" w:lineRule="exact"/>
        <w:rPr>
          <w:sz w:val="20"/>
          <w:szCs w:val="20"/>
          <w:color w:val="auto"/>
        </w:rPr>
      </w:pPr>
    </w:p>
    <w:p>
      <w:pPr>
        <w:jc w:val="both"/>
        <w:ind w:firstLine="656"/>
        <w:spacing w:after="0" w:line="250"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herein, in the event the tranche of Additional Term Loans or Incremental Equivalent Debt is used to finance a Permitted Acquisition (including the Signode Acquisition) and to the extent the Lenders participating in such tranche of Additional Term Loans or Incremental Equivalent Debt, as applicable,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 requirement that no Event of Default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shall have occurred and be continuing.</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12.1</w:t>
      </w:r>
      <w:r>
        <w:rPr>
          <w:rFonts w:ascii="Times New Roman" w:cs="Times New Roman" w:eastAsia="Times New Roman" w:hAnsi="Times New Roman"/>
          <w:sz w:val="20"/>
          <w:szCs w:val="20"/>
          <w:color w:val="auto"/>
        </w:rPr>
        <w:t xml:space="preserve"> to the contrary and shall be subject to</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903"/>
        <w:spacing w:after="0" w:line="252" w:lineRule="auto"/>
        <w:tabs>
          <w:tab w:leader="none" w:pos="194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Subject to and upon the terms and conditions herein set forth, U.S. Borrower or European Borrower may request, on behalf of itself or any Subsidiary or Unrestricted Entity, that any Facing Agent (other than the Canadian Facing Agent or the Dollar Facing Agent) issue, at any time and from time to time on and after the Incremental Amendment No. 3 and Fifth Amendment Effective Date, and prior 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and any Unrestricted Entities (in the case of Unrestricted Entities, subject to the limitation on Investments in Unrestricted Entities set forth in </w:t>
      </w:r>
      <w:r>
        <w:rPr>
          <w:rFonts w:ascii="Times New Roman" w:cs="Times New Roman" w:eastAsia="Times New Roman" w:hAnsi="Times New Roman"/>
          <w:sz w:val="20"/>
          <w:szCs w:val="20"/>
          <w:u w:val="single" w:color="auto"/>
          <w:color w:val="auto"/>
        </w:rPr>
        <w:t>Section 8.4(m)</w:t>
      </w:r>
      <w:r>
        <w:rPr>
          <w:rFonts w:ascii="Times New Roman" w:cs="Times New Roman" w:eastAsia="Times New Roman" w:hAnsi="Times New Roman"/>
          <w:sz w:val="20"/>
          <w:szCs w:val="20"/>
          <w:color w:val="auto"/>
        </w:rPr>
        <w:t>), a letter of credit in Dollars or an Alternative Currency (other than Canadian Dollars), in a form customarily used by such Facing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49" w:lineRule="auto"/>
        <w:rPr>
          <w:sz w:val="20"/>
          <w:szCs w:val="20"/>
          <w:color w:val="auto"/>
        </w:rPr>
      </w:pPr>
      <w:r>
        <w:rPr>
          <w:rFonts w:ascii="Times New Roman" w:cs="Times New Roman" w:eastAsia="Times New Roman" w:hAnsi="Times New Roman"/>
          <w:sz w:val="20"/>
          <w:szCs w:val="20"/>
          <w:color w:val="auto"/>
        </w:rPr>
        <w:t>Agent, or in such other form as has been approved by such Facing Agent (the “</w:t>
      </w: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$275,000,000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aggregate face amount of all Multicurrency Letters of Credit issued and outstanding by any Facing Agent shall not exceed such Facing Agent’s Applicable LC Sublimit or (ii) 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at the request of the applicable requesting Borrower, any Multicurrency Letter of Credit may contain a statement to the effect that such Multicurrency Letter of Credit is issued for the account of Crown Holdings, any of its Subsidiaries or any Unrestricted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205" w:lineRule="exact"/>
        <w:rPr>
          <w:sz w:val="20"/>
          <w:szCs w:val="20"/>
          <w:color w:val="auto"/>
        </w:rPr>
      </w:pPr>
    </w:p>
    <w:p>
      <w:pPr>
        <w:jc w:val="both"/>
        <w:ind w:firstLine="903"/>
        <w:spacing w:after="0" w:line="249"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Canadian Letters of Credit</w:t>
      </w:r>
      <w:r>
        <w:rPr>
          <w:rFonts w:ascii="Times New Roman" w:cs="Times New Roman" w:eastAsia="Times New Roman" w:hAnsi="Times New Roman"/>
          <w:sz w:val="20"/>
          <w:szCs w:val="20"/>
          <w:color w:val="auto"/>
        </w:rPr>
        <w:t>. Subject to and upon the terms and conditions herein set forth, Canadian Borrower may request, on behalf of itself, that the Canadian Facing Agent issue, at any time and from time to time on and after the Incremental Amendment No. 3 and Fifth Amendment Effective Date, and prior to the 5th Business Day preceding the Canadian Revolver Termination Date, for the account of such Borrower and for the benefit of any holder (or any trustee, agent or other similar representative for any such holder) of obligations of Canadian Borrower or any of its Subsidiaries, a letter of credit or letter of guarantee in Canadian Dollars, in a form customarily used by such Facing Agent, or in such other form as has been approved by such Facing Agent (a “</w:t>
      </w:r>
      <w:r>
        <w:rPr>
          <w:rFonts w:ascii="Times New Roman" w:cs="Times New Roman" w:eastAsia="Times New Roman" w:hAnsi="Times New Roman"/>
          <w:sz w:val="20"/>
          <w:szCs w:val="20"/>
          <w:u w:val="single" w:color="auto"/>
          <w:color w:val="auto"/>
        </w:rPr>
        <w:t>Canadian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201" w:lineRule="exact"/>
        <w:rPr>
          <w:rFonts w:ascii="Times New Roman" w:cs="Times New Roman" w:eastAsia="Times New Roman" w:hAnsi="Times New Roman"/>
          <w:sz w:val="20"/>
          <w:szCs w:val="20"/>
          <w:color w:val="auto"/>
        </w:rPr>
      </w:pPr>
    </w:p>
    <w:p>
      <w:pPr>
        <w:jc w:val="both"/>
        <w:ind w:firstLine="903"/>
        <w:spacing w:after="0" w:line="251" w:lineRule="auto"/>
        <w:tabs>
          <w:tab w:leader="none" w:pos="128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Dollar Letters of Credit</w:t>
      </w:r>
      <w:r>
        <w:rPr>
          <w:rFonts w:ascii="Times New Roman" w:cs="Times New Roman" w:eastAsia="Times New Roman" w:hAnsi="Times New Roman"/>
          <w:sz w:val="20"/>
          <w:szCs w:val="20"/>
          <w:color w:val="auto"/>
        </w:rPr>
        <w:t>. Subject to and upon the terms and conditions herein set forth, U.S. Borrower may request, on behalf of itself, that the Dollar Facing Agent issue, at any time and from time to time on and after the Incremental Amendment No. 3 and Fifth Amendment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w:t>
      </w:r>
      <w:r>
        <w:rPr>
          <w:rFonts w:ascii="Times New Roman" w:cs="Times New Roman" w:eastAsia="Times New Roman" w:hAnsi="Times New Roman"/>
          <w:sz w:val="20"/>
          <w:szCs w:val="20"/>
          <w:u w:val="single" w:color="auto"/>
          <w:color w:val="auto"/>
        </w:rPr>
        <w:t>Dollar Letters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 Dollar Letter of Credit shall be issued the Stated Amount of which, when added to the Effective Amount of all Dollar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0580"/>
          </w:cols>
          <w:pgMar w:left="980" w:top="1413" w:right="339" w:bottom="1440" w:gutter="0" w:footer="0" w:header="0"/>
        </w:sectPr>
      </w:pPr>
    </w:p>
    <w:bookmarkStart w:id="234" w:name="page235"/>
    <w:bookmarkEnd w:id="234"/>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(exclusive of Unpaid Drawings relating to Dollar Letters of Credit which are repaid on or prior to the date of, and prior to the issuance of, the respective Dollar Letter of Credit at such time), would exceed either (i) $25,000,000 or (ii) when added to the Dollar Equivalent of the aggregate principal amount of all Dollar Revolving Loans and Dollar LC Obligations then outstanding with respect to the U.S. Borrower, the Total Dollar Revolving Commitment at such time.</w:t>
      </w:r>
    </w:p>
    <w:p>
      <w:pPr>
        <w:spacing w:after="0" w:line="172" w:lineRule="exact"/>
        <w:rPr>
          <w:sz w:val="20"/>
          <w:szCs w:val="20"/>
          <w:color w:val="auto"/>
        </w:rPr>
      </w:pPr>
    </w:p>
    <w:p>
      <w:pPr>
        <w:jc w:val="both"/>
        <w:ind w:firstLine="656"/>
        <w:spacing w:after="0" w:line="268" w:lineRule="auto"/>
        <w:tabs>
          <w:tab w:leader="none" w:pos="128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 of Facing Agent to Issue Letter of Credit</w:t>
      </w:r>
      <w:r>
        <w:rPr>
          <w:rFonts w:ascii="Times New Roman" w:cs="Times New Roman" w:eastAsia="Times New Roman" w:hAnsi="Times New Roman"/>
          <w:sz w:val="19"/>
          <w:szCs w:val="19"/>
          <w:color w:val="auto"/>
        </w:rPr>
        <w:t xml:space="preserve">. Each Facing Agent may agree, in its sole discretion, that it will (subject to the terms and conditions contained herein), at any time and from time to time on or after the Incremental Amendment No. 3 and Fifth Amendment Effective Date and prior to the Revolver Termination Date for the Multicurrency Revolving Facility with respect to Multicurrency Letters of Credit, the Revolver Termination Date for the Dollar Revolving Facility with respect to the Dollar Letters of Credit and the Canadian Revolver Termination Date with respect to Canadian Letters of Credit, following its receipt of the respective Notice of Issuance, issue for the account of the applicable Borrower but subject to the last sentence of </w:t>
      </w:r>
      <w:r>
        <w:rPr>
          <w:rFonts w:ascii="Times New Roman" w:cs="Times New Roman" w:eastAsia="Times New Roman" w:hAnsi="Times New Roman"/>
          <w:sz w:val="19"/>
          <w:szCs w:val="19"/>
          <w:u w:val="single" w:color="auto"/>
          <w:color w:val="auto"/>
        </w:rPr>
        <w:t>Section 2.10(a)(i)</w:t>
      </w:r>
      <w:r>
        <w:rPr>
          <w:rFonts w:ascii="Times New Roman" w:cs="Times New Roman" w:eastAsia="Times New Roman" w:hAnsi="Times New Roman"/>
          <w:sz w:val="19"/>
          <w:szCs w:val="19"/>
          <w:color w:val="auto"/>
        </w:rPr>
        <w:t xml:space="preserve">, one or more Letters of Credit in support of the obligations of the applicable Borrower, any of its Subsidiaries or any Unrestricted Entities,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respective Facing Agent shall be under no obligation to issue any Letter of Credit of the types described above if at the time of such issuance:</w:t>
      </w:r>
    </w:p>
    <w:p>
      <w:pPr>
        <w:spacing w:after="0" w:line="167" w:lineRule="exact"/>
        <w:rPr>
          <w:rFonts w:ascii="Times New Roman" w:cs="Times New Roman" w:eastAsia="Times New Roman" w:hAnsi="Times New Roman"/>
          <w:sz w:val="19"/>
          <w:szCs w:val="19"/>
          <w:color w:val="auto"/>
        </w:rPr>
      </w:pPr>
    </w:p>
    <w:p>
      <w:pPr>
        <w:jc w:val="both"/>
        <w:ind w:left="660" w:firstLine="903"/>
        <w:spacing w:after="0" w:line="251" w:lineRule="auto"/>
        <w:tabs>
          <w:tab w:leader="none" w:pos="1943"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Incremental Amendment No. 3 and Fifth Amendment Effective Date, or any unreimbursed loss, cost or expense which was not applicable, in effect or known to such Facing Agent as of the Incremental Amendment No. 3 and Fifth Amendment Effective Date and which such Facing Agent in good faith deems material to it;</w:t>
      </w:r>
    </w:p>
    <w:p>
      <w:pPr>
        <w:spacing w:after="0" w:line="195" w:lineRule="exact"/>
        <w:rPr>
          <w:rFonts w:ascii="Times New Roman" w:cs="Times New Roman" w:eastAsia="Times New Roman" w:hAnsi="Times New Roman"/>
          <w:sz w:val="20"/>
          <w:szCs w:val="20"/>
          <w:color w:val="auto"/>
        </w:rPr>
      </w:pPr>
    </w:p>
    <w:p>
      <w:pPr>
        <w:ind w:left="660" w:firstLine="903"/>
        <w:spacing w:after="0" w:line="269" w:lineRule="auto"/>
        <w:tabs>
          <w:tab w:leader="none" w:pos="194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Facing Agent shall have received notice from any Lender prior to the issuance of such Letter of Credit of the type described in </w:t>
      </w:r>
      <w:r>
        <w:rPr>
          <w:rFonts w:ascii="Times New Roman" w:cs="Times New Roman" w:eastAsia="Times New Roman" w:hAnsi="Times New Roman"/>
          <w:sz w:val="20"/>
          <w:szCs w:val="20"/>
          <w:u w:val="single" w:color="auto"/>
          <w:color w:val="auto"/>
        </w:rPr>
        <w:t>Section 2.10(b)(iii)(A)(v)</w:t>
      </w:r>
      <w:r>
        <w:rPr>
          <w:rFonts w:ascii="Times New Roman" w:cs="Times New Roman" w:eastAsia="Times New Roman" w:hAnsi="Times New Roman"/>
          <w:sz w:val="20"/>
          <w:szCs w:val="20"/>
          <w:color w:val="auto"/>
        </w:rPr>
        <w:t>; or</w:t>
      </w:r>
    </w:p>
    <w:p>
      <w:pPr>
        <w:spacing w:after="0" w:line="172"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Facing Agent.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587"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 each Multicurrency Letter of Credit, Dollar Letter of Credit and Canadian Letter of Credit shall have an expiry date occurring not later than one year after such Letter of Credit’s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Multicurrency Letter of Credit, Dollar Letter of Credit or Canadian Letter of Credit may be automatically extendable for periods of up to one year so long as such Letter of Credit provides that the respective Facing Agent retains an option, satisfactory to such Facing Agent, to terminate such Letter of Credit within a specified period of time prior to each scheduled extension date; (ii)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 (z) no Canadian Letter of Credit shall have an expiry date occurring later than 10 days prior to the Canadian Revolver Termination Date; (iii)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235" w:name="page236"/>
    <w:bookmarkEnd w:id="235"/>
    <w:p>
      <w:pPr>
        <w:jc w:val="both"/>
        <w:ind w:left="1300"/>
        <w:spacing w:after="0" w:line="252" w:lineRule="auto"/>
        <w:rPr>
          <w:sz w:val="20"/>
          <w:szCs w:val="20"/>
          <w:color w:val="auto"/>
        </w:rPr>
      </w:pPr>
      <w:r>
        <w:rPr>
          <w:rFonts w:ascii="Times New Roman" w:cs="Times New Roman" w:eastAsia="Times New Roman" w:hAnsi="Times New Roman"/>
          <w:sz w:val="20"/>
          <w:szCs w:val="20"/>
          <w:color w:val="auto"/>
        </w:rPr>
        <w:t xml:space="preserve">Multicurrency Letter of Credit shall be denominated in Dollars, or in the respective Facing Agent’s sole discretion, an Alternative Currency, and be payable on a sight basis, each Dollar Letter of Credit shall be denominated in Dollars and be payable on a sight basis and each Canadian Letter of Credit shall be denominated in Canadian Dollars and be payable on a sight basis; (iv) the Stated Amount of each Letter of Credit shall not be less than the Dollar Equivalent of $100,000 or such lesser amount as is acceptable to the respective Facing Agent; and (v) no Facing Agent will issue any Letter of Credit after it has received written notice from the applicable Borrower or the Required Lenders stating that an Event of Default or Unmatured Event of Default exists until such time as such Facing Agent shall have received a written notice of (x) rescission of such notice from the party or parties originally delivering the same or (y) a waiver of such Event of Default or Unmatured Event of Default by the Required Lenders (or all the Lenders to the extent required by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1300" w:firstLine="652"/>
        <w:spacing w:after="0" w:line="252" w:lineRule="auto"/>
        <w:tabs>
          <w:tab w:leader="none" w:pos="259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 2.12(a)(i)</w:t>
      </w:r>
      <w:r>
        <w:rPr>
          <w:rFonts w:ascii="Times New Roman" w:cs="Times New Roman" w:eastAsia="Times New Roman" w:hAnsi="Times New Roman"/>
          <w:sz w:val="20"/>
          <w:szCs w:val="20"/>
          <w:color w:val="auto"/>
        </w:rPr>
        <w:t xml:space="preserve"> (and such Defaulting Lender shall not participate therein).</w:t>
      </w:r>
    </w:p>
    <w:p>
      <w:pPr>
        <w:spacing w:after="0" w:line="177"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Amendments of Letter of Credit</w:t>
      </w:r>
      <w:r>
        <w:rPr>
          <w:rFonts w:ascii="Times New Roman" w:cs="Times New Roman" w:eastAsia="Times New Roman" w:hAnsi="Times New Roman"/>
          <w:sz w:val="20"/>
          <w:szCs w:val="20"/>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Times New Roman" w:cs="Times New Roman" w:eastAsia="Times New Roman" w:hAnsi="Times New Roman"/>
          <w:sz w:val="20"/>
          <w:szCs w:val="20"/>
          <w:u w:val="single" w:color="auto"/>
          <w:color w:val="auto"/>
        </w:rPr>
        <w:t>Exhibit 2.10(c)</w:t>
      </w:r>
      <w:r>
        <w:rPr>
          <w:rFonts w:ascii="Times New Roman" w:cs="Times New Roman" w:eastAsia="Times New Roman" w:hAnsi="Times New Roman"/>
          <w:sz w:val="20"/>
          <w:szCs w:val="20"/>
          <w:color w:val="auto"/>
        </w:rPr>
        <w:t xml:space="preserve"> (or such other form as mutually agreed by Crown Holdings, the applicable Facing Agent and the Administrative Agent) (each, a “</w:t>
      </w:r>
      <w:r>
        <w:rPr>
          <w:rFonts w:ascii="Times New Roman" w:cs="Times New Roman" w:eastAsia="Times New Roman" w:hAnsi="Times New Roman"/>
          <w:sz w:val="20"/>
          <w:szCs w:val="20"/>
          <w:u w:val="single" w:color="auto"/>
          <w:color w:val="auto"/>
        </w:rPr>
        <w:t>Notice of Issuance</w:t>
      </w:r>
      <w:r>
        <w:rPr>
          <w:rFonts w:ascii="Times New Roman" w:cs="Times New Roman" w:eastAsia="Times New Roman" w:hAnsi="Times New Roman"/>
          <w:sz w:val="20"/>
          <w:szCs w:val="20"/>
          <w:color w:val="auto"/>
        </w:rPr>
        <w:t>”) and may be submitted via facsimile or other electronic image scan transmission (e.g., “pdf” or “tif” via email) to the respective Facing Agent (who may rely upon such facsimile or electronic image scan transmission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of such proposed Letter of Credit, (F) whether such Letter of Credit is to be a Multicurrency Letter of Credit, Dollar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236" w:name="page237"/>
    <w:bookmarkEnd w:id="236"/>
    <w:p>
      <w:pPr>
        <w:jc w:val="both"/>
        <w:spacing w:after="0" w:line="249" w:lineRule="auto"/>
        <w:rPr>
          <w:sz w:val="20"/>
          <w:szCs w:val="20"/>
          <w:color w:val="auto"/>
        </w:rPr>
      </w:pPr>
      <w:r>
        <w:rPr>
          <w:rFonts w:ascii="Times New Roman" w:cs="Times New Roman" w:eastAsia="Times New Roman" w:hAnsi="Times New Roman"/>
          <w:sz w:val="20"/>
          <w:szCs w:val="20"/>
          <w:color w:val="auto"/>
        </w:rPr>
        <w:t>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 the Revolver Termination Date for the Dollar Revolving Facility with respect to Dollar Letters of Credit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 agree in a particular instance in their sole discretion) prior to the proposed date of amendment, amend any Letter of Credit issued by it. Each such request for amendment of a Letter of Credit shall be made by facsimile or other electronic image scan transmission (e.g., “pdf” or “tif” via email), confirmed promptly in an original writing (each a “</w:t>
      </w:r>
      <w:r>
        <w:rPr>
          <w:rFonts w:ascii="Times New Roman" w:cs="Times New Roman" w:eastAsia="Times New Roman" w:hAnsi="Times New Roman"/>
          <w:sz w:val="20"/>
          <w:szCs w:val="20"/>
          <w:u w:val="single" w:color="auto"/>
          <w:color w:val="auto"/>
        </w:rPr>
        <w:t>Letter of Credit Amendment Request</w:t>
      </w:r>
      <w:r>
        <w:rPr>
          <w:rFonts w:ascii="Times New Roman" w:cs="Times New Roman" w:eastAsia="Times New Roman" w:hAnsi="Times New Roman"/>
          <w:sz w:val="20"/>
          <w:szCs w:val="20"/>
          <w:color w:val="auto"/>
        </w:rPr>
        <w:t>”) and shall specify in form and detail reasonably satisfactory to the Facing Agent: (i) the Letter of Credit to be amended; (ii) the proposed date of amendment of the Letter 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Letters of Credit, Dollar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196"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Repay Letter of Credit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473"/>
        <w:spacing w:after="0" w:line="263" w:lineRule="auto"/>
        <w:rPr>
          <w:sz w:val="20"/>
          <w:szCs w:val="20"/>
          <w:color w:val="auto"/>
        </w:rPr>
      </w:pPr>
      <w:r>
        <w:rPr>
          <w:rFonts w:ascii="Times New Roman" w:cs="Times New Roman" w:eastAsia="Times New Roman" w:hAnsi="Times New Roman"/>
          <w:sz w:val="19"/>
          <w:szCs w:val="19"/>
          <w:color w:val="auto"/>
        </w:rPr>
        <w:t>U.S. Borrower, European Borrower or Canadian Borrower, as the case may be, hereby agrees to reimburse (or to cause the applicable 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Times New Roman" w:cs="Times New Roman" w:eastAsia="Times New Roman" w:hAnsi="Times New Roman"/>
          <w:sz w:val="19"/>
          <w:szCs w:val="19"/>
          <w:u w:val="single" w:color="auto"/>
          <w:color w:val="auto"/>
        </w:rPr>
        <w:t>Unpaid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Drawing</w:t>
      </w:r>
      <w:r>
        <w:rPr>
          <w:rFonts w:ascii="Times New Roman" w:cs="Times New Roman" w:eastAsia="Times New Roman" w:hAnsi="Times New Roman"/>
          <w:sz w:val="19"/>
          <w:szCs w:val="19"/>
          <w:color w:val="auto"/>
        </w:rPr>
        <w:t>”),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and Dollar Letters of Credit,</w:t>
      </w:r>
    </w:p>
    <w:p>
      <w:pPr>
        <w:spacing w:after="0" w:line="1" w:lineRule="exact"/>
        <w:rPr>
          <w:sz w:val="20"/>
          <w:szCs w:val="20"/>
          <w:color w:val="auto"/>
        </w:rPr>
      </w:pPr>
    </w:p>
    <w:p>
      <w:pPr>
        <w:jc w:val="both"/>
        <w:ind w:firstLine="8"/>
        <w:spacing w:after="0" w:line="253" w:lineRule="auto"/>
        <w:tabs>
          <w:tab w:leader="none" w:pos="32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Eurocurrency Rate in effect from time to time plus the Applicable Eurocurrency Margin with respect to Multicurrency Letters of Credit in Euros, (C) Daily Simple RFR in effect from time to time plus the Applicable RFR Margin with respect to Multicurrency Letters of Credit in Sterling, and (B) the Canadian Prime Rate plus the Applicable Canadian Prime Rate Margin for Canadian Letters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contained in this Agreement to the contrary notwithstanding, (i) unless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237" w:name="page238"/>
    <w:bookmarkEnd w:id="237"/>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or Notice of Canadian Borrowing, as the case may be, to Administrative Agent or the Canadian Administrative Agent, as the case may be, requesting each Multicurrency Revolving Lender or Canadian Revolving Lender, as applicable, to make Revolving Loans or Canadian Revolving Loans, as applicable, which are (v) in the case of Letters of Credit denominated in Dollars, SOFR Loans, (w) in the case of Letters of Credit denominated in Euro, Eurocurrency Loans, (x) in the case of Letters of Credit denominated in Sterling, RFR Loans, (y) in the case of Letters of Credit denominated in any other Alternative Rate, Loans bearing interest based on the benchmark rate agreed for such Alternative Currency pursuant to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and (z) in the case of Canadian Letters of Credit, Canadian Prime Rate Loans, as the case may be on the date on which such Unpaid Drawing is honored in an amount equal to the Dollar Equivalent of the amount of such Unpaid Drawing and Administrative Agent or the Canadian Administrative Agent, as the case may be, shall, if such Notice of Borrowing is deemed given, promptly notify the Lenders thereof and (ii) unless any Event of Default shall have occurred and be continuing (in which event the procedures of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shall apply), each such Multicurrency Revolving Lender or Canadian Revolving Lender, as applicable, shall, on the date such drawing is honored, make Multicurrency Revolving Loans or Canadian Revolving Loans, as applicable, which are (v) in the case of Letters of Credit denominated in Dollars, SOFR Loans, (w) in the case of Letters of Credit denominated in Euro, Eurocurrency Loans, (x) in the case of Letters of Credit denominated in Sterling, RFR Loans, (y) in the case of Letters of Credit denominated in any other Alternative Rate, Loans bearing interest based on the benchmark rate agreed for such Alternative Currency pursuant to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or (z) in the case of Canadian Letters of Credit denominated in Canadian Dollars, Canadian Prime Rate Loans in the amount of its Multicurrency Revolver Pro Rata Share or Canadian Revolver Pro Rata Share of the Dollar Equivalent of such Unpaid Drawing, the proceeds of which shall be applied directly by Administrative Agent or the Canadian Administrative Agent, as the case may be, to reimburse the applicable Facing Agent for the amount of such Unpaid Drawing;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and Dollar Letters of Credit, and the Canadian Prime Rate plus the Applicable Canadian Prime Rate Margin for Canadian Letters of Credit (in each case, plus an additional 2% per annum), such interest also to be payable on demand. The respective Facing Agent shall give the applicable Borrower prompt notice of each Drawing under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any such notice shall in no way affect, impair or diminish any Credit Party’s obligations hereunder.</w:t>
      </w:r>
    </w:p>
    <w:p>
      <w:pPr>
        <w:spacing w:after="0" w:line="209" w:lineRule="exact"/>
        <w:rPr>
          <w:sz w:val="20"/>
          <w:szCs w:val="20"/>
          <w:color w:val="auto"/>
        </w:rPr>
      </w:pPr>
    </w:p>
    <w:p>
      <w:pPr>
        <w:jc w:val="both"/>
        <w:ind w:firstLine="543"/>
        <w:spacing w:after="0" w:line="283" w:lineRule="auto"/>
        <w:rPr>
          <w:sz w:val="20"/>
          <w:szCs w:val="20"/>
          <w:color w:val="auto"/>
        </w:rPr>
      </w:pPr>
      <w:r>
        <w:rPr>
          <w:rFonts w:ascii="Times New Roman" w:cs="Times New Roman" w:eastAsia="Times New Roman" w:hAnsi="Times New Roman"/>
          <w:sz w:val="20"/>
          <w:szCs w:val="20"/>
          <w:color w:val="auto"/>
        </w:rPr>
        <w:t xml:space="preserve">The obligations of each Borrower under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to reimburse the respective Facing Agent with respect to drawings on Letters of Credit (each, a “</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(including,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238" w:name="page239"/>
    <w:bookmarkEnd w:id="238"/>
    <w:p>
      <w:pPr>
        <w:jc w:val="both"/>
        <w:spacing w:after="0" w:line="251" w:lineRule="auto"/>
        <w:rPr>
          <w:sz w:val="20"/>
          <w:szCs w:val="20"/>
          <w:color w:val="auto"/>
        </w:rPr>
      </w:pPr>
      <w:r>
        <w:rPr>
          <w:rFonts w:ascii="Times New Roman" w:cs="Times New Roman" w:eastAsia="Times New Roman" w:hAnsi="Times New Roman"/>
          <w:sz w:val="20"/>
          <w:szCs w:val="20"/>
          <w:color w:val="auto"/>
        </w:rPr>
        <w:t>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substantially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195" w:lineRule="exact"/>
        <w:rPr>
          <w:sz w:val="20"/>
          <w:szCs w:val="20"/>
          <w:color w:val="auto"/>
        </w:rPr>
      </w:pPr>
    </w:p>
    <w:p>
      <w:pPr>
        <w:jc w:val="both"/>
        <w:ind w:firstLine="656"/>
        <w:spacing w:after="0" w:line="262" w:lineRule="auto"/>
        <w:tabs>
          <w:tab w:leader="none" w:pos="1286"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Participations</w:t>
      </w:r>
      <w:r>
        <w:rPr>
          <w:rFonts w:ascii="Times New Roman" w:cs="Times New Roman" w:eastAsia="Times New Roman" w:hAnsi="Times New Roman"/>
          <w:sz w:val="19"/>
          <w:szCs w:val="19"/>
          <w:color w:val="auto"/>
        </w:rPr>
        <w:t xml:space="preserve">. Immediately upon the issuance by any Facing Agent of any Letter of Credit, such Facing Agent shall be deemed to have sold and transferred to (i) each Multicurrency Revolving Lender with respect to each Multicurrency Letter of Credit, (ii) each Dollar Revolving Lender with respect to each Dollar Letter of Credit and (iii) each Canadian Revolving Lender with respect to each Canadian Letter of Credit, in each case, other than such Facing Agent (each such Lender, in its capacity under this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LC Participant</w:t>
      </w:r>
      <w:r>
        <w:rPr>
          <w:rFonts w:ascii="Times New Roman" w:cs="Times New Roman" w:eastAsia="Times New Roman" w:hAnsi="Times New Roman"/>
          <w:sz w:val="19"/>
          <w:szCs w:val="19"/>
          <w:color w:val="auto"/>
        </w:rPr>
        <w:t xml:space="preserve">”), and each such LC Participant shall be deemed irrevocably and unconditionally to have purchased and received from such Facing Agent, without recourse or warranty, an undivided interest and participation, to the extent of such Revolving Lender’s Multicurrency Revolver Pro Rata Share (with respect to Multicurrency Letters of Credit), such Dollar Revolving Lender’s Dollar Revolver Pro Rata Share (with respect to Dollar Letters of Credit) and such Canadian Revolving Lender’s Canadian Revolver Pro Rata Share (with respect to Canadian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Times New Roman" w:cs="Times New Roman" w:eastAsia="Times New Roman" w:hAnsi="Times New Roman"/>
          <w:sz w:val="19"/>
          <w:szCs w:val="19"/>
          <w:u w:val="single" w:color="auto"/>
          <w:color w:val="auto"/>
        </w:rPr>
        <w:t>Section 2.10(g)</w:t>
      </w:r>
      <w:r>
        <w:rPr>
          <w:rFonts w:ascii="Times New Roman" w:cs="Times New Roman" w:eastAsia="Times New Roman" w:hAnsi="Times New Roman"/>
          <w:sz w:val="19"/>
          <w:szCs w:val="19"/>
          <w:color w:val="auto"/>
        </w:rPr>
        <w:t xml:space="preserve"> and the LC Participants shall have no right to receive any portion of the facing fees), and any security therefor or guaranty pertaining thereto. Upon any change in the Multicurrency Revolving Commitments of the Multicurrency Revolving 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193" w:lineRule="exact"/>
        <w:rPr>
          <w:rFonts w:ascii="Times New Roman" w:cs="Times New Roman" w:eastAsia="Times New Roman" w:hAnsi="Times New Roman"/>
          <w:sz w:val="19"/>
          <w:szCs w:val="19"/>
          <w:color w:val="auto"/>
        </w:rPr>
      </w:pPr>
    </w:p>
    <w:p>
      <w:pPr>
        <w:jc w:val="both"/>
        <w:ind w:firstLine="656"/>
        <w:spacing w:after="0" w:line="253" w:lineRule="auto"/>
        <w:tabs>
          <w:tab w:leader="none" w:pos="129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Draws Upon Letter of Credit; Reimbursement Obligations</w:t>
      </w:r>
      <w:r>
        <w:rPr>
          <w:rFonts w:ascii="Times New Roman" w:cs="Times New Roman" w:eastAsia="Times New Roman" w:hAnsi="Times New Roman"/>
          <w:sz w:val="20"/>
          <w:szCs w:val="20"/>
          <w:color w:val="auto"/>
        </w:rPr>
        <w:t xml:space="preserve">. In the event that any Facing Agent makes any payment under any Letter of Credit issued by it and the applicable Borrower shall not have reimbursed such amount in full to such Facing Agent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239" w:name="page240"/>
    <w:bookmarkEnd w:id="239"/>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applicable Multicurrency Revolver Pro Rata Share or Canadian Revolver Pro Rata Share, as the case may be, of such payment in Dollars or, in the case of a Letter of Credit denominated in an Alternative Currency or Canadian Dollars, in such Alternative Currency or Canadian Dollars and in same day funds;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or Canadian Dollars, 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 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 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 Letter of Credit on the day required, as specified above, but no LC Participant shall be responsible for the failure of any other LC Participant to make available to Agent for the account of such Facing Agent such other LC Participant’s applicable Multicurrency Revolver Pro Rata Share or Canadian Revolver Pro Rata Share, as the case may be, of any such payment.</w:t>
      </w:r>
    </w:p>
    <w:p>
      <w:pPr>
        <w:spacing w:after="0" w:line="200" w:lineRule="exact"/>
        <w:rPr>
          <w:sz w:val="20"/>
          <w:szCs w:val="20"/>
          <w:color w:val="auto"/>
        </w:rPr>
      </w:pPr>
    </w:p>
    <w:p>
      <w:pPr>
        <w:spacing w:after="0" w:line="232" w:lineRule="exact"/>
        <w:rPr>
          <w:sz w:val="20"/>
          <w:szCs w:val="20"/>
          <w:color w:val="auto"/>
        </w:rPr>
      </w:pPr>
    </w:p>
    <w:p>
      <w:pPr>
        <w:jc w:val="both"/>
        <w:ind w:left="660" w:firstLine="903"/>
        <w:spacing w:after="0" w:line="253" w:lineRule="auto"/>
        <w:tabs>
          <w:tab w:leader="none" w:pos="194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Facing Agent receives a payment of a reimbursement obligation as to which Administrative Agent has received for the account of such Facing Agent any payments from the LC Participants pursuant to this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179"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240" w:name="page241"/>
    <w:bookmarkEnd w:id="240"/>
    <w:p>
      <w:pPr>
        <w:ind w:left="1944" w:hanging="648"/>
        <w:spacing w:after="0"/>
        <w:tabs>
          <w:tab w:leader="none" w:pos="1944"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or any of the other Loan Documents;</w:t>
      </w:r>
    </w:p>
    <w:p>
      <w:pPr>
        <w:spacing w:after="0" w:line="229" w:lineRule="exact"/>
        <w:rPr>
          <w:rFonts w:ascii="Times New Roman" w:cs="Times New Roman" w:eastAsia="Times New Roman" w:hAnsi="Times New Roman"/>
          <w:sz w:val="20"/>
          <w:szCs w:val="20"/>
          <w:color w:val="auto"/>
        </w:rPr>
      </w:pPr>
    </w:p>
    <w:p>
      <w:pPr>
        <w:jc w:val="both"/>
        <w:ind w:left="644" w:firstLine="652"/>
        <w:spacing w:after="0" w:line="253" w:lineRule="auto"/>
        <w:tabs>
          <w:tab w:leader="none" w:pos="1934"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178" w:lineRule="exact"/>
        <w:rPr>
          <w:rFonts w:ascii="Times New Roman" w:cs="Times New Roman" w:eastAsia="Times New Roman" w:hAnsi="Times New Roman"/>
          <w:sz w:val="20"/>
          <w:szCs w:val="20"/>
          <w:color w:val="auto"/>
        </w:rPr>
      </w:pPr>
    </w:p>
    <w:p>
      <w:pPr>
        <w:ind w:left="644" w:firstLine="652"/>
        <w:spacing w:after="0" w:line="283" w:lineRule="auto"/>
        <w:tabs>
          <w:tab w:leader="none" w:pos="1934"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certificate or any other document presented under any Letter of Credit proving to be forged, fraudulent, invalid or insufficient in any respect to any statement therein being untrue or inaccurate in any respect;</w:t>
      </w:r>
    </w:p>
    <w:p>
      <w:pPr>
        <w:spacing w:after="0" w:line="146" w:lineRule="exact"/>
        <w:rPr>
          <w:rFonts w:ascii="Times New Roman" w:cs="Times New Roman" w:eastAsia="Times New Roman" w:hAnsi="Times New Roman"/>
          <w:sz w:val="20"/>
          <w:szCs w:val="20"/>
          <w:color w:val="auto"/>
        </w:rPr>
      </w:pPr>
    </w:p>
    <w:p>
      <w:pPr>
        <w:ind w:left="644" w:firstLine="652"/>
        <w:spacing w:after="0" w:line="283" w:lineRule="auto"/>
        <w:tabs>
          <w:tab w:leader="none" w:pos="1931"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surrender or impairment of any security for the performance or observance of any of the terms of any of the Loan Documents; or</w:t>
      </w:r>
    </w:p>
    <w:p>
      <w:pPr>
        <w:spacing w:after="0" w:line="159"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Default or Unmatured Event of Default.</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for Letters of Credit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4" w:right="20" w:firstLine="903"/>
        <w:spacing w:after="0" w:line="269" w:lineRule="auto"/>
        <w:tabs>
          <w:tab w:leader="none" w:pos="128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Facing Agent Fees</w:t>
      </w:r>
      <w:r>
        <w:rPr>
          <w:rFonts w:ascii="Times New Roman" w:cs="Times New Roman" w:eastAsia="Times New Roman" w:hAnsi="Times New Roman"/>
          <w:sz w:val="20"/>
          <w:szCs w:val="20"/>
          <w:color w:val="auto"/>
        </w:rPr>
        <w:t>. The applicable Borrower agrees to pay the following amount to the respective Facing Agent with respect to the Letters of Credit issued by it for the account of any Borrower or any of its Subsidiaries:</w:t>
      </w:r>
    </w:p>
    <w:p>
      <w:pPr>
        <w:spacing w:after="0" w:line="172" w:lineRule="exact"/>
        <w:rPr>
          <w:rFonts w:ascii="Times New Roman" w:cs="Times New Roman" w:eastAsia="Times New Roman" w:hAnsi="Times New Roman"/>
          <w:sz w:val="20"/>
          <w:szCs w:val="20"/>
          <w:color w:val="auto"/>
        </w:rPr>
      </w:pPr>
    </w:p>
    <w:p>
      <w:pPr>
        <w:jc w:val="both"/>
        <w:ind w:left="644" w:firstLine="652"/>
        <w:spacing w:after="0" w:line="253" w:lineRule="auto"/>
        <w:tabs>
          <w:tab w:leader="none" w:pos="1931"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at a rate determined in accordance with the terms of </w:t>
      </w:r>
      <w:r>
        <w:rPr>
          <w:rFonts w:ascii="Times New Roman" w:cs="Times New Roman" w:eastAsia="Times New Roman" w:hAnsi="Times New Roman"/>
          <w:sz w:val="20"/>
          <w:szCs w:val="20"/>
          <w:u w:val="single" w:color="auto"/>
          <w:color w:val="auto"/>
        </w:rPr>
        <w:t>Section 2.10(d)(i)</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644" w:firstLine="652"/>
        <w:spacing w:after="0" w:line="261" w:lineRule="auto"/>
        <w:tabs>
          <w:tab w:leader="none" w:pos="1934"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181" w:lineRule="exact"/>
        <w:rPr>
          <w:rFonts w:ascii="Times New Roman" w:cs="Times New Roman" w:eastAsia="Times New Roman" w:hAnsi="Times New Roman"/>
          <w:sz w:val="20"/>
          <w:szCs w:val="20"/>
          <w:color w:val="auto"/>
        </w:rPr>
      </w:pPr>
    </w:p>
    <w:p>
      <w:pPr>
        <w:jc w:val="both"/>
        <w:ind w:left="644" w:firstLine="652"/>
        <w:spacing w:after="0" w:line="253" w:lineRule="auto"/>
        <w:tabs>
          <w:tab w:leader="none" w:pos="1934"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facing fee equal to one-eighth of one percent (0.125%) per annum of the Stated Amount outstanding and undrawn LC Obligations payable in arrears on each Quarterly Payment Date and on the Revolver Termination Date for the Multicurrency Revolving Facility or the Canadian Revolver Termination Date for the Canadian Revolving Facility, as applicable, and thereafter, on demand together with customary issuance and payment charges;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minimum fee of $500.00 per annum shall be payable per Letter of Credit.</w:t>
      </w:r>
    </w:p>
    <w:p>
      <w:pPr>
        <w:spacing w:after="0" w:line="191" w:lineRule="exact"/>
        <w:rPr>
          <w:rFonts w:ascii="Times New Roman" w:cs="Times New Roman" w:eastAsia="Times New Roman" w:hAnsi="Times New Roman"/>
          <w:sz w:val="20"/>
          <w:szCs w:val="20"/>
          <w:color w:val="auto"/>
        </w:rPr>
      </w:pPr>
    </w:p>
    <w:p>
      <w:pPr>
        <w:jc w:val="both"/>
        <w:ind w:left="4" w:firstLine="903"/>
        <w:spacing w:after="0" w:line="261" w:lineRule="auto"/>
        <w:tabs>
          <w:tab w:leader="none" w:pos="128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Participating Lender Fees</w:t>
      </w:r>
      <w:r>
        <w:rPr>
          <w:rFonts w:ascii="Times New Roman" w:cs="Times New Roman" w:eastAsia="Times New Roman" w:hAnsi="Times New Roman"/>
          <w:sz w:val="20"/>
          <w:szCs w:val="20"/>
          <w:color w:val="auto"/>
        </w:rPr>
        <w:t>. Each Borrower agrees to pay to Administrative Agent or the Canadian Administrative Agent, in the case of Canadian Borrower, in the currency in which such Letter of Credit is denominated for distribution to each LC Participant (A)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0584"/>
          </w:cols>
          <w:pgMar w:left="976" w:top="1413" w:right="339" w:bottom="1440" w:gutter="0" w:footer="0" w:header="0"/>
        </w:sectPr>
      </w:pPr>
    </w:p>
    <w:bookmarkStart w:id="241" w:name="page242"/>
    <w:bookmarkEnd w:id="241"/>
    <w:p>
      <w:pPr>
        <w:jc w:val="both"/>
        <w:ind w:left="660"/>
        <w:spacing w:after="0" w:line="264" w:lineRule="auto"/>
        <w:rPr>
          <w:sz w:val="20"/>
          <w:szCs w:val="20"/>
          <w:color w:val="auto"/>
        </w:rPr>
      </w:pPr>
      <w:r>
        <w:rPr>
          <w:rFonts w:ascii="Times New Roman" w:cs="Times New Roman" w:eastAsia="Times New Roman" w:hAnsi="Times New Roman"/>
          <w:sz w:val="19"/>
          <w:szCs w:val="19"/>
          <w:color w:val="auto"/>
        </w:rPr>
        <w:t>of all Multicurrency Letters of Credit issued for the account of such Borrower outstanding such Lender’s Multicurrency Revolver Pro Rata Share of a commission equal to the then Applicable Adjusted Term SOFR Margin, Eurocurrency Margin or RFR Margin, as applicable, for Multicurrency Revolving Loans with respect to the Effective Amount under such outstanding Letters of Credit (the “</w:t>
      </w:r>
      <w:r>
        <w:rPr>
          <w:rFonts w:ascii="Times New Roman" w:cs="Times New Roman" w:eastAsia="Times New Roman" w:hAnsi="Times New Roman"/>
          <w:sz w:val="19"/>
          <w:szCs w:val="19"/>
          <w:u w:val="single" w:color="auto"/>
          <w:color w:val="auto"/>
        </w:rPr>
        <w:t>Multicurrency LC Commission</w:t>
      </w:r>
      <w:r>
        <w:rPr>
          <w:rFonts w:ascii="Times New Roman" w:cs="Times New Roman" w:eastAsia="Times New Roman" w:hAnsi="Times New Roman"/>
          <w:sz w:val="19"/>
          <w:szCs w:val="19"/>
          <w:color w:val="auto"/>
        </w:rPr>
        <w:t>”) payable in arrears on each Quarterly Payment Date, on the Revolver Termination Date for the Multicurrency Revolving Facility and thereafter, on demand, (B) in respect of all Dollar Letters of Credit issued for the account of such Borrower outstanding such Lender’s Dollar Revolver Pro Rata Share of a commission equal to the then Applicable Adjusted Term SOFR Margin for Dollar Revolving Loans with respect to the Effective Amount under such outstanding Letters of Credit (the “</w:t>
      </w:r>
      <w:r>
        <w:rPr>
          <w:rFonts w:ascii="Times New Roman" w:cs="Times New Roman" w:eastAsia="Times New Roman" w:hAnsi="Times New Roman"/>
          <w:sz w:val="19"/>
          <w:szCs w:val="19"/>
          <w:u w:val="single" w:color="auto"/>
          <w:color w:val="auto"/>
        </w:rPr>
        <w:t>Dollar LC Commission</w:t>
      </w:r>
      <w:r>
        <w:rPr>
          <w:rFonts w:ascii="Times New Roman" w:cs="Times New Roman" w:eastAsia="Times New Roman" w:hAnsi="Times New Roman"/>
          <w:sz w:val="19"/>
          <w:szCs w:val="19"/>
          <w:color w:val="auto"/>
        </w:rPr>
        <w:t>”) and (C) in respect of all Canadian Letters of Credit issued for the account of such Borrower outstanding such Lender’s Canadian Revolver Pro Rata Share of a commission equal to the then Applicable B/A Margin for Canadian Revolving Loans with respect to the Effective Amount under such outstanding Letters of Credit (the “</w:t>
      </w:r>
      <w:r>
        <w:rPr>
          <w:rFonts w:ascii="Times New Roman" w:cs="Times New Roman" w:eastAsia="Times New Roman" w:hAnsi="Times New Roman"/>
          <w:sz w:val="19"/>
          <w:szCs w:val="19"/>
          <w:u w:val="single" w:color="auto"/>
          <w:color w:val="auto"/>
        </w:rPr>
        <w:t>Canadian LC Commission</w:t>
      </w:r>
      <w:r>
        <w:rPr>
          <w:rFonts w:ascii="Times New Roman" w:cs="Times New Roman" w:eastAsia="Times New Roman" w:hAnsi="Times New Roman"/>
          <w:sz w:val="19"/>
          <w:szCs w:val="19"/>
          <w:color w:val="auto"/>
        </w:rPr>
        <w:t>”) payable in arrears on each Quarterly Payment Date, on the Canadian Revolver Termination Date and thereafter, on demand. Each of the Multicurrency LC Commission, the Dollar LC Commission and the Canadian LC Commission shall be computed on a daily basis from the first day of issuance of each Letter of Credit and on the basis of the actual number of days elapsed over a year of 360 days.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Promptly upon receipt by the respective Facing Agent or Administrative Agent or the Canadian Administrative Agent, in the case of Canadian Borrower, of any amount described in </w:t>
      </w:r>
      <w:r>
        <w:rPr>
          <w:rFonts w:ascii="Times New Roman" w:cs="Times New Roman" w:eastAsia="Times New Roman" w:hAnsi="Times New Roman"/>
          <w:sz w:val="20"/>
          <w:szCs w:val="20"/>
          <w:u w:val="single" w:color="auto"/>
          <w:color w:val="auto"/>
        </w:rPr>
        <w:t>clause (i)(A)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 xml:space="preserve">, such Facing Agent or Administrative Agent or the Canadian Administrative Agent, in the case of Canadian Borrower, shall distribute to each Lender that has reimbursed such Facing Agent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its Multicurrency Revolver Pro Rata Share or Canadian Revolver Pro Rata Share of such amount. Amounts payable under </w:t>
      </w:r>
      <w:r>
        <w:rPr>
          <w:rFonts w:ascii="Times New Roman" w:cs="Times New Roman" w:eastAsia="Times New Roman" w:hAnsi="Times New Roman"/>
          <w:sz w:val="20"/>
          <w:szCs w:val="20"/>
          <w:u w:val="single" w:color="auto"/>
          <w:color w:val="auto"/>
        </w:rPr>
        <w:t>clauses (i)(B)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 xml:space="preserve"> shall be paid directly to such Facing Agent.</w:t>
      </w:r>
    </w:p>
    <w:p>
      <w:pPr>
        <w:spacing w:after="0" w:line="192" w:lineRule="exact"/>
        <w:rPr>
          <w:sz w:val="20"/>
          <w:szCs w:val="20"/>
          <w:color w:val="auto"/>
        </w:rPr>
      </w:pPr>
    </w:p>
    <w:p>
      <w:pPr>
        <w:jc w:val="both"/>
        <w:ind w:firstLine="656"/>
        <w:spacing w:after="0" w:line="262" w:lineRule="auto"/>
        <w:tabs>
          <w:tab w:leader="none" w:pos="128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 (i) the issuance of the Letters of Credit, other than as a result of the gross negligence or willful misconduct as determined by a final and non-appealable judgment rendered by a court of competent jurisdiction of the applicable 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Times New Roman" w:cs="Times New Roman" w:eastAsia="Times New Roman" w:hAnsi="Times New Roman"/>
          <w:sz w:val="19"/>
          <w:szCs w:val="19"/>
          <w:u w:val="single" w:color="auto"/>
          <w:color w:val="auto"/>
        </w:rPr>
        <w:t>Government Acts</w:t>
      </w:r>
      <w:r>
        <w:rPr>
          <w:rFonts w:ascii="Times New Roman" w:cs="Times New Roman" w:eastAsia="Times New Roman" w:hAnsi="Times New Roman"/>
          <w:sz w:val="19"/>
          <w:szCs w:val="19"/>
          <w:color w:val="auto"/>
        </w:rPr>
        <w:t>”).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w:t>
      </w:r>
    </w:p>
    <w:p>
      <w:pPr>
        <w:spacing w:after="0" w:line="1" w:lineRule="exact"/>
        <w:rPr>
          <w:rFonts w:ascii="Times New Roman" w:cs="Times New Roman" w:eastAsia="Times New Roman" w:hAnsi="Times New Roman"/>
          <w:sz w:val="19"/>
          <w:szCs w:val="19"/>
          <w:color w:val="auto"/>
        </w:rPr>
      </w:pPr>
    </w:p>
    <w:p>
      <w:pPr>
        <w:jc w:val="both"/>
        <w:ind w:firstLine="8"/>
        <w:spacing w:after="0" w:line="261" w:lineRule="auto"/>
        <w:tabs>
          <w:tab w:leader="none" w:pos="301"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w:t>
      </w:r>
    </w:p>
    <w:p>
      <w:pPr>
        <w:spacing w:after="0" w:line="2"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errors, omissions, interruptions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242" w:name="page243"/>
    <w:bookmarkEnd w:id="24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 xml:space="preserve"> shall not apply to Taxes, except any Taxes that represent claims, demands, liabilities, damages, losses, costs, charges and expenses arising from any non-Tax claim.</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 xml:space="preserve"> shall not prejudice any rights that any Borrower may otherwise have against each Facing Agent with respect to a Letter of Credit issued hereunder.</w:t>
      </w:r>
    </w:p>
    <w:p>
      <w:pPr>
        <w:spacing w:after="0" w:line="186" w:lineRule="exact"/>
        <w:rPr>
          <w:sz w:val="20"/>
          <w:szCs w:val="20"/>
          <w:color w:val="auto"/>
        </w:rPr>
      </w:pPr>
    </w:p>
    <w:p>
      <w:pPr>
        <w:jc w:val="both"/>
        <w:ind w:firstLine="656"/>
        <w:spacing w:after="0" w:line="249" w:lineRule="auto"/>
        <w:tabs>
          <w:tab w:leader="none" w:pos="129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xml:space="preserve">. If at any time after the Incremental Amendment No. 3 and Fifth Amendment Effective Date any Change in Law shall (i) impose, modify or make applicable any reserve, deposit, capital adequacy or similar requirement against letters of credit issued by any Facing Agent or participated in by any Lender, (ii) subject any Recipient to any Taxes (other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 Borrower by the 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The certificate required to be delivered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shall, absent manifest error, be final, conclusive and binding on the Credit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243" w:name="page244"/>
    <w:bookmarkEnd w:id="243"/>
    <w:p>
      <w:pPr>
        <w:jc w:val="both"/>
        <w:ind w:firstLine="656"/>
        <w:spacing w:after="0" w:line="253" w:lineRule="auto"/>
        <w:tabs>
          <w:tab w:leader="none" w:pos="129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The letters of credit set forth under the caption “Letters of Credit outstanding on the Effective Date” on </w:t>
      </w:r>
      <w:r>
        <w:rPr>
          <w:rFonts w:ascii="Times New Roman" w:cs="Times New Roman" w:eastAsia="Times New Roman" w:hAnsi="Times New Roman"/>
          <w:sz w:val="20"/>
          <w:szCs w:val="20"/>
          <w:u w:val="single" w:color="auto"/>
          <w:color w:val="auto"/>
        </w:rPr>
        <w:t>Schedule 2.10(j)</w:t>
      </w:r>
      <w:r>
        <w:rPr>
          <w:rFonts w:ascii="Times New Roman" w:cs="Times New Roman" w:eastAsia="Times New Roman" w:hAnsi="Times New Roman"/>
          <w:sz w:val="20"/>
          <w:szCs w:val="20"/>
          <w:color w:val="auto"/>
        </w:rPr>
        <w:t xml:space="preserve"> annexed hereto and made a part hereof which were issued pursuant to the Existing Credit Agreement and which remain outstanding as of the Effective Date (the “</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Times New Roman" w:cs="Times New Roman" w:eastAsia="Times New Roman" w:hAnsi="Times New Roman"/>
          <w:sz w:val="20"/>
          <w:szCs w:val="20"/>
          <w:u w:val="single" w:color="auto"/>
          <w:color w:val="auto"/>
        </w:rPr>
        <w:t>Schedule 2.10(j)</w:t>
      </w:r>
      <w:r>
        <w:rPr>
          <w:rFonts w:ascii="Times New Roman" w:cs="Times New Roman" w:eastAsia="Times New Roman" w:hAnsi="Times New Roman"/>
          <w:sz w:val="20"/>
          <w:szCs w:val="20"/>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17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xml:space="preserve">. Except as expressly provided in </w:t>
      </w:r>
      <w:r>
        <w:rPr>
          <w:rFonts w:ascii="Times New Roman" w:cs="Times New Roman" w:eastAsia="Times New Roman" w:hAnsi="Times New Roman"/>
          <w:sz w:val="20"/>
          <w:szCs w:val="20"/>
          <w:u w:val="single" w:color="auto"/>
          <w:color w:val="auto"/>
        </w:rPr>
        <w:t>Section 2A.9(e)</w:t>
      </w:r>
      <w:r>
        <w:rPr>
          <w:rFonts w:ascii="Times New Roman" w:cs="Times New Roman" w:eastAsia="Times New Roman" w:hAnsi="Times New Roman"/>
          <w:sz w:val="20"/>
          <w:szCs w:val="20"/>
          <w:color w:val="auto"/>
        </w:rPr>
        <w:t xml:space="preserve">, Borrowings of Loans under this Agreement shall be loaned by the applicable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8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56"/>
        <w:spacing w:after="0" w:line="261" w:lineRule="auto"/>
        <w:tabs>
          <w:tab w:leader="none" w:pos="128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Defaulting Lender Commitment, Etc</w:t>
      </w:r>
      <w:r>
        <w:rPr>
          <w:rFonts w:ascii="Times New Roman" w:cs="Times New Roman" w:eastAsia="Times New Roman" w:hAnsi="Times New Roman"/>
          <w:sz w:val="20"/>
          <w:szCs w:val="20"/>
          <w:color w:val="auto"/>
        </w:rPr>
        <w:t>. If a Lender becomes, and during the period it remains, a Defaulting Lender, the following provisions shall apply with respect to any outstanding Letter of Credit Exposure and any outstanding Swing Line Exposure of such Defaulting Lender:</w:t>
      </w:r>
    </w:p>
    <w:p>
      <w:pPr>
        <w:spacing w:after="0" w:line="181" w:lineRule="exact"/>
        <w:rPr>
          <w:rFonts w:ascii="Times New Roman" w:cs="Times New Roman" w:eastAsia="Times New Roman" w:hAnsi="Times New Roman"/>
          <w:sz w:val="20"/>
          <w:szCs w:val="20"/>
          <w:color w:val="auto"/>
        </w:rPr>
      </w:pPr>
    </w:p>
    <w:p>
      <w:pPr>
        <w:jc w:val="both"/>
        <w:ind w:left="660" w:firstLine="903"/>
        <w:spacing w:after="0" w:line="265" w:lineRule="auto"/>
        <w:tabs>
          <w:tab w:leader="none" w:pos="1943"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accordance with their respective Revolving Commitments under the applicable Revolving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after giving effect to such reallocation,</w:t>
      </w:r>
    </w:p>
    <w:p>
      <w:pPr>
        <w:spacing w:after="0" w:line="2" w:lineRule="exact"/>
        <w:rPr>
          <w:rFonts w:ascii="Times New Roman" w:cs="Times New Roman" w:eastAsia="Times New Roman" w:hAnsi="Times New Roman"/>
          <w:sz w:val="19"/>
          <w:szCs w:val="19"/>
          <w:color w:val="auto"/>
        </w:rPr>
      </w:pPr>
    </w:p>
    <w:p>
      <w:pPr>
        <w:jc w:val="both"/>
        <w:ind w:left="660" w:hanging="4"/>
        <w:spacing w:after="0" w:line="249" w:lineRule="auto"/>
        <w:tabs>
          <w:tab w:leader="none" w:pos="9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Canadian Revolving Credit Exposure may not in any event exceed the Canadian Revolving Commitment of such Non-Defaulting Lender as in effect at the time of such reallocation and (b) subject to </w:t>
      </w:r>
      <w:r>
        <w:rPr>
          <w:rFonts w:ascii="Times New Roman" w:cs="Times New Roman" w:eastAsia="Times New Roman" w:hAnsi="Times New Roman"/>
          <w:sz w:val="20"/>
          <w:szCs w:val="20"/>
          <w:u w:val="single" w:color="auto"/>
          <w:color w:val="auto"/>
        </w:rPr>
        <w:t>Section 12.20</w:t>
      </w:r>
      <w:r>
        <w:rPr>
          <w:rFonts w:ascii="Times New Roman" w:cs="Times New Roman" w:eastAsia="Times New Roman" w:hAnsi="Times New Roman"/>
          <w:sz w:val="20"/>
          <w:szCs w:val="20"/>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193" w:lineRule="exact"/>
        <w:rPr>
          <w:rFonts w:ascii="Times New Roman" w:cs="Times New Roman" w:eastAsia="Times New Roman" w:hAnsi="Times New Roman"/>
          <w:sz w:val="20"/>
          <w:szCs w:val="20"/>
          <w:color w:val="auto"/>
        </w:rPr>
      </w:pPr>
    </w:p>
    <w:p>
      <w:pPr>
        <w:jc w:val="both"/>
        <w:ind w:left="660" w:firstLine="903"/>
        <w:spacing w:after="0" w:line="254" w:lineRule="auto"/>
        <w:tabs>
          <w:tab w:leader="none" w:pos="194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portion (the “</w:t>
      </w:r>
      <w:r>
        <w:rPr>
          <w:rFonts w:ascii="Times New Roman" w:cs="Times New Roman" w:eastAsia="Times New Roman" w:hAnsi="Times New Roman"/>
          <w:sz w:val="20"/>
          <w:szCs w:val="20"/>
          <w:u w:val="single" w:color="auto"/>
          <w:color w:val="auto"/>
        </w:rPr>
        <w:t>Unreallocated Portion</w:t>
      </w:r>
      <w:r>
        <w:rPr>
          <w:rFonts w:ascii="Times New Roman" w:cs="Times New Roman" w:eastAsia="Times New Roman" w:hAnsi="Times New Roman"/>
          <w:sz w:val="20"/>
          <w:szCs w:val="20"/>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 (a) cash collateralize the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244" w:name="page245"/>
    <w:bookmarkEnd w:id="244"/>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172"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herein to the contrary notwithstanding, during such period as a Lender is a Defaulting Lender, such Defaulting Lender will not be entitled to any Commitment Fee accruing during such period pursuant to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the Borrowers shall no longer be required to pay the portion of the Commitment Fee accruing during such period that would have been payable to such Defaulting Lender.</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to the extent that all or a portion of the Letter of Credit Exposure of a Defaulting Lender is reallocated to the Non-Defaulting Lenders pursuant to </w:t>
      </w:r>
      <w:r>
        <w:rPr>
          <w:rFonts w:ascii="Times New Roman" w:cs="Times New Roman" w:eastAsia="Times New Roman" w:hAnsi="Times New Roman"/>
          <w:sz w:val="20"/>
          <w:szCs w:val="20"/>
          <w:u w:val="single" w:color="auto"/>
          <w:color w:val="auto"/>
        </w:rPr>
        <w:t>Section 2.12(a)(i)</w:t>
      </w:r>
      <w:r>
        <w:rPr>
          <w:rFonts w:ascii="Times New Roman" w:cs="Times New Roman" w:eastAsia="Times New Roman" w:hAnsi="Times New Roman"/>
          <w:sz w:val="20"/>
          <w:szCs w:val="20"/>
          <w:color w:val="auto"/>
        </w:rPr>
        <w:t xml:space="preser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accordance with their respective Revolving Commitments, and (y) to the extent any portion of such Letter of Credit Exposure cannot be so reallocated, such Letter of Credit fees will instead accrue for the benefit of and be payable to the Facing Agents based on their pro rata share of the undrawn face amount of Letters of Credit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and so long as the Borrowers shall have cash collateralized Letter of Credit Exposure of a Defaulting Lender as required pursuant to </w:t>
      </w:r>
      <w:r>
        <w:rPr>
          <w:rFonts w:ascii="Times New Roman" w:cs="Times New Roman" w:eastAsia="Times New Roman" w:hAnsi="Times New Roman"/>
          <w:sz w:val="20"/>
          <w:szCs w:val="20"/>
          <w:u w:val="single" w:color="auto"/>
          <w:color w:val="auto"/>
        </w:rPr>
        <w:t>Section 2.12(a)(ii)</w:t>
      </w:r>
      <w:r>
        <w:rPr>
          <w:rFonts w:ascii="Times New Roman" w:cs="Times New Roman" w:eastAsia="Times New Roman" w:hAnsi="Times New Roman"/>
          <w:sz w:val="20"/>
          <w:szCs w:val="20"/>
          <w:color w:val="auto"/>
        </w:rPr>
        <w:t>, then the Borrower shall no longer be required to pay Letter of Credit fees in respect of such cash collateralized amounts in respect of the Letter of Credit Exposure of such Defaulting Lender.</w:t>
      </w:r>
    </w:p>
    <w:p>
      <w:pPr>
        <w:spacing w:after="0" w:line="199"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Defaulting Lender Commitment</w:t>
      </w:r>
      <w:r>
        <w:rPr>
          <w:rFonts w:ascii="Times New Roman" w:cs="Times New Roman" w:eastAsia="Times New Roman" w:hAnsi="Times New Roman"/>
          <w:sz w:val="20"/>
          <w:szCs w:val="20"/>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17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Payments</w:t>
      </w:r>
      <w:r>
        <w:rPr>
          <w:rFonts w:ascii="Times New Roman" w:cs="Times New Roman" w:eastAsia="Times New Roman" w:hAnsi="Times New Roman"/>
          <w:sz w:val="20"/>
          <w:szCs w:val="20"/>
          <w:color w:val="auto"/>
        </w:rPr>
        <w:t xml:space="preserve">. If a Lender becomes, and during the period it remains, a Defaulting Lender, except in connection with a termination of such Defaulting Lender’s Revolving Commitments pursuant to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245" w:name="page246"/>
    <w:bookmarkEnd w:id="245"/>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law, to the making of payments from time to time in the following order of priority: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under this Agreement,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of any amounts owing by such Defaulting Lender to the Facing Agents or the Swing Line Lender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as to the respective amounts owing to each of them) under this Agreement,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after the earlier of (x) termination of the applicable Revolving Commitments and payment in full of all obligations of the Borrowers under such Revolving Facility and (y) 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178" w:lineRule="exact"/>
        <w:rPr>
          <w:sz w:val="20"/>
          <w:szCs w:val="20"/>
          <w:color w:val="auto"/>
        </w:rPr>
      </w:pPr>
    </w:p>
    <w:p>
      <w:pPr>
        <w:jc w:val="both"/>
        <w:ind w:firstLine="656"/>
        <w:spacing w:after="0" w:line="250" w:lineRule="auto"/>
        <w:tabs>
          <w:tab w:leader="none" w:pos="128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xml:space="preserve">.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 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in accordance with their respective Revolving Commitments under the applicable Revolving Facility,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such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93"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Replacement Revolving Credit Facility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this Agreement may be amended, amended and restated, supplemented or otherwise modified on one or more occasions with the written consent of the Administrative Agent, the Swing Line Lenders under the applicable Revolving Facility, the Borrowers under the applicable Revolving Facility and the Lenders and New Lenders providing the relevant 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Times New Roman" w:cs="Times New Roman" w:eastAsia="Times New Roman" w:hAnsi="Times New Roman"/>
          <w:sz w:val="20"/>
          <w:szCs w:val="20"/>
          <w:u w:val="single" w:color="auto"/>
          <w:color w:val="auto"/>
        </w:rPr>
        <w:t>Refinanced Revolving Loans</w:t>
      </w:r>
      <w:r>
        <w:rPr>
          <w:rFonts w:ascii="Times New Roman" w:cs="Times New Roman" w:eastAsia="Times New Roman" w:hAnsi="Times New Roman"/>
          <w:sz w:val="20"/>
          <w:szCs w:val="20"/>
          <w:color w:val="auto"/>
        </w:rPr>
        <w:t>”) and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246" w:name="page247"/>
    <w:bookmarkEnd w:id="246"/>
    <w:p>
      <w:pPr>
        <w:jc w:val="both"/>
        <w:spacing w:after="0" w:line="262" w:lineRule="auto"/>
        <w:rPr>
          <w:sz w:val="20"/>
          <w:szCs w:val="20"/>
          <w:color w:val="auto"/>
        </w:rPr>
      </w:pPr>
      <w:r>
        <w:rPr>
          <w:rFonts w:ascii="Times New Roman" w:cs="Times New Roman" w:eastAsia="Times New Roman" w:hAnsi="Times New Roman"/>
          <w:sz w:val="19"/>
          <w:szCs w:val="19"/>
          <w:color w:val="auto"/>
        </w:rPr>
        <w:t>Commitments and/or any Additional Facility Commitments in respect of any Additional Revolving Credit Commitments hereunder and/or any other Replacement Revolving Commitments in respect of any other Replacement Revolving Facility hereunder (“</w:t>
      </w:r>
      <w:r>
        <w:rPr>
          <w:rFonts w:ascii="Times New Roman" w:cs="Times New Roman" w:eastAsia="Times New Roman" w:hAnsi="Times New Roman"/>
          <w:sz w:val="19"/>
          <w:szCs w:val="19"/>
          <w:u w:val="single" w:color="auto"/>
          <w:color w:val="auto"/>
        </w:rPr>
        <w:t>Refinanced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(which for this purpose will be deemed to include any then outstanding Replacement Revolving Loans and Replacement Revolving Commitments) with replacement revolving loans (“</w:t>
      </w:r>
      <w:r>
        <w:rPr>
          <w:rFonts w:ascii="Times New Roman" w:cs="Times New Roman" w:eastAsia="Times New Roman" w:hAnsi="Times New Roman"/>
          <w:sz w:val="19"/>
          <w:szCs w:val="19"/>
          <w:u w:val="single" w:color="auto"/>
          <w:color w:val="auto"/>
        </w:rPr>
        <w:t>Replacement Revolving Loans</w:t>
      </w:r>
      <w:r>
        <w:rPr>
          <w:rFonts w:ascii="Times New Roman" w:cs="Times New Roman" w:eastAsia="Times New Roman" w:hAnsi="Times New Roman"/>
          <w:sz w:val="19"/>
          <w:szCs w:val="19"/>
          <w:color w:val="auto"/>
        </w:rPr>
        <w:t>”) and replacement revolving commitments (“</w:t>
      </w:r>
      <w:r>
        <w:rPr>
          <w:rFonts w:ascii="Times New Roman" w:cs="Times New Roman" w:eastAsia="Times New Roman" w:hAnsi="Times New Roman"/>
          <w:sz w:val="19"/>
          <w:szCs w:val="19"/>
          <w:u w:val="single" w:color="auto"/>
          <w:color w:val="auto"/>
        </w:rPr>
        <w:t>Replacement Revolving Commitments</w:t>
      </w:r>
      <w:r>
        <w:rPr>
          <w:rFonts w:ascii="Times New Roman" w:cs="Times New Roman" w:eastAsia="Times New Roman" w:hAnsi="Times New Roman"/>
          <w:sz w:val="19"/>
          <w:szCs w:val="19"/>
          <w:color w:val="auto"/>
        </w:rPr>
        <w:t>,” and together with such Replacement Revolving Loans relating thereto, a “</w:t>
      </w:r>
      <w:r>
        <w:rPr>
          <w:rFonts w:ascii="Times New Roman" w:cs="Times New Roman" w:eastAsia="Times New Roman" w:hAnsi="Times New Roman"/>
          <w:sz w:val="19"/>
          <w:szCs w:val="19"/>
          <w:u w:val="single" w:color="auto"/>
          <w:color w:val="auto"/>
        </w:rPr>
        <w:t>Replacement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xml:space="preserve">”) hereunder which shall be Loans and Commitments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of such Replacement Revolving Loans and Replacement Revolving Commitments shall not exceed the aggregate principal amount of such Refinanced Revolving Loans and Refinanced Revolving Commitments in respect of such existing Revolving Facility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in respect of such existing Revolving Facility,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the other Loans and Commitments hereunder, (e) no Event of Default under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10.1(i)</w:t>
      </w:r>
      <w:r>
        <w:rPr>
          <w:rFonts w:ascii="Times New Roman" w:cs="Times New Roman" w:eastAsia="Times New Roman" w:hAnsi="Times New Roman"/>
          <w:sz w:val="19"/>
          <w:szCs w:val="19"/>
          <w:color w:val="auto"/>
        </w:rPr>
        <w:t xml:space="preserve"> shall exist immediately prior to or after giving effect to the effectiveness of the relevant Replacement Revolving Facility and</w:t>
      </w:r>
    </w:p>
    <w:p>
      <w:pPr>
        <w:spacing w:after="0" w:line="2" w:lineRule="exact"/>
        <w:rPr>
          <w:sz w:val="20"/>
          <w:szCs w:val="20"/>
          <w:color w:val="auto"/>
        </w:rPr>
      </w:pPr>
    </w:p>
    <w:p>
      <w:pPr>
        <w:jc w:val="both"/>
        <w:ind w:firstLine="8"/>
        <w:spacing w:after="0" w:line="248" w:lineRule="auto"/>
        <w:tabs>
          <w:tab w:leader="none" w:pos="27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other terms applicable to such Replacement Revolving Loans and Replacement Revolving Commitments (excluding interest rates, floors and margins, commitment, upfront and other fees, guarantees, security and maturity, subject to preceding clauses (b) through (f)) shall be no more restrictive than those applicable to such Refinanced Revolving Loans and Refinanced Revolving Commitments in respect of such existing Revolving Facility, except to the extent necessary to provide for covenants and other terms applicable to any period after the latest Revolver Termination Date in effect immediately prior to such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“no more restrictive than”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8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if so provided in the relevant amendment, amendment and restatement, supplement or other modification of the Credit Agreement entered into in accordance with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and with the consent of the applicable Facing Agent, participations in Letters of Credit under the applicable Refinanced Revolving Facility expiring on or after the Revolver Termination Date for such Refinanced Revolving Facility under which such Letter of Credit was issued may be reallocated from Lenders holding Revolving Commitments under such Refinanced Revolving Facility to Lenders and New Lenders holding Replacement Revolving Commitments under the applicable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0"/>
          <w:szCs w:val="20"/>
          <w:color w:val="auto"/>
        </w:rPr>
        <w:t>Revolving Facility in accordance with the terms of such amendment, amendment and restatement, supplement or other modification.</w:t>
      </w:r>
    </w:p>
    <w:p>
      <w:pPr>
        <w:spacing w:after="0" w:line="229" w:lineRule="exact"/>
        <w:rPr>
          <w:sz w:val="20"/>
          <w:szCs w:val="20"/>
          <w:color w:val="auto"/>
        </w:rPr>
      </w:pPr>
    </w:p>
    <w:p>
      <w:pPr>
        <w:ind w:firstLine="656"/>
        <w:spacing w:after="0" w:line="269" w:lineRule="auto"/>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supersede any other provisions contained in the Loan Documents, including, without limitation,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to the contrary.</w:t>
      </w:r>
    </w:p>
    <w:p>
      <w:pPr>
        <w:spacing w:after="0" w:line="172" w:lineRule="exact"/>
        <w:rPr>
          <w:rFonts w:ascii="Times New Roman" w:cs="Times New Roman" w:eastAsia="Times New Roman" w:hAnsi="Times New Roman"/>
          <w:sz w:val="20"/>
          <w:szCs w:val="20"/>
          <w:color w:val="auto"/>
        </w:rPr>
      </w:pPr>
    </w:p>
    <w:p>
      <w:pPr>
        <w:jc w:val="both"/>
        <w:ind w:firstLine="656"/>
        <w:spacing w:after="0" w:line="248" w:lineRule="auto"/>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issuance of any Replacement Revolving Commitments or the making of any Replacement Revolving Loans, (1) the borrowing and repayment (except for (A) payments of interest and fees at different rates on any Comparable Revolving Facility or any Additional Revolving Credit Commitments (to the extent that they remain outstanding) and such new Replacement Revolving Facility, (B) repayments required upon the Revolver Termination Date of any Comparable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new Replacement Revolving Facility after the effective date of Replacement Revolving Commitments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 Commitments (to the extent they remain outstanding) and the new Replacement Revolving Facility, (2) any swing line loans made, or letters of credit issued, as applicable, under any Revolving Facility after the effective date of the Replacement Revolving Commitments shall be made or issued to the extent reasonably practicable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 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Comparable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21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Replacement Term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and Term Commitments under one or more Term Facilities (“</w:t>
      </w:r>
      <w:r>
        <w:rPr>
          <w:rFonts w:ascii="Times New Roman" w:cs="Times New Roman" w:eastAsia="Times New Roman" w:hAnsi="Times New Roman"/>
          <w:sz w:val="20"/>
          <w:szCs w:val="20"/>
          <w:u w:val="single" w:color="auto"/>
          <w:color w:val="auto"/>
        </w:rPr>
        <w:t>Refinanced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(which for this purpose will be deemed to include any then outstanding Replacement Term Loans and Replacement Term Commitments) with a replacement term loan tranche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and replacement term commitments hereunder (“</w:t>
      </w:r>
      <w:r>
        <w:rPr>
          <w:rFonts w:ascii="Times New Roman" w:cs="Times New Roman" w:eastAsia="Times New Roman" w:hAnsi="Times New Roman"/>
          <w:sz w:val="20"/>
          <w:szCs w:val="20"/>
          <w:u w:val="single" w:color="auto"/>
          <w:color w:val="auto"/>
        </w:rPr>
        <w:t>Replacement Term Commitments</w:t>
      </w:r>
      <w:r>
        <w:rPr>
          <w:rFonts w:ascii="Times New Roman" w:cs="Times New Roman" w:eastAsia="Times New Roman" w:hAnsi="Times New Roman"/>
          <w:sz w:val="20"/>
          <w:szCs w:val="20"/>
          <w:color w:val="auto"/>
        </w:rPr>
        <w:t>” and together with such Replacement Term Loans relating thereto, a “</w:t>
      </w:r>
      <w:r>
        <w:rPr>
          <w:rFonts w:ascii="Times New Roman" w:cs="Times New Roman" w:eastAsia="Times New Roman" w:hAnsi="Times New Roman"/>
          <w:sz w:val="20"/>
          <w:szCs w:val="20"/>
          <w:u w:val="single" w:color="auto"/>
          <w:color w:val="auto"/>
        </w:rPr>
        <w:t>Replacement Term Facility</w:t>
      </w:r>
      <w:r>
        <w:rPr>
          <w:rFonts w:ascii="Times New Roman" w:cs="Times New Roman" w:eastAsia="Times New Roman" w:hAnsi="Times New Roman"/>
          <w:sz w:val="20"/>
          <w:szCs w:val="20"/>
          <w:color w:val="auto"/>
        </w:rPr>
        <w:t xml:space="preserve">”) which shall be Loans and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accrued interest and premium thereon, any underwriting discounts, fees (including upfront fees and original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13" w:right="339" w:bottom="1440" w:gutter="0" w:footer="0" w:header="0"/>
        </w:sectPr>
      </w:pPr>
    </w:p>
    <w:bookmarkStart w:id="248" w:name="page249"/>
    <w:bookmarkEnd w:id="24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other Loans and Commitments hereunder, (e) no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 (b) 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Unasserted Contingent Obligations) and the latest final maturity of any Term Loans in effect immediately prior to such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 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96" w:lineRule="exact"/>
        <w:rPr>
          <w:sz w:val="20"/>
          <w:szCs w:val="20"/>
          <w:color w:val="auto"/>
        </w:rPr>
      </w:pPr>
    </w:p>
    <w:p>
      <w:pPr>
        <w:ind w:firstLine="656"/>
        <w:spacing w:after="0" w:line="269" w:lineRule="auto"/>
        <w:tabs>
          <w:tab w:leader="none" w:pos="12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supersede any other provisions contained in the Loan Documents, including, without limitation,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to the contrary.</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may, upon notice (a “</w:t>
      </w:r>
      <w:r>
        <w:rPr>
          <w:rFonts w:ascii="Times New Roman" w:cs="Times New Roman" w:eastAsia="Times New Roman" w:hAnsi="Times New Roman"/>
          <w:sz w:val="20"/>
          <w:szCs w:val="20"/>
          <w:u w:val="single" w:color="auto"/>
          <w:color w:val="auto"/>
        </w:rPr>
        <w:t>Maturity Date Extension Request</w:t>
      </w:r>
      <w:r>
        <w:rPr>
          <w:rFonts w:ascii="Times New Roman" w:cs="Times New Roman" w:eastAsia="Times New Roman" w:hAnsi="Times New Roman"/>
          <w:sz w:val="20"/>
          <w:szCs w:val="20"/>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Each Maturity Date Extension Request shall (i) specify the date to which such Existing Maturity Date is sought to be extended (the “</w:t>
      </w:r>
      <w:r>
        <w:rPr>
          <w:rFonts w:ascii="Times New Roman" w:cs="Times New Roman" w:eastAsia="Times New Roman" w:hAnsi="Times New Roman"/>
          <w:sz w:val="20"/>
          <w:szCs w:val="20"/>
          <w:u w:val="single" w:color="auto"/>
          <w:color w:val="auto"/>
        </w:rPr>
        <w:t>New Maturity Date</w:t>
      </w:r>
      <w:r>
        <w:rPr>
          <w:rFonts w:ascii="Times New Roman" w:cs="Times New Roman" w:eastAsia="Times New Roman" w:hAnsi="Times New Roman"/>
          <w:sz w:val="20"/>
          <w:szCs w:val="20"/>
          <w:color w:val="auto"/>
        </w:rPr>
        <w:t>”),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249" w:name="page250"/>
    <w:bookmarkEnd w:id="24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to be effected in connection with such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such amendments or modifications under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that would otherwise require approvals pursuant to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other Loans and Commitments hereunder and (C) the Obligations under any such Facility shall not be guaranteed by any Person other than the Credit Parties that guaranteed the applicable Facility prior to such maturity extension.</w:t>
      </w:r>
    </w:p>
    <w:p>
      <w:pPr>
        <w:spacing w:after="0" w:line="192" w:lineRule="exact"/>
        <w:rPr>
          <w:sz w:val="20"/>
          <w:szCs w:val="20"/>
          <w:color w:val="auto"/>
        </w:rPr>
      </w:pPr>
    </w:p>
    <w:p>
      <w:pPr>
        <w:jc w:val="both"/>
        <w:ind w:firstLine="656"/>
        <w:spacing w:after="0" w:line="248"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and each Lender under the applicable Facility not agreeing thereto being referred to herein as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 (A) payments of interest and fees at different rates on any Revolving Facility, any Additional Revolving Credit Commitments or any Replacement Revolving Facility (to the extent that they remain outstanding) and such new Extended Revolving Facility, (B) 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250" w:name="page251"/>
    <w:bookmarkEnd w:id="25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 Extension Effective Date shall be made or issued to the extent reasonably practicable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 (3) the permanent repayment of Loans with respect to, and termination of commitments under, such new Extended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 the Revolving Facility, any Additional Revolving Credit Commitments or any Replacement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193" w:lineRule="exact"/>
        <w:rPr>
          <w:sz w:val="20"/>
          <w:szCs w:val="20"/>
          <w:color w:val="auto"/>
        </w:rPr>
      </w:pPr>
    </w:p>
    <w:p>
      <w:pPr>
        <w:jc w:val="both"/>
        <w:ind w:firstLine="656"/>
        <w:spacing w:after="0" w:line="253"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Borrowers shall have the right, in accordance with the provisions of </w:t>
      </w:r>
      <w:r>
        <w:rPr>
          <w:rFonts w:ascii="Times New Roman" w:cs="Times New Roman" w:eastAsia="Times New Roman" w:hAnsi="Times New Roman"/>
          <w:sz w:val="20"/>
          <w:szCs w:val="20"/>
          <w:u w:val="single" w:color="auto"/>
          <w:color w:val="auto"/>
        </w:rPr>
        <w:t>Sections 3.7</w:t>
      </w:r>
      <w:r>
        <w:rPr>
          <w:rFonts w:ascii="Times New Roman" w:cs="Times New Roman" w:eastAsia="Times New Roman" w:hAnsi="Times New Roman"/>
          <w:sz w:val="20"/>
          <w:szCs w:val="20"/>
          <w:color w:val="auto"/>
        </w:rPr>
        <w:t>, at any time prior to the Existing Maturity Date, to replace a Declining Lender as if it were a Replaced Lender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supersede any provision to the contrary in this Agreement, including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9"/>
          <w:szCs w:val="19"/>
          <w:color w:val="auto"/>
        </w:rPr>
        <w:t xml:space="preserve">2.16 </w:t>
      </w:r>
      <w:r>
        <w:rPr>
          <w:rFonts w:ascii="Times New Roman" w:cs="Times New Roman" w:eastAsia="Times New Roman" w:hAnsi="Times New Roman"/>
          <w:sz w:val="19"/>
          <w:szCs w:val="19"/>
          <w:u w:val="single" w:color="auto"/>
          <w:color w:val="auto"/>
        </w:rPr>
        <w:t>U.S. Borrower Representative</w:t>
      </w:r>
      <w:r>
        <w:rPr>
          <w:rFonts w:ascii="Times New Roman" w:cs="Times New Roman" w:eastAsia="Times New Roman" w:hAnsi="Times New Roman"/>
          <w:sz w:val="19"/>
          <w:szCs w:val="19"/>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has been appointed in such capacity. Each U.S. Borrower hereby appoints and authorizes Crown Americas LLC (or its successor)</w:t>
      </w:r>
    </w:p>
    <w:p>
      <w:pPr>
        <w:spacing w:after="0" w:line="6" w:lineRule="exact"/>
        <w:rPr>
          <w:sz w:val="20"/>
          <w:szCs w:val="20"/>
          <w:color w:val="auto"/>
        </w:rPr>
      </w:pPr>
    </w:p>
    <w:p>
      <w:pPr>
        <w:ind w:left="240" w:hanging="232"/>
        <w:spacing w:after="0"/>
        <w:tabs>
          <w:tab w:leader="none" w:pos="2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to the Agents and the Lenders and receive from the Agents and the Lenders all notices with respect to Loans obtained for the</w:t>
      </w:r>
    </w:p>
    <w:p>
      <w:pPr>
        <w:spacing w:after="0" w:line="6" w:lineRule="exact"/>
        <w:rPr>
          <w:rFonts w:ascii="Times New Roman" w:cs="Times New Roman" w:eastAsia="Times New Roman" w:hAnsi="Times New Roman"/>
          <w:sz w:val="20"/>
          <w:szCs w:val="20"/>
          <w:color w:val="auto"/>
        </w:rPr>
      </w:pPr>
    </w:p>
    <w:p>
      <w:pPr>
        <w:ind w:right="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 of any U.S. Borrower and all other 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251" w:name="page252"/>
    <w:bookmarkEnd w:id="251"/>
    <w:p>
      <w:pPr>
        <w:ind w:right="240"/>
        <w:spacing w:after="0" w:line="283" w:lineRule="auto"/>
        <w:rPr>
          <w:sz w:val="20"/>
          <w:szCs w:val="20"/>
          <w:color w:val="auto"/>
        </w:rPr>
      </w:pPr>
      <w:r>
        <w:rPr>
          <w:rFonts w:ascii="Times New Roman" w:cs="Times New Roman" w:eastAsia="Times New Roman" w:hAnsi="Times New Roman"/>
          <w:sz w:val="20"/>
          <w:szCs w:val="20"/>
          <w:color w:val="auto"/>
        </w:rPr>
        <w:t>U.S. Borrower” or “each U.S. Borrower” shall be effective if such action is taken, or such notice is delivered, by Crown Americas LLC (or its successor) or, as applicable, a Responsible Officer thereof.</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ESG Amendment; Sustainability Coordinators.</w:t>
      </w:r>
    </w:p>
    <w:p>
      <w:pPr>
        <w:spacing w:after="0" w:line="229" w:lineRule="exact"/>
        <w:rPr>
          <w:sz w:val="20"/>
          <w:szCs w:val="20"/>
          <w:color w:val="auto"/>
        </w:rPr>
      </w:pPr>
    </w:p>
    <w:p>
      <w:pPr>
        <w:jc w:val="both"/>
        <w:ind w:firstLine="656"/>
        <w:spacing w:after="0" w:line="249" w:lineRule="auto"/>
        <w:tabs>
          <w:tab w:leader="none" w:pos="133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fifth Business Day following receipt by the Administrative Agent of a Sustainability Certificate delivered pursuant to Section 2.17(e) (such day, the “</w:t>
      </w:r>
      <w:r>
        <w:rPr>
          <w:rFonts w:ascii="Times New Roman" w:cs="Times New Roman" w:eastAsia="Times New Roman" w:hAnsi="Times New Roman"/>
          <w:sz w:val="20"/>
          <w:szCs w:val="20"/>
          <w:u w:val="single" w:color="auto"/>
          <w:color w:val="auto"/>
        </w:rPr>
        <w:t>Sustainability Pricing Adjustment Date</w:t>
      </w:r>
      <w:r>
        <w:rPr>
          <w:rFonts w:ascii="Times New Roman" w:cs="Times New Roman" w:eastAsia="Times New Roman" w:hAnsi="Times New Roman"/>
          <w:sz w:val="20"/>
          <w:szCs w:val="20"/>
          <w:color w:val="auto"/>
        </w:rPr>
        <w:t>”) in respect of the most recently ended Reference Year, commencing with the Reference Year ending December 31, 2024, (i) the Dollar LC Commission, Multicurrency LC Commission, Applicable Adjusted Term SOFR Margin, Applicable Base Rate Margin, Applicable Eurocurrency Margin, Applicable RFR Margin and Applicable Canadian Prime Rate Margin shall be increased or decreased (or neither increased nor decreased), as applicable, pursuant to the Sustainability Rate Adjustment as set forth in such Sustainability Certificate, and (ii) the Applicable Commitment Fee Percentage shall be increased or decreased (or neither increased nor decreased), as applicable, pursuant to the Sustainability Applicable Commitment Fee Adjustment as set forth in such Sustainability Certificate. Each change in the Dollar LC Commission, Multicurrency LC Commission, Applicable Adjusted Term SOFR Margin, Applicable Base Rate Margin, Applicable Eurocurrency Margin, Applicable RFR Margin or Applicable Canadian Prime Rate Margin and the Applicable Commitment Fee resulting from a Sustainability Certificate shall be effective during the period commencing on and including the applicable Sustainability Pricing Adjustment Date and ending on the date immediately preceding the next such Sustainability Pricing Adjustment Date.</w:t>
      </w:r>
    </w:p>
    <w:p>
      <w:pPr>
        <w:spacing w:after="0" w:line="201" w:lineRule="exact"/>
        <w:rPr>
          <w:rFonts w:ascii="Times New Roman" w:cs="Times New Roman" w:eastAsia="Times New Roman" w:hAnsi="Times New Roman"/>
          <w:sz w:val="20"/>
          <w:szCs w:val="20"/>
          <w:color w:val="auto"/>
        </w:rPr>
      </w:pPr>
    </w:p>
    <w:p>
      <w:pPr>
        <w:jc w:val="both"/>
        <w:ind w:firstLine="656"/>
        <w:spacing w:after="0" w:line="266" w:lineRule="auto"/>
        <w:tabs>
          <w:tab w:leader="none" w:pos="128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Borrower does not deliver a Sustainability Certificate within the period set forth in Section 2.17(e) or any Sustainability Certificate shall be incomplete and fail to satisfy the requirements set forth in the definition of “Sustainability Certificate” (including the failure to set forth the Sustainability Rate Adjustment and the Sustainability Applicable Commitment Fee Adjustment and calculations in reasonable detail of the KPI Metrics, in each case, for the applicable Reference Year), the Sustainability Rate Adjustment will be positive 0.05% and the Sustainability Applicable Commitment Fee Adjustment will be positive 0.01% commencing on the fifth Business Day following the last day such Sustainability Certificate should have been delivered pursuant to the terms of Section 2.17(e) and continuing until the fifth Business Day following receipt by the Administrative Agent of a complete Sustainability Certificate for such Reference Year.</w:t>
      </w:r>
    </w:p>
    <w:p>
      <w:pPr>
        <w:spacing w:after="0" w:line="181" w:lineRule="exact"/>
        <w:rPr>
          <w:rFonts w:ascii="Times New Roman" w:cs="Times New Roman" w:eastAsia="Times New Roman" w:hAnsi="Times New Roman"/>
          <w:sz w:val="19"/>
          <w:szCs w:val="19"/>
          <w:color w:val="auto"/>
        </w:rPr>
      </w:pPr>
    </w:p>
    <w:p>
      <w:pPr>
        <w:jc w:val="both"/>
        <w:ind w:firstLine="656"/>
        <w:spacing w:after="0" w:line="265" w:lineRule="auto"/>
        <w:tabs>
          <w:tab w:leader="none" w:pos="128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only one Sustainability Certificate may be delivered in respect of any Reference Year and any adjustment to the Dollar LC Commission, Multicurrency LC Commission, Applicable Adjusted Term SOFR Margin, Applicable Base Rate Margin, Applicable Eurocurrency Margin, Applicable RFR Margin or Applicable Canadian Prime Rate Margin or the Applicable Commitment Fee by reference to any of the KPI Metrics in any year shall not be cumulative year-over-year. Each applicable adjustment shall only apply until the date on which the next adjustment is to occur. It is further understood and agreed that (x) the Dollar LC Commission, Multicurrency LC Commission, Applicable Adjusted Term SOFR Margin, Applicable Base Rate Margin, Applicable Eurocurrency Margin, Applicable RFR Margin or Applicable Canadian Prime Rate Margin, as applicable, will never be reduced or increased by more than 0.05% pursuant to the Sustainability Rate Adjustment and (y) the Applicable Commitment Fee will never be reduced or increased by more than 0.01% pursuant to the Sustainability Applicable Commitment Fee Adjustment, in each case, during any Reference Year; provided that, and notwithstanding anything to the contrary in this Agreement (including any provision of Section 12.1(a)(i) requiring the consent of “each Lender directly affected thereby” for reductions in interest rates), the definitions contained in this Section 2.17 and the Sustainability Table may be amended or otherwise modified with the consent of Crown Holdings, the Administrative Agent, the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252" w:name="page253"/>
    <w:bookmarkEnd w:id="252"/>
    <w:p>
      <w:pPr>
        <w:jc w:val="both"/>
        <w:spacing w:after="0" w:line="253" w:lineRule="auto"/>
        <w:rPr>
          <w:sz w:val="20"/>
          <w:szCs w:val="20"/>
          <w:color w:val="auto"/>
        </w:rPr>
      </w:pPr>
      <w:r>
        <w:rPr>
          <w:rFonts w:ascii="Times New Roman" w:cs="Times New Roman" w:eastAsia="Times New Roman" w:hAnsi="Times New Roman"/>
          <w:sz w:val="20"/>
          <w:szCs w:val="20"/>
          <w:color w:val="auto"/>
        </w:rPr>
        <w:t>Coordinators and the Required Lenders; provided, however, for the avoidance of doubt, any changes to the Dollar LC Commission, Multicurrency LC Commission, Applicable Adjusted Term SOFR Margin, Applicable Base Rate Margin, Applicable Eurocurrency Margin, Applicable RFR Margin or Applicable Canadian Prime Rate Margin pursuant to any Sustainability Rate Adjustment and the Applicable Commitment Fee pursuant to the Sustainability Applicable Commitment Fee Adjustment in excess of the amounts set forth above shall be subject to the consent of “each Lender directly affected thereby” in accordance with Section 12.1(a)(i).</w:t>
      </w:r>
    </w:p>
    <w:p>
      <w:pPr>
        <w:spacing w:after="0" w:line="192" w:lineRule="exact"/>
        <w:rPr>
          <w:sz w:val="20"/>
          <w:szCs w:val="20"/>
          <w:color w:val="auto"/>
        </w:rPr>
      </w:pPr>
    </w:p>
    <w:p>
      <w:pPr>
        <w:jc w:val="both"/>
        <w:ind w:firstLine="656"/>
        <w:spacing w:after="0" w:line="261" w:lineRule="auto"/>
        <w:tabs>
          <w:tab w:leader="none" w:pos="1284"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(i)(A) the Administrative Agent becomes aware of any material inaccuracy in the Sustainability Rate Adjustment, the Sustainability Applicable Commitment Fee Adjustment or the KPI Metrics as reported in any Sustainability Certificate (any such material inaccuracy, a “</w:t>
      </w:r>
      <w:r>
        <w:rPr>
          <w:rFonts w:ascii="Times New Roman" w:cs="Times New Roman" w:eastAsia="Times New Roman" w:hAnsi="Times New Roman"/>
          <w:sz w:val="19"/>
          <w:szCs w:val="19"/>
          <w:u w:val="single" w:color="auto"/>
          <w:color w:val="auto"/>
        </w:rPr>
        <w:t>Sustainability Certificate Inaccuracy</w:t>
      </w:r>
      <w:r>
        <w:rPr>
          <w:rFonts w:ascii="Times New Roman" w:cs="Times New Roman" w:eastAsia="Times New Roman" w:hAnsi="Times New Roman"/>
          <w:sz w:val="19"/>
          <w:szCs w:val="19"/>
          <w:color w:val="auto"/>
        </w:rPr>
        <w:t>”) and the Administrative Agent notifies Crown Holdings thereof, or (B) any Lender becomes aware of any Sustainability Certificate Inaccuracy and such Lender delivers a written notice to the Administrative Agent describing such Sustainability Certificate Inaccuracy in reasonable detail (which description shall be shared with Crown Holdings), or (C) Crown Holdings becomes aware of a Sustainability Certificate Inaccuracy and delivers notice thereof to the Administrative Agent, and (ii) a proper calculation of the Sustainability Rate Adjustment, Sustainability Applicable Commitment Fee Adjustment or the KPI Metrics would have resulted in an adjustment in the Dollar LC Commission, Multicurrency LC Commission, Applicable Adjusted Term SOFR Margin, Applicable Base Rate Margin, Applicable Eurocurrency Margin, Applicable RFR Margin or Applicable Canadian Prime Rate Margin or Applicable Commitment Fee for any applicable period, (x) commencing on the fifth Business Day following delivery of a corrected Sustainability Certificate to the Administrative Agent, the Dollar LC Commission, Multicurrency LC Commission, Applicable Adjusted Term SOFR Margin, Applicable Base Rate Margin, Applicable Eurocurrency Margin, Applicable RFR Margin or Applicable Canadian Prime Rate Margin and Applicable Commitment Fee shall be adjusted to reflect such corrected calculations of the Sustainability Rate Adjustment and the Sustainability Applicable Commitment Fee Adjustment and (y) Crown Holdings shall be obligated to pay to the Administrative Agent for the account of the applicable Lenders or the applicable Facing Agents, as the case may be, promptly on demand by the Administrative Agent (or, after the occurrence of an actual or deemed entry of an order for relief with respect to Crown Holdings under any Bankruptcy Code, automatically and without further action by the Administrative Agent, any Lender or any Facing Agent), but in any event within ten (10) Business Days after Crown Holdings has received written notice of, or has determined that there was, a Sustainability Certificate Inaccuracy, an amount equal to the excess of (1) the amount of interest and fees that should have been paid for such period over</w:t>
      </w:r>
    </w:p>
    <w:p>
      <w:pPr>
        <w:spacing w:after="0" w:line="16"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interest and fees actually paid for such period. It is understood and agreed that any Sustainability Certificate Inaccuracy</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shall not constitute a Default or Event of Default or otherwise result in the failure of any condition precedent to any advance or the issuance of any Letter of Credit; provided that Crown Holdings complies with the terms of this Section 2.17 with respect to such Sustainability Certificate Inaccuracy. Notwithstanding anything to the contrary herein, unless such amounts shall be due upon the occurrence of an actual or deemed entry of an order for relief with respect to Crown Holdings under any Bankruptcy Code, (x) any additional amounts required to be paid pursuant to this paragraph shall not be due and payable until the earlier to occur of (I) a written demand is made for such payment by the Administrative Agent in accordance with this paragraph or (II) 10 Business Days after Crown Holdings has received written notice of, or has determined that there was, a Sustainability Certificate Inaccuracy (such earlier date, the “</w:t>
      </w:r>
      <w:r>
        <w:rPr>
          <w:rFonts w:ascii="Times New Roman" w:cs="Times New Roman" w:eastAsia="Times New Roman" w:hAnsi="Times New Roman"/>
          <w:sz w:val="20"/>
          <w:szCs w:val="20"/>
          <w:u w:val="single" w:color="auto"/>
          <w:color w:val="auto"/>
        </w:rPr>
        <w:t>Certificate Inaccuracy Payment Date</w:t>
      </w:r>
      <w:r>
        <w:rPr>
          <w:rFonts w:ascii="Times New Roman" w:cs="Times New Roman" w:eastAsia="Times New Roman" w:hAnsi="Times New Roman"/>
          <w:sz w:val="20"/>
          <w:szCs w:val="20"/>
          <w:color w:val="auto"/>
        </w:rPr>
        <w:t>”), (y) any nonpayment of such additional amounts prior to the Certificate Inaccuracy Payment Date shall not constitute a Default (whether retroactively or otherwise) and (z) none of such additional amounts shall be deemed overdue prior to the Certificate Inaccuracy Payment Date or shall accrue interest at the default rate pursuant to Section 3.1(j) prior to the Certificate Inaccuracy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253" w:name="page254"/>
    <w:bookmarkEnd w:id="253"/>
    <w:p>
      <w:pPr>
        <w:jc w:val="both"/>
        <w:ind w:firstLine="656"/>
        <w:spacing w:after="0" w:line="250" w:lineRule="auto"/>
        <w:tabs>
          <w:tab w:leader="none" w:pos="128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220 days following the end of each fiscal year of Crown Holdings (commencing with the calendar year ending December 31, 2024), Crown Holdings shall deliver to the Administrative Agent and the Lenders, in form and substance satisfactory to the Administrative Agent, the Sustainability Coordinators and the Required Lenders, a Sustainability Certificate for the most recently-ended Reference Year; provided that, for any Reference Year, Crown Holdings may elect not to deliver a Sustainability Certificate and such election shall not constitute a Default or Event of Default (but such failure to so deliver a Sustainability Certificate by the end of such 220-day period shall result in the Sustainability Rate Adjustment and Sustainability Applicable Commitment Fee Adjustment being applied as set forth in Section 2.17(b)). In the event Crown Holdings’ Fiscal Year is changed to a non-calendar year fiscal year in accordance with this Agreement, following prior written notice to the Administrative Agent and the Lenders, Crown Holdings will be permitted to adjust the timing of delivery of the Sustainability Certificate at its election in a manner intended to maintain consistency with the foregoing.</w:t>
      </w:r>
    </w:p>
    <w:p>
      <w:pPr>
        <w:spacing w:after="0" w:line="196"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the Seventh Amendment Effective Date, there occurs any Sustainability Recalculation Event, and either (i) Crown Holdings notifies the Administrative Agent in writing that Crown Holdings requests an amendment to any provision hereof to eliminate, accommodate or otherwise take into account the effect of such Sustainability Recalculation Event, or (ii) the Administrative Agent notifies Crown Holdings that the Required Lenders request an amendment to any provision or provisions hereof for such purpose (it being understood and agreed that any such notice may be given before or after such Sustainability Recalculation Event has occurred), then (A) Crown Holdings, the Administrative Agent and the Sustainability Coordinators shall negotiate in good faith to amend the provisions hereof to eliminate, accommodate or otherwise take into account the effect of such Sustainability Recalculation Event for the period from and after the occurrence of such Sustainability Recalculation Event, and (B) the provisions of this Agreement shall be interpreted on the basis of the provisions in effect and applied immediately prior to such Sustainability Recalculation Event for a period of not more than 30 days (unless the provisions hereof shall have been amended in accordance herewith or such notice shall have been withdrawn). If, after 30 days following any such notice, the consent of Crown Holdings, the Administrative Agent, the Sustainability Coordinators and the Required Lenders under Section 12.1 has not been obtained, there will cease to be any Sustainability Rate Adjustment and any Sustainability Applicable Commitment Fee Adjustment until such time as the parties hereto can agree upon any such adjustments in accordance with the terms hereof, and, for the period thereafter, (A) any pricing adjustment shall cease and (B) no party to this Agreement shall, without the prior written consent of the Administrative Agent, the Sustainability Coordinators and Crown Holdings, make any public or private representations or description of the credit facility described in this Agreement as a sustainability-linked loan. For purposes of this paragraph, “</w:t>
      </w:r>
      <w:r>
        <w:rPr>
          <w:rFonts w:ascii="Times New Roman" w:cs="Times New Roman" w:eastAsia="Times New Roman" w:hAnsi="Times New Roman"/>
          <w:sz w:val="20"/>
          <w:szCs w:val="20"/>
          <w:u w:val="single" w:color="auto"/>
          <w:color w:val="auto"/>
        </w:rPr>
        <w:t>Sustainability Recalculation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means any (i) acquisition, disposition, merger or similar transaction or series of related transactions consummated by Crown Holdings and its Subsidiaries, the consummation of which results in, or within a year of closing is reasonably anticipated to result in (as determined in good faith by Crown Holdings), an increase or decrease equal to or greater than 5.00% (on a consolidated basis) as compared to the KPI Metrics in effect immediately prior to the consummation of such transaction or (ii) any Change in Law applicable to any party hereto the result of which shall (A) prohibit or modify any sustainability calculation hereunder or cause any other violation of any sustainability provision hereunder, or impose or modify any reporting obligation in respect thereof, (B) cause Crown Holdings to fail to attain or maintain any KPI Metric or target with respect thereto or (C) prohibit or otherwise limit such party’s ability to make or maintain the Loans hereunder after applying the sustainability provisions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0"/>
          <w:szCs w:val="20"/>
          <w:b w:val="1"/>
          <w:bCs w:val="1"/>
          <w:color w:val="auto"/>
        </w:rPr>
        <w:t>ARTICLE IIA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AMOUNT AND TERMS OF CANADIAN REVOLVER</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2A.1 </w:t>
      </w:r>
      <w:r>
        <w:rPr>
          <w:rFonts w:ascii="Times New Roman" w:cs="Times New Roman" w:eastAsia="Times New Roman" w:hAnsi="Times New Roman"/>
          <w:sz w:val="20"/>
          <w:szCs w:val="20"/>
          <w:u w:val="single" w:color="auto"/>
          <w:color w:val="auto"/>
        </w:rPr>
        <w:t>The Canadian Revolving Commitments</w:t>
      </w:r>
      <w:r>
        <w:rPr>
          <w:rFonts w:ascii="Times New Roman" w:cs="Times New Roman" w:eastAsia="Times New Roman" w:hAnsi="Times New Roman"/>
          <w:sz w:val="20"/>
          <w:szCs w:val="20"/>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including by means of B/As or B/A Equivalent Loans, from time to time during the Canadian Commitment Period in an amount not to exceed its Canadian Revolver Pro Rata Share of the Total Available Canadian Revolving Commitment (each such loan by any Lender, a “</w:t>
      </w:r>
      <w:r>
        <w:rPr>
          <w:rFonts w:ascii="Times New Roman" w:cs="Times New Roman" w:eastAsia="Times New Roman" w:hAnsi="Times New Roman"/>
          <w:sz w:val="20"/>
          <w:szCs w:val="20"/>
          <w:u w:val="single" w:color="auto"/>
          <w:color w:val="auto"/>
        </w:rPr>
        <w:t>Canadian 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Canadian Revolving Loans</w:t>
      </w:r>
      <w:r>
        <w:rPr>
          <w:rFonts w:ascii="Times New Roman" w:cs="Times New Roman" w:eastAsia="Times New Roman" w:hAnsi="Times New Roman"/>
          <w:sz w:val="20"/>
          <w:szCs w:val="20"/>
          <w:color w:val="auto"/>
        </w:rPr>
        <w:t>”). The Canadian Revolving Loans (i) shall be denominated in Canadian Dollars and (ii) if made on the Effective Date, shall be made as Canadian Prime Rate Loans. Except as hereinafter provided, Canadian Revolving Loans may, at the option of Canadian Borrower, be maintained as and/or converted into Canadian Prime Rate Loans or B/A Loans.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 As the context may require, references to the outstanding principal amount of any Canadian Revolving Loan shall include the face amount of B/A Loans.</w:t>
      </w:r>
    </w:p>
    <w:p>
      <w:pPr>
        <w:spacing w:after="0" w:line="19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2A.2</w:t>
      </w:r>
      <w:r>
        <w:rPr>
          <w:sz w:val="20"/>
          <w:szCs w:val="20"/>
          <w:color w:val="auto"/>
        </w:rPr>
        <w:tab/>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3" w:lineRule="auto"/>
        <w:tabs>
          <w:tab w:leader="none" w:pos="118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 xml:space="preserve">. At the request of any Canadian Revolving Lender, Canadian Borrower’s obligation to pay the principal of and interest on all Canadian Revolving Loans (other than B/As) made to it by such Lender shall be evidenced by a promissory note duly executed and delivered by Canadian Borrower substantially in the form of </w:t>
      </w:r>
      <w:r>
        <w:rPr>
          <w:rFonts w:ascii="Times New Roman" w:cs="Times New Roman" w:eastAsia="Times New Roman" w:hAnsi="Times New Roman"/>
          <w:sz w:val="20"/>
          <w:szCs w:val="20"/>
          <w:u w:val="single" w:color="auto"/>
          <w:color w:val="auto"/>
        </w:rPr>
        <w:t>Exhibit 2A.2(a</w:t>
      </w:r>
      <w:r>
        <w:rPr>
          <w:rFonts w:ascii="Times New Roman" w:cs="Times New Roman" w:eastAsia="Times New Roman" w:hAnsi="Times New Roman"/>
          <w:sz w:val="20"/>
          <w:szCs w:val="20"/>
          <w:color w:val="auto"/>
        </w:rPr>
        <w:t>) (or such other form as mutually agreed by Crown Holdings and the Canadian Administrative Agent) (each a “</w:t>
      </w:r>
      <w:r>
        <w:rPr>
          <w:rFonts w:ascii="Times New Roman" w:cs="Times New Roman" w:eastAsia="Times New Roman" w:hAnsi="Times New Roman"/>
          <w:sz w:val="20"/>
          <w:szCs w:val="20"/>
          <w:u w:val="single" w:color="auto"/>
          <w:color w:val="auto"/>
        </w:rPr>
        <w:t>Canadian Revolving Note</w:t>
      </w:r>
      <w:r>
        <w:rPr>
          <w:rFonts w:ascii="Times New Roman" w:cs="Times New Roman" w:eastAsia="Times New Roman" w:hAnsi="Times New Roman"/>
          <w:sz w:val="20"/>
          <w:szCs w:val="20"/>
          <w:color w:val="auto"/>
        </w:rPr>
        <w:t>”) hereto, with blanks appropriately completed in conformity herewith.</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2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Notation of Payments</w:t>
      </w:r>
      <w:r>
        <w:rPr>
          <w:rFonts w:ascii="Times New Roman" w:cs="Times New Roman" w:eastAsia="Times New Roman" w:hAnsi="Times New Roman"/>
          <w:sz w:val="20"/>
          <w:szCs w:val="20"/>
          <w:color w:val="auto"/>
        </w:rPr>
        <w:t>. Each Canadian Revolving Lender will note on its internal records the amount of each Canadian Revolving Loan made by it and each payment in respect thereof and will, prior to any transfer of any Canadian Revolving Note in accordance with the terms of this Agreement, endorse on the reverse side thereof the outstanding principal amount of Canadian Revolving Loans evidenced thereby. Failure to make any such notation shall not affect Canadian Borrower’s or any guarantor’s obligations hereunder or under the other applicable Loan Documents in respect of such Canadian Revolving Loans.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2A.3 </w:t>
      </w:r>
      <w:r>
        <w:rPr>
          <w:rFonts w:ascii="Times New Roman" w:cs="Times New Roman" w:eastAsia="Times New Roman" w:hAnsi="Times New Roman"/>
          <w:sz w:val="20"/>
          <w:szCs w:val="20"/>
          <w:u w:val="single" w:color="auto"/>
          <w:color w:val="auto"/>
        </w:rPr>
        <w:t>Minimum Amount of Each Borrowing; Maximum Number of Borrowings</w:t>
      </w:r>
      <w:r>
        <w:rPr>
          <w:rFonts w:ascii="Times New Roman" w:cs="Times New Roman" w:eastAsia="Times New Roman" w:hAnsi="Times New Roman"/>
          <w:sz w:val="20"/>
          <w:szCs w:val="20"/>
          <w:color w:val="auto"/>
        </w:rPr>
        <w:t>. The aggregate principal amount of each Borrowing by Canadian Borrower hereunder shall be not less than the Minimum Borrowing Amount and, if greater, shall be in integral multiples of Cdn.$1,000,000 above such minimum (or, if less, the then Total Available Canadian Revolving Commitment). More than one Borrowing may be incurred on any date.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2A.4 </w:t>
      </w:r>
      <w:r>
        <w:rPr>
          <w:rFonts w:ascii="Times New Roman" w:cs="Times New Roman" w:eastAsia="Times New Roman" w:hAnsi="Times New Roman"/>
          <w:sz w:val="20"/>
          <w:szCs w:val="20"/>
          <w:u w:val="single" w:color="auto"/>
          <w:color w:val="auto"/>
        </w:rPr>
        <w:t>Borrowing Options</w:t>
      </w:r>
      <w:r>
        <w:rPr>
          <w:rFonts w:ascii="Times New Roman" w:cs="Times New Roman" w:eastAsia="Times New Roman" w:hAnsi="Times New Roman"/>
          <w:sz w:val="20"/>
          <w:szCs w:val="20"/>
          <w:color w:val="auto"/>
        </w:rPr>
        <w:t xml:space="preserve">. The Canadian Revolving Loans shall, at the option of Canadian Borrower except as otherwise provided in this Agreement, be (i) Canadian Prime Rate Loans, (ii) B/A Loans, or (iii) part Canadian Prime Rate Loans and part B/A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09" w:right="339" w:bottom="1440" w:gutter="0" w:footer="0" w:header="0"/>
        </w:sectPr>
      </w:pPr>
    </w:p>
    <w:bookmarkStart w:id="255" w:name="page256"/>
    <w:bookmarkEnd w:id="25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Revolving Loans made by the Canadian Revolving Lenders pursuant to the same Borrowing shall, unless otherwise specifically provided herein, consist entirely of Canadian Revolving Loans of the same Type.</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2A.5 </w:t>
      </w:r>
      <w:r>
        <w:rPr>
          <w:rFonts w:ascii="Times New Roman" w:cs="Times New Roman" w:eastAsia="Times New Roman" w:hAnsi="Times New Roman"/>
          <w:sz w:val="20"/>
          <w:szCs w:val="20"/>
          <w:u w:val="single" w:color="auto"/>
          <w:color w:val="auto"/>
        </w:rPr>
        <w:t>Notice of Canadian Borrowing</w:t>
      </w:r>
      <w:r>
        <w:rPr>
          <w:rFonts w:ascii="Times New Roman" w:cs="Times New Roman" w:eastAsia="Times New Roman" w:hAnsi="Times New Roman"/>
          <w:sz w:val="20"/>
          <w:szCs w:val="20"/>
          <w:color w:val="auto"/>
        </w:rPr>
        <w:t xml:space="preserve">. Whenever Canadian Borrower desires to make a Borrowing of any Canadian Revolving Loan hereunder, Canadian Borrower shall give Canadian Administrative Agent at its Notice Address at least one Business Day’s (two Business Days’ in the case of B/A Loans) prior written notice (or telephonic notice promptly confirmed in writing), given not later than 12:00 p.m. (Toronto time) of each B/A Loan or Canadian Prime Rate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Notice of Canadian Borrowing with respect to Borrowings to be made on the Incremental Amendment No. 3 and Fifth Amendment Effective Date may, at the discretion of Canadian Administrative Agent, be delivered later than the time specified above. Each such notice (each a “</w:t>
      </w:r>
      <w:r>
        <w:rPr>
          <w:rFonts w:ascii="Times New Roman" w:cs="Times New Roman" w:eastAsia="Times New Roman" w:hAnsi="Times New Roman"/>
          <w:sz w:val="20"/>
          <w:szCs w:val="20"/>
          <w:u w:val="single" w:color="auto"/>
          <w:color w:val="auto"/>
        </w:rPr>
        <w:t>Notice of Canadian Borrowing</w:t>
      </w:r>
      <w:r>
        <w:rPr>
          <w:rFonts w:ascii="Times New Roman" w:cs="Times New Roman" w:eastAsia="Times New Roman" w:hAnsi="Times New Roman"/>
          <w:sz w:val="20"/>
          <w:szCs w:val="20"/>
          <w:color w:val="auto"/>
        </w:rPr>
        <w:t xml:space="preserve">”), which shall be in the form of </w:t>
      </w:r>
      <w:r>
        <w:rPr>
          <w:rFonts w:ascii="Times New Roman" w:cs="Times New Roman" w:eastAsia="Times New Roman" w:hAnsi="Times New Roman"/>
          <w:sz w:val="20"/>
          <w:szCs w:val="20"/>
          <w:u w:val="single" w:color="auto"/>
          <w:color w:val="auto"/>
        </w:rPr>
        <w:t>Exhibit 2A.5</w:t>
      </w:r>
      <w:r>
        <w:rPr>
          <w:rFonts w:ascii="Times New Roman" w:cs="Times New Roman" w:eastAsia="Times New Roman" w:hAnsi="Times New Roman"/>
          <w:sz w:val="20"/>
          <w:szCs w:val="20"/>
          <w:color w:val="auto"/>
        </w:rPr>
        <w:t xml:space="preserve"> hereto (or such other form as mutually agreed by Crown Holdings and the Canadian Administrative Agent), shall be irrevocable, shall be deemed a representation by Canadian Borrower that all conditions precedent to such Borrowing have been satisfied and shall specify (i) the aggregate principal amount of the Loans (or the face amount of the B/A Loans, as the case may be) to be made pursuant to such Borrowing, (ii) the date of Borrowing (which shall be a Business Day), and (iii) whether the Loans being made pursuant to such Borrowing are to be Canadian Prime Rate Loans or B/A Loans and with respect to B/A Loans the Contract Period and maturity date to be applicable thereto. Canadian Administrative Agent shall as promptly as practicable give each Canadian Revolving Lender written or telephonic notice (promptly confirmed in writing) of each proposed Borrowing, of such Canadian Revolving Lender’s Canadian Revolver Pro Rata Share thereof and of the other matters covered by the Notice of Canadian Borrowing. Without in any way limiting Canadian Borrower’s obligation to confirm in writing any telephonic notice, Canadian Administrative Agent may act without liability upon the basis of telephonic notice believed by Canadian Administrative Agent in good faith to be from a Responsible Officer of Canadian Borrower prior to receipt of written confirmation. Canadian Administrative Agent’s records shall, absent manifest error, be final, conclusive and binding on Canadian Borrower with respect to evidence of the terms of such telephonic Notice of Canadian Borrowing. Canadian Borrower hereby agrees not to dispute Canadian Administrative Agent’s record of the time of telephonic notice.</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2A.6 </w:t>
      </w:r>
      <w:r>
        <w:rPr>
          <w:rFonts w:ascii="Times New Roman" w:cs="Times New Roman" w:eastAsia="Times New Roman" w:hAnsi="Times New Roman"/>
          <w:sz w:val="20"/>
          <w:szCs w:val="20"/>
          <w:u w:val="single" w:color="auto"/>
          <w:color w:val="auto"/>
        </w:rPr>
        <w:t>Conversion or Continuation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2A.4</w:t>
      </w:r>
      <w:r>
        <w:rPr>
          <w:rFonts w:ascii="Times New Roman" w:cs="Times New Roman" w:eastAsia="Times New Roman" w:hAnsi="Times New Roman"/>
          <w:sz w:val="20"/>
          <w:szCs w:val="20"/>
          <w:color w:val="auto"/>
        </w:rPr>
        <w:t xml:space="preserve">, Canadian Borrower may elect (i) on any Business Day to convert Canadian Prime Rate Loans or any portion thereof to B/A Loans and (ii) at the end of any Contract Period with respect thereto, to convert B/A Loans or any portion thereof into Canadian Prime Rate Loans or continue such B/A Loans or any portion thereof for an additional Contract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face amount of the B/A Loans for each Contract Period therefor must be in an aggregate principal amount of Cdn.$5,000,000 or an integral multiple of Cdn.$1,000,000 in excess thereto. Each such election shall be in substantially the form of </w:t>
      </w:r>
      <w:r>
        <w:rPr>
          <w:rFonts w:ascii="Times New Roman" w:cs="Times New Roman" w:eastAsia="Times New Roman" w:hAnsi="Times New Roman"/>
          <w:sz w:val="20"/>
          <w:szCs w:val="20"/>
          <w:u w:val="single" w:color="auto"/>
          <w:color w:val="auto"/>
        </w:rPr>
        <w:t>Exhibit 2A.6</w:t>
      </w:r>
      <w:r>
        <w:rPr>
          <w:rFonts w:ascii="Times New Roman" w:cs="Times New Roman" w:eastAsia="Times New Roman" w:hAnsi="Times New Roman"/>
          <w:sz w:val="20"/>
          <w:szCs w:val="20"/>
          <w:color w:val="auto"/>
        </w:rPr>
        <w:t xml:space="preserve"> hereto (or such other form as mutually agreed by Crown Holdings and the Canadian Administrative Agent) (a “</w:t>
      </w:r>
      <w:r>
        <w:rPr>
          <w:rFonts w:ascii="Times New Roman" w:cs="Times New Roman" w:eastAsia="Times New Roman" w:hAnsi="Times New Roman"/>
          <w:sz w:val="20"/>
          <w:szCs w:val="20"/>
          <w:u w:val="single" w:color="auto"/>
          <w:color w:val="auto"/>
        </w:rPr>
        <w:t>Notice of Canadian Conversion or Continuation</w:t>
      </w:r>
      <w:r>
        <w:rPr>
          <w:rFonts w:ascii="Times New Roman" w:cs="Times New Roman" w:eastAsia="Times New Roman" w:hAnsi="Times New Roman"/>
          <w:sz w:val="20"/>
          <w:szCs w:val="20"/>
          <w:color w:val="auto"/>
        </w:rPr>
        <w:t xml:space="preserve">”) and shall be made by giving Canadian Administrative Agent at least two Business Days’ prior written notice thereof to the Canadian Administrative Agent at its Notice Address given not later than 12:00 p.m. (Toronto time), specifying (i) the amount and type of conversion or continuation, (ii) in the case of a conversion to or a continuation of B/A Loans, the Contract Period therefor, (iii) in the case of a conversion, the date of conversion (which date shall be a Business Day). Notwithstanding the foregoing, no conversion in whole or in part of Canadian Prime Rate Loans to B/A Loans, and no continuation in whole or in part of B/A Loans, upon the expiration of the Contract Period, therefor, shall be permitted at any time at which an Unmatured Event of Default or an Event of Default shall have occurred and be continuing. If, within the time period required under the terms of this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Canadian Administrative Agent does not receive a Notice of Canadian Conversion or Continuation from Canadian Borrower containing a permitted election to continue any B/A Loans,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256" w:name="page257"/>
    <w:bookmarkEnd w:id="256"/>
    <w:p>
      <w:pPr>
        <w:spacing w:after="0" w:line="283" w:lineRule="auto"/>
        <w:rPr>
          <w:sz w:val="20"/>
          <w:szCs w:val="20"/>
          <w:color w:val="auto"/>
        </w:rPr>
      </w:pPr>
      <w:r>
        <w:rPr>
          <w:rFonts w:ascii="Times New Roman" w:cs="Times New Roman" w:eastAsia="Times New Roman" w:hAnsi="Times New Roman"/>
          <w:sz w:val="20"/>
          <w:szCs w:val="20"/>
          <w:color w:val="auto"/>
        </w:rPr>
        <w:t>additional Contract Period to convert any such Loans, then, upon the expiration of the Contract Period therefor, such Loans will be automatically converted to Canadian Prime Rate Loans. Each Notice of Canadian Conversion or Continuation shall be irrevocable.</w:t>
      </w:r>
    </w:p>
    <w:p>
      <w:pPr>
        <w:spacing w:after="0" w:line="14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xml:space="preserve">2A.7 </w:t>
      </w:r>
      <w:r>
        <w:rPr>
          <w:rFonts w:ascii="Times New Roman" w:cs="Times New Roman" w:eastAsia="Times New Roman" w:hAnsi="Times New Roman"/>
          <w:sz w:val="20"/>
          <w:szCs w:val="20"/>
          <w:u w:val="single" w:color="auto"/>
          <w:color w:val="auto"/>
        </w:rPr>
        <w:t>Disbursement of Funds and Presumptions by Canadian Administrative Agent</w:t>
      </w:r>
      <w:r>
        <w:rPr>
          <w:rFonts w:ascii="Times New Roman" w:cs="Times New Roman" w:eastAsia="Times New Roman" w:hAnsi="Times New Roman"/>
          <w:sz w:val="20"/>
          <w:szCs w:val="20"/>
          <w:color w:val="auto"/>
        </w:rPr>
        <w:t xml:space="preserve">. No later than 12:00 p.m. (local time at the place of funding) on the date specified in each Notice of Canadian Borrowing, each Canadian Revolving Lender will make available its Canadian Revolver Pro Rata Share of Canadian Revolving Loans of the Borrowing requested to be made on such date in Canadian Dollars and in immediately available funds, at the Payment Office and Canadian Administrative Agent will make available to Canadian Borrower at its Payment Office the aggregate of the amounts so made available by the Lenders not later than 2:00 p.m. (local time in the place of payment). Unless Canadian Administrative Agent shall have been notified by any such Lender at least one Business Day prior to the date of Borrowing that such Lender does not intend to make available to Canadian Administrative Agent such Lender’s portion of the Borrowing to be made on such date, Canadian Administrative Agent may assume that such Lender has made such amount available to Canadian Administrative Agent on such date of Borrowing and Canadian Administrative Agent may, but shall not be required to, in reliance upon such assumption, make available to Canadian Borrower a corresponding amount. If such corresponding amount is not in fact made available to Canadian Administrative Agent by such Lender on the date of Borrowing, Canadian Administrative Agent shall be entitled to recover such corresponding amount on demand from such Lender. If such Lender does not pay such corresponding amount forthwith upon Canadian Administrative Agent’s demand therefor, Canadian Administrative Agent shall promptly notify Canadian Borrower and, if so notified, Canadian Borrower shall immediately pay such corresponding amount to Canadian Administrative Agent. Canadian Administrative Agent shall also be entitled to recover from Canadian Borrower interest on such corresponding amount in respect of each day from the date such corresponding amount was made available by Canadian Administrative Agent to Canadian Borrower to the date such corresponding amount is recovered by Canadian Administrative Agent,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rate for Canadian Prime Rate Loans or B/A Loans, as the case may be, applicable during the period in question;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interest paid to Canadian Administrative Agent in respect of such corresponding amount shall be credited against interest payable by Canadian Borrower to such Lender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 respect of such corresponding amount. Any amount due hereunder to Canadian Administrative Agent from any Lender which is not paid when due shall bear interest payable by such Lender, from the date due until the date paid, at the average of the rates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for the first three days after the date such amount is due and thereafter at the average of the rates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plus 1%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together with Canadian Administrative Agent’s standard interbank processing fee. Further, such Lender shall be deemed to have assigned any and all payments made of principal and interest on its Loans, and any other amounts due to it hereunder first to Canadian Administrative Agent to fund any outstanding Loans made available on behalf of such Lender by Canadian Administrative Agent pursuant to this </w:t>
      </w:r>
      <w:r>
        <w:rPr>
          <w:rFonts w:ascii="Times New Roman" w:cs="Times New Roman" w:eastAsia="Times New Roman" w:hAnsi="Times New Roman"/>
          <w:sz w:val="20"/>
          <w:szCs w:val="20"/>
          <w:u w:val="single" w:color="auto"/>
          <w:color w:val="auto"/>
        </w:rPr>
        <w:t>Section 2A.7</w:t>
      </w:r>
      <w:r>
        <w:rPr>
          <w:rFonts w:ascii="Times New Roman" w:cs="Times New Roman" w:eastAsia="Times New Roman" w:hAnsi="Times New Roman"/>
          <w:sz w:val="20"/>
          <w:szCs w:val="20"/>
          <w:color w:val="auto"/>
        </w:rPr>
        <w:t xml:space="preserve"> until such Loans have been funded (as a result of such assignment or otherwise) and then to fund Loans of all Lenders other than such Lender until each Lender has outstanding Loans equal to its Canadian Revolver Pro Rata Share of all Canadian Revolving Loans (as a result of such assignment or otherwise). Such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257" w:name="page258"/>
    <w:bookmarkEnd w:id="257"/>
    <w:p>
      <w:pPr>
        <w:ind w:right="20"/>
        <w:spacing w:after="0" w:line="251" w:lineRule="auto"/>
        <w:rPr>
          <w:sz w:val="20"/>
          <w:szCs w:val="20"/>
          <w:color w:val="auto"/>
        </w:rPr>
      </w:pPr>
      <w:r>
        <w:rPr>
          <w:rFonts w:ascii="Times New Roman" w:cs="Times New Roman" w:eastAsia="Times New Roman" w:hAnsi="Times New Roman"/>
          <w:sz w:val="20"/>
          <w:szCs w:val="20"/>
          <w:color w:val="auto"/>
        </w:rPr>
        <w:t xml:space="preserve">not have recourse against Canadian Borrower with respect to any amounts paid to Canadian Administrative Agent or any Lender with respect to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have full recourse against Canadian Borrower to the extent of the amount of such Loans it has so been deemed to have made. Nothing herein shall be deemed to relieve any Lender from its obligation to fulfill its Canadian Revolving Commitment hereunder or to prejudice any rights which Canadian Borrower may have against the Lender as a result of any default by such Lender hereunder.</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2A.8 </w:t>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xml:space="preserve"> Except as expressly provided in </w:t>
      </w:r>
      <w:r>
        <w:rPr>
          <w:rFonts w:ascii="Times New Roman" w:cs="Times New Roman" w:eastAsia="Times New Roman" w:hAnsi="Times New Roman"/>
          <w:sz w:val="20"/>
          <w:szCs w:val="20"/>
          <w:u w:val="single" w:color="auto"/>
          <w:color w:val="auto"/>
        </w:rPr>
        <w:t>Section 2A.9(e)</w:t>
      </w:r>
      <w:r>
        <w:rPr>
          <w:rFonts w:ascii="Times New Roman" w:cs="Times New Roman" w:eastAsia="Times New Roman" w:hAnsi="Times New Roman"/>
          <w:sz w:val="20"/>
          <w:szCs w:val="20"/>
          <w:color w:val="auto"/>
        </w:rPr>
        <w:t>, all Borrowings of Canadian Revolving Loans under this Agreement shall be loaned by the applicable Lenders pro rata on the basis of their Canadian Revolving Commitments. No Lender shall be responsible for any default by any other Lender in its obligation to make Loans hereunder and each Lender shall be obligated to make the Loans provided to be made by it hereunder, regardless of the failure of any other Lender to fulfill its Canadian Revolving Commitment hereunder.</w:t>
      </w:r>
    </w:p>
    <w:p>
      <w:pPr>
        <w:spacing w:after="0" w:line="19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2A.9</w:t>
      </w:r>
      <w:r>
        <w:rPr>
          <w:sz w:val="20"/>
          <w:szCs w:val="20"/>
          <w:color w:val="auto"/>
        </w:rPr>
        <w:tab/>
      </w:r>
      <w:r>
        <w:rPr>
          <w:rFonts w:ascii="Times New Roman" w:cs="Times New Roman" w:eastAsia="Times New Roman" w:hAnsi="Times New Roman"/>
          <w:sz w:val="19"/>
          <w:szCs w:val="19"/>
          <w:u w:val="single" w:color="auto"/>
          <w:color w:val="auto"/>
        </w:rPr>
        <w:t>Bankers’ Acceptances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2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Canadian Borrower may request a Canadian Revolving Loan denominated in Canadian Dollars by presenting drafts for acceptance and, if applicable, purchase as B/As by the Canadian Revolving Lenders.</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15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Canadian Revolving Lender shall not be obliged to either accept any draft presented for acceptance or advance any B/A Equivalent Loan:</w:t>
      </w:r>
    </w:p>
    <w:p>
      <w:pPr>
        <w:spacing w:after="0" w:line="159" w:lineRule="exact"/>
        <w:rPr>
          <w:rFonts w:ascii="Times New Roman" w:cs="Times New Roman" w:eastAsia="Times New Roman" w:hAnsi="Times New Roman"/>
          <w:sz w:val="20"/>
          <w:szCs w:val="20"/>
          <w:color w:val="auto"/>
        </w:rPr>
      </w:pPr>
    </w:p>
    <w:p>
      <w:pPr>
        <w:ind w:left="1240" w:hanging="386"/>
        <w:spacing w:after="0"/>
        <w:tabs>
          <w:tab w:leader="none" w:pos="124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drawn on, or where the Contract Period applicable thereto expires, on a day which is not a Business Day;</w:t>
      </w:r>
    </w:p>
    <w:p>
      <w:pPr>
        <w:spacing w:after="0" w:line="215" w:lineRule="exact"/>
        <w:rPr>
          <w:rFonts w:ascii="Times New Roman" w:cs="Times New Roman" w:eastAsia="Times New Roman" w:hAnsi="Times New Roman"/>
          <w:sz w:val="20"/>
          <w:szCs w:val="20"/>
          <w:color w:val="auto"/>
        </w:rPr>
      </w:pPr>
    </w:p>
    <w:p>
      <w:pPr>
        <w:ind w:left="1300" w:hanging="446"/>
        <w:spacing w:after="0"/>
        <w:tabs>
          <w:tab w:leader="none" w:pos="13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Contract Period applicable thereto matures on a day subsequent to the Canadian Revolver Termination Date;</w:t>
      </w:r>
    </w:p>
    <w:p>
      <w:pPr>
        <w:spacing w:after="0" w:line="229"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Contract Period applicable thereto has a term other than approximately 30, 60, 90 or 180 days;</w:t>
      </w:r>
    </w:p>
    <w:p>
      <w:pPr>
        <w:spacing w:after="0" w:line="215"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denominated in any currency other than Canadian Dollars;</w:t>
      </w:r>
    </w:p>
    <w:p>
      <w:pPr>
        <w:spacing w:after="0" w:line="229" w:lineRule="exact"/>
        <w:rPr>
          <w:rFonts w:ascii="Times New Roman" w:cs="Times New Roman" w:eastAsia="Times New Roman" w:hAnsi="Times New Roman"/>
          <w:sz w:val="20"/>
          <w:szCs w:val="20"/>
          <w:color w:val="auto"/>
        </w:rPr>
      </w:pPr>
    </w:p>
    <w:p>
      <w:pPr>
        <w:ind w:left="1280" w:hanging="426"/>
        <w:spacing w:after="0"/>
        <w:tabs>
          <w:tab w:leader="none" w:pos="128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in a form satisfactory to such Canadian Revolving Lender or Canadian Administrative Agent;</w:t>
      </w:r>
    </w:p>
    <w:p>
      <w:pPr>
        <w:spacing w:after="0" w:line="215"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continuation, in respect of which the Canadian Borrower has not then paid the applicable Acceptance Fee; or</w:t>
      </w:r>
    </w:p>
    <w:p>
      <w:pPr>
        <w:spacing w:after="0" w:line="229" w:lineRule="exact"/>
        <w:rPr>
          <w:rFonts w:ascii="Times New Roman" w:cs="Times New Roman" w:eastAsia="Times New Roman" w:hAnsi="Times New Roman"/>
          <w:sz w:val="20"/>
          <w:szCs w:val="20"/>
          <w:color w:val="auto"/>
        </w:rPr>
      </w:pPr>
    </w:p>
    <w:p>
      <w:pPr>
        <w:ind w:left="1400" w:hanging="546"/>
        <w:spacing w:after="0"/>
        <w:tabs>
          <w:tab w:leader="none" w:pos="14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Unmatured Event of Default or an Event of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facilitate availment of B/A Loans, Canadian Borrower hereby appoints each Canadian Revolving Lender as its attorney to sign and endorse on its behalf (in accordance with a Notice of Canadian Borrowing or Notice of Canadian Conversion or Continuation relating to a B/A Loan pursuant to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in handwriting or by facsimile or mechanical signature as and when deemed necessary by such Canadian Revolving Lender, blank drafts in the form requested by such Canadian Revolving Lender. In this respect, it is each Canadian Revolving Lender’s responsibility to maintain an adequate supply of blank drafts for acceptance under this Agreement. Canadian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recognizes and agrees that all drafts signed and/or endorsed by a Canadian Revolving Lender on behalf of Canadian Borrower shall bind Canadian Borrower as fully and effectually as if signed in the handwriting of and duly issued by the proper signing officers of Canadian Borrower. Each Canadian Revolving Lender is hereby authorized (in accordance with a Notice of Canadian Borrowing or Notice of Canadian Conversion or Continuation relating to a B/A Loan) to issue such B/As endorsed in blank in such face amounts as may be determined by such Canadian Revolving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thereof is equal to the aggregate amount of drafts required to be accepted and purchased by such Canadian Revolving Lender. No Canadian Revolving Lender shall be liable for any damage, loss or other claim arising by reason of any loss or improper use of any such instrument except for the gross negligence or willful misconduct of the Canadian Revolving Lender or its officers, employees, agents or representatives. Each Canadian Revolving Lender shall maintain a record, which shall be made available to Canadian Borrower upon its request, with respect to drafts (i) received by it in blank hereunder, (ii) voided by it for any reason, (iii) accepted and purchased by it hereunder, and (iv) cancelled at their respective maturities. On request by or on behalf of Canadian Borrower, a Canadian Revolving Lender shall cancel all forms of B/As which have been pre-signed or pre-endorsed on behalf of Canadian Borrower and that are held by such Canadian Revolving Lender and are not required to be issued in accordance with Canadian Borrower’s irrevocable notice. Alternatively, Canadian Borrower agrees that, at the request of Canadian Administrative Agent, Canadian Borrower shall deliver to Canadian Administrative Agent a “depository note” which complies with the requirements of the Depository Bills and Notes Act (Canada), and consents to the deposit of any such depository note in the book-based debt clearance system maintained by the Canadian Depository for Securities.</w:t>
      </w:r>
    </w:p>
    <w:p>
      <w:pPr>
        <w:spacing w:after="0" w:line="205" w:lineRule="exact"/>
        <w:rPr>
          <w:sz w:val="20"/>
          <w:szCs w:val="20"/>
          <w:color w:val="auto"/>
        </w:rPr>
      </w:pPr>
    </w:p>
    <w:p>
      <w:pPr>
        <w:jc w:val="both"/>
        <w:ind w:firstLine="656"/>
        <w:spacing w:after="0" w:line="271" w:lineRule="auto"/>
        <w:tabs>
          <w:tab w:leader="none" w:pos="1307"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Drafts of Canadian Borrower to be accepted as B/As hereunder shall be signed as set forth in this </w:t>
      </w:r>
      <w:r>
        <w:rPr>
          <w:rFonts w:ascii="Times New Roman" w:cs="Times New Roman" w:eastAsia="Times New Roman" w:hAnsi="Times New Roman"/>
          <w:sz w:val="19"/>
          <w:szCs w:val="19"/>
          <w:u w:val="single" w:color="auto"/>
          <w:color w:val="auto"/>
        </w:rPr>
        <w:t>Section 2A.9</w:t>
      </w:r>
      <w:r>
        <w:rPr>
          <w:rFonts w:ascii="Times New Roman" w:cs="Times New Roman" w:eastAsia="Times New Roman" w:hAnsi="Times New Roman"/>
          <w:sz w:val="19"/>
          <w:szCs w:val="19"/>
          <w:color w:val="auto"/>
        </w:rPr>
        <w:t>. Notwithstanding that any Person whose signature appears on any B/A may no longer be an authorized signatory for any Canadian Revolving Lender or Canadian Borrower at the date of issuance of a B/A, such signature shall nevertheless be valid and sufficient for all purposes as if such authority had remained in force at the time of such issuance and any such B/A so signed shall be binding on Canadian Borrower.</w:t>
      </w:r>
    </w:p>
    <w:p>
      <w:pPr>
        <w:spacing w:after="0" w:line="174" w:lineRule="exact"/>
        <w:rPr>
          <w:rFonts w:ascii="Times New Roman" w:cs="Times New Roman" w:eastAsia="Times New Roman" w:hAnsi="Times New Roman"/>
          <w:sz w:val="19"/>
          <w:szCs w:val="19"/>
          <w:color w:val="auto"/>
        </w:rPr>
      </w:pPr>
    </w:p>
    <w:p>
      <w:pPr>
        <w:jc w:val="both"/>
        <w:ind w:firstLine="656"/>
        <w:spacing w:after="0" w:line="251" w:lineRule="auto"/>
        <w:tabs>
          <w:tab w:leader="none" w:pos="123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the receipt of a Notice of Canadian Borrowing or Notice of Canadian Conversion or Continuation specifying a Canadian Revolving Loan by way of B/As, Canadian Administrative Agent shall so advise the Canadian Revolving Lenders and shall advise each Canadian Revolving Lender of the aggregate face amount of the B/As to be accepted by it and the applicable Contract Period (which shall be identical for all Canadian Revolving Lenders). In the case of Canadian Revolving Loans comprised of B/A Loans, the aggregate face amount of the B/As to be accepted by a Canadian Revolving Lender shall be in a minimum aggregate amount of Cdn.$500,000 and shall be a whole multiple of Cdn.$100,000, and such face amount shall be in the Canadian Revolving Lenders’ pro rata portions of such Canadian Revolving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Canadian Administrative Agent may in its sole discretion increase or reduce any Canadian Revolving Lender’s portion of such B/A Loan to the nearest Cdn.$100,000.</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9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Borrower may specify in a Notice of Canadian Borrowing pursuant to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a Notice of Canadian Conversion or Continuation pursuant to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that it desires that any B/A’s requested by such notice be purchased by the Canadian Revolving Lenders, in which case the Canadian Revolving Lenders shall, upon acceptance of a B/A by a Canadian Revolving Lender, purchase, or arrange for the purchase of, each B/A from Canadian Borrower at the Discount Rate for such Canadian Revolving Lender applicable to such B/A accepted by it and provide to Canadian Administrative Agent the Discount Proceeds for the account of Canadian Borrower. The Acceptance Fee payable by Canadian Borrower to a Canadian Revolving Lender under </w:t>
      </w:r>
      <w:r>
        <w:rPr>
          <w:rFonts w:ascii="Times New Roman" w:cs="Times New Roman" w:eastAsia="Times New Roman" w:hAnsi="Times New Roman"/>
          <w:sz w:val="20"/>
          <w:szCs w:val="20"/>
          <w:u w:val="single" w:color="auto"/>
          <w:color w:val="auto"/>
        </w:rPr>
        <w:t>Section 3.1(d)</w:t>
      </w:r>
      <w:r>
        <w:rPr>
          <w:rFonts w:ascii="Times New Roman" w:cs="Times New Roman" w:eastAsia="Times New Roman" w:hAnsi="Times New Roman"/>
          <w:sz w:val="20"/>
          <w:szCs w:val="20"/>
          <w:color w:val="auto"/>
        </w:rPr>
        <w:t xml:space="preserve"> in respect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259" w:name="page260"/>
    <w:bookmarkEnd w:id="259"/>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B/A accepted by such Canadian Revolving Lender shall be set off against the Discount Proceeds payable by such Canadian Revolving Lender under this </w:t>
      </w:r>
      <w:r>
        <w:rPr>
          <w:rFonts w:ascii="Times New Roman" w:cs="Times New Roman" w:eastAsia="Times New Roman" w:hAnsi="Times New Roman"/>
          <w:sz w:val="20"/>
          <w:szCs w:val="20"/>
          <w:u w:val="single" w:color="auto"/>
          <w:color w:val="auto"/>
        </w:rPr>
        <w:t>Section 2A.9</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firstLine="656"/>
        <w:spacing w:after="0" w:line="283" w:lineRule="auto"/>
        <w:tabs>
          <w:tab w:leader="none" w:pos="107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Canadian Revolving Lender may at any time and from time to time hold, sell, rediscount or otherwise dispose of any or all B/As accepted and purchased by it.</w:t>
      </w:r>
    </w:p>
    <w:p>
      <w:pPr>
        <w:spacing w:after="0" w:line="146"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Canadian Revolving Lender is not a chartered bank under the Bank Act (Canada) or if a Canadian Revolving Lender notifies Canadian Administrative Agent in writing that it is otherwise unable to accept Bankers’ Acceptances, such Canadian Revolving Lender will, instead of accepting and, if applicable, purchasing Bankers’ Acceptances, make an advance (a “</w:t>
      </w:r>
      <w:r>
        <w:rPr>
          <w:rFonts w:ascii="Times New Roman" w:cs="Times New Roman" w:eastAsia="Times New Roman" w:hAnsi="Times New Roman"/>
          <w:sz w:val="20"/>
          <w:szCs w:val="20"/>
          <w:u w:val="single" w:color="auto"/>
          <w:color w:val="auto"/>
        </w:rPr>
        <w:t>B/A Equivalent Loan</w:t>
      </w:r>
      <w:r>
        <w:rPr>
          <w:rFonts w:ascii="Times New Roman" w:cs="Times New Roman" w:eastAsia="Times New Roman" w:hAnsi="Times New Roman"/>
          <w:sz w:val="20"/>
          <w:szCs w:val="20"/>
          <w:color w:val="auto"/>
        </w:rPr>
        <w:t>”) to Canadian Borrower in the amount and for the same term as the draft that such Canadian Revolving Lender would otherwise have been required to accept and purchase hereunder. Each such Canadian Revolving Lender will provide to Canadian Administrative Agent the Discount Proceeds of such B/A Equivalent Loan for the account of Canadian Borrower. Each such B/A Equivalent Loan will bear interest at the same rate that would result if such Lender had accepted (and been paid an Acceptance Fee) and purchased (on a discounted basis at the Discount Rate) a Bankers’ Acceptance for the relevant Contract Period (it being the intention of the parties that each such B/A Equivalent Loan shall have the same economic consequences for the applicable Lenders and Canadian Borrower as the Bankers’ Acceptance which such B/A Equivalent Loan replaces). All such interest shall be paid in advance on the date such B/A Equivalent Loan is made, and will be deducted from the principal amount of such B/A Equivalent Loan in the same manner in which the discount to the purchase price of a Bankers’ Acceptance would be deducted from the face amount of the Bankers’ Acceptance.</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Borrower waives presentment for payment and any other defense to payment of any amounts due to a Canadian Revolving Lender in respect of a B/A accepted and purchased by it pursuant to this Agreement which might exist solely by reason of such B/A being held, at the maturity thereof, by such Canadian Revolving Lender in its own right, and Canadian Borrower agrees not to claim any days of grace if such Canadian Revolving Lender, as holder, sues Canadian Borrower on the B/A for payment of the amount payable by Canadian Borrower thereunder. Unless Canadian Borrower has requested and Canadian Revolving Lenders have granted a continuation of such B/A Loan in accordance with the provisions of this Agreement, on the last day of the Contract Period of a B/A, or such earlier date as may be required or permitted pursuant to the provisions of this Agreement, Canadian Borrower shall pay the Canadian Revolving Lender that has accepted and purchased such B/A the full face amount of such B/A and, after such payment, Canadian Borrower shall have no further liability in respect of such B/A and such Canadian Revolving Lender shall be entitled to all benefits of, and be responsible for all payments due to third parties under, such B/A.</w:t>
      </w:r>
    </w:p>
    <w:p>
      <w:pPr>
        <w:spacing w:after="0" w:line="182" w:lineRule="exact"/>
        <w:rPr>
          <w:rFonts w:ascii="Times New Roman" w:cs="Times New Roman" w:eastAsia="Times New Roman" w:hAnsi="Times New Roman"/>
          <w:sz w:val="20"/>
          <w:szCs w:val="20"/>
          <w:color w:val="auto"/>
        </w:rPr>
      </w:pPr>
    </w:p>
    <w:p>
      <w:pPr>
        <w:jc w:val="both"/>
        <w:ind w:firstLine="656"/>
        <w:spacing w:after="0" w:line="268" w:lineRule="auto"/>
        <w:tabs>
          <w:tab w:leader="none" w:pos="104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required by any Canadian Revolving Lender upon the occurrence of an Event of Default, no B/A Loan may be repaid by Canadian Borrower prior to the expiry date of the Contract Period applicable to such B/A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B/A Loan may be defeased as provided in the proviso to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2A.10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Section 347 of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260" w:name="page261"/>
    <w:bookmarkEnd w:id="260"/>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u w:val="single" w:color="auto"/>
          <w:color w:val="auto"/>
        </w:rPr>
        <w:t>INTEREST AND FEES</w:t>
      </w:r>
    </w:p>
    <w:p>
      <w:pPr>
        <w:spacing w:after="0" w:line="20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xml:space="preserve">. Each applicable Borrower agrees to pay interest in respect of the unpaid principal amount of each Base Rate Loan from the date the proceeds thereof are made available to such Borrower (or, if such Base Rate Loan was converted from a SOFR Loan, the date of such conversion) until the earlier of (i) the maturity (whether by acceleration or otherwise) of such Base Rate Loan or (ii) the conversion of such Base Rate Loan to a SOFR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relevant Base Rate plus the Applicable Base Rate Margin.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SOFR Loans</w:t>
      </w:r>
      <w:r>
        <w:rPr>
          <w:rFonts w:ascii="Times New Roman" w:cs="Times New Roman" w:eastAsia="Times New Roman" w:hAnsi="Times New Roman"/>
          <w:sz w:val="20"/>
          <w:szCs w:val="20"/>
          <w:color w:val="auto"/>
        </w:rPr>
        <w:t xml:space="preserve">. Each applicable Borrower agrees to pay interest in respect of the unpaid principal amount of such Borrower’s SOFR Loans from the date the proceeds thereof are made available to such Borrower (or, if such SOFR Loan was converted from a Base Rate Loan, the date of such conversion) until the earlier of (i) the maturity (whether by acceleration or otherwise) of such SOFR Loan or (ii) the conversion of such SOFR Loan to a Base Rate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Adjusted Term SOFR plus the Applicable Adjusted Term SOFR Margin.</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Eurocurrency Loans</w:t>
      </w:r>
      <w:r>
        <w:rPr>
          <w:rFonts w:ascii="Times New Roman" w:cs="Times New Roman" w:eastAsia="Times New Roman" w:hAnsi="Times New Roman"/>
          <w:sz w:val="20"/>
          <w:szCs w:val="20"/>
          <w:color w:val="auto"/>
        </w:rPr>
        <w:t xml:space="preserve">. Each applicable Borrower agrees to pay interest in respect of the unpaid principal amount of such Borrower’s Eurocurrency Loans from the date the proceeds thereof are made available to such Borrower until the maturity (whether by acceleration or otherwise) of such Eurocurrency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Eurocurrency Rate plus the Applicable Eurocurrency Margin.</w:t>
      </w:r>
    </w:p>
    <w:p>
      <w:pPr>
        <w:spacing w:after="0" w:line="172" w:lineRule="exact"/>
        <w:rPr>
          <w:rFonts w:ascii="Times New Roman" w:cs="Times New Roman" w:eastAsia="Times New Roman" w:hAnsi="Times New Roman"/>
          <w:sz w:val="20"/>
          <w:szCs w:val="20"/>
          <w:color w:val="auto"/>
        </w:rPr>
      </w:pPr>
    </w:p>
    <w:p>
      <w:pPr>
        <w:jc w:val="both"/>
        <w:ind w:firstLine="656"/>
        <w:spacing w:after="0" w:line="281" w:lineRule="auto"/>
        <w:tabs>
          <w:tab w:leader="none" w:pos="128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RFR Loans</w:t>
      </w:r>
      <w:r>
        <w:rPr>
          <w:rFonts w:ascii="Times New Roman" w:cs="Times New Roman" w:eastAsia="Times New Roman" w:hAnsi="Times New Roman"/>
          <w:sz w:val="19"/>
          <w:szCs w:val="19"/>
          <w:color w:val="auto"/>
        </w:rPr>
        <w:t xml:space="preserve">. Each applicable Borrower agrees to pay interest in respect of the unpaid principal amount of such Borrower’s Daily Simple RFR Loans from the date the proceeds thereof are made available to such Borrower until the maturity (whether by acceleration or otherwise) of such Daily Simple RFR Loan at a rate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equal to Daily Simple RFR plus the Applicable RFR Margin.</w:t>
      </w:r>
    </w:p>
    <w:p>
      <w:pPr>
        <w:spacing w:after="0" w:line="164"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Canadian Prime Rate Loans</w:t>
      </w:r>
      <w:r>
        <w:rPr>
          <w:rFonts w:ascii="Times New Roman" w:cs="Times New Roman" w:eastAsia="Times New Roman" w:hAnsi="Times New Roman"/>
          <w:sz w:val="20"/>
          <w:szCs w:val="20"/>
          <w:color w:val="auto"/>
        </w:rPr>
        <w:t xml:space="preserve">. Canadian Borrower agrees to pay interest in respect of the unpaid principal amount of each Canadian Prime Rate Loan from the date the proceeds thereof are made available to Canadian Borrower (or in the case of a conversion of a B/A Loan to a Canadian Prime Rate Loan, the date of such conversion) until the earlier of (i) the maturity (whether by acceleration or otherwise) of such Canadian Prime Rate Loan or (ii) the conversion of such Canadian Prime Rate Loan to a B/A Loan pursuant to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at a rate per annum equal to the Canadian Prime Rate plus the Applicable Canadian Prime Rate Margin.</w:t>
      </w:r>
    </w:p>
    <w:p>
      <w:pPr>
        <w:spacing w:after="0" w:line="191" w:lineRule="exact"/>
        <w:rPr>
          <w:rFonts w:ascii="Times New Roman" w:cs="Times New Roman" w:eastAsia="Times New Roman" w:hAnsi="Times New Roman"/>
          <w:sz w:val="20"/>
          <w:szCs w:val="20"/>
          <w:color w:val="auto"/>
        </w:rPr>
      </w:pPr>
    </w:p>
    <w:p>
      <w:pPr>
        <w:ind w:right="20" w:firstLine="656"/>
        <w:spacing w:after="0" w:line="269" w:lineRule="auto"/>
        <w:tabs>
          <w:tab w:leader="none" w:pos="129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 Loans</w:t>
      </w:r>
      <w:r>
        <w:rPr>
          <w:rFonts w:ascii="Times New Roman" w:cs="Times New Roman" w:eastAsia="Times New Roman" w:hAnsi="Times New Roman"/>
          <w:sz w:val="20"/>
          <w:szCs w:val="20"/>
          <w:color w:val="auto"/>
        </w:rPr>
        <w:t xml:space="preserve">. Canadian Borrower agrees to pay the Acceptance Fee on the date of acceptance of a draft or making of a B/A Equivalent Loan as calculated in the definition of “Acceptance Fee” and in accordance with </w:t>
      </w:r>
      <w:r>
        <w:rPr>
          <w:rFonts w:ascii="Times New Roman" w:cs="Times New Roman" w:eastAsia="Times New Roman" w:hAnsi="Times New Roman"/>
          <w:sz w:val="20"/>
          <w:szCs w:val="20"/>
          <w:u w:val="single" w:color="auto"/>
          <w:color w:val="auto"/>
        </w:rPr>
        <w:t>Section 2A.9(f)</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Overnight Rate Loans</w:t>
      </w:r>
      <w:r>
        <w:rPr>
          <w:rFonts w:ascii="Times New Roman" w:cs="Times New Roman" w:eastAsia="Times New Roman" w:hAnsi="Times New Roman"/>
          <w:sz w:val="20"/>
          <w:szCs w:val="20"/>
          <w:color w:val="auto"/>
        </w:rPr>
        <w:t>. Each applicable Borrower agrees to pay interest in respect of the unpaid principal amount of each Overnight Rate Loan from the date the proceeds thereof are made available to such Borrower until the maturity of such Overnight Rate Loan at a rate per annum equal to the Overnight Euro Rate or Overnight Sterling Rate, as applicable.</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Interest</w:t>
      </w:r>
      <w:r>
        <w:rPr>
          <w:rFonts w:ascii="Times New Roman" w:cs="Times New Roman" w:eastAsia="Times New Roman" w:hAnsi="Times New Roman"/>
          <w:sz w:val="20"/>
          <w:szCs w:val="20"/>
          <w:color w:val="auto"/>
        </w:rPr>
        <w:t xml:space="preserve">. Interest on each Loan (other than a B/A Loan)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interest accruing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09" w:right="339" w:bottom="1440" w:gutter="0" w:footer="0" w:header="0"/>
        </w:sectPr>
      </w:pPr>
    </w:p>
    <w:bookmarkStart w:id="261" w:name="page262"/>
    <w:bookmarkEnd w:id="261"/>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on any day other than a Quarterly Payment Date or the applicable Revolver Termination Date need not be made with accrued interest from the most recent Quarterly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92" w:lineRule="exact"/>
        <w:rPr>
          <w:sz w:val="20"/>
          <w:szCs w:val="20"/>
          <w:color w:val="auto"/>
        </w:rPr>
      </w:pPr>
    </w:p>
    <w:p>
      <w:pPr>
        <w:jc w:val="both"/>
        <w:ind w:firstLine="656"/>
        <w:spacing w:after="0" w:line="261" w:lineRule="auto"/>
        <w:tabs>
          <w:tab w:leader="none" w:pos="129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Rate</w:t>
      </w:r>
      <w:r>
        <w:rPr>
          <w:rFonts w:ascii="Times New Roman" w:cs="Times New Roman" w:eastAsia="Times New Roman" w:hAnsi="Times New Roman"/>
          <w:sz w:val="20"/>
          <w:szCs w:val="20"/>
          <w:color w:val="auto"/>
        </w:rPr>
        <w:t xml:space="preserve">. Administrative Agent, upon determining the interest rate for any Borrowing of Eurocurrency Loans or SOFR Loans for any Interest Period or Interest Payment Date, as applicable, shall promptly notify Borrowers and the Lenders thereof. Such determination shall, absent manifest error and subject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be final, conclusive and binding upon all parties hereto.</w:t>
      </w:r>
    </w:p>
    <w:p>
      <w:pPr>
        <w:spacing w:after="0" w:line="167" w:lineRule="exact"/>
        <w:rPr>
          <w:rFonts w:ascii="Times New Roman" w:cs="Times New Roman" w:eastAsia="Times New Roman" w:hAnsi="Times New Roman"/>
          <w:sz w:val="20"/>
          <w:szCs w:val="20"/>
          <w:color w:val="auto"/>
        </w:rPr>
      </w:pPr>
    </w:p>
    <w:p>
      <w:pPr>
        <w:jc w:val="both"/>
        <w:ind w:firstLine="656"/>
        <w:spacing w:after="0" w:line="257" w:lineRule="auto"/>
        <w:tabs>
          <w:tab w:leader="none" w:pos="129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Notwithstanding the rates of interest specified herein, effective immediately upon the occurrence and during the continuation of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(solely with respect to principal, interest and recurring fee payments due under any of the Loan Documents), or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overdue principal and other overdue amounts (in each case, other than B/A Loans) shall bear interest payable on demand, after as well as before judgment, at a rate per annum equal to the Default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accrue or be payable pursuant to this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to a Defaulting Lender so long as such Lender is a Defaulting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Interest</w:t>
      </w:r>
      <w:r>
        <w:rPr>
          <w:rFonts w:ascii="Times New Roman" w:cs="Times New Roman" w:eastAsia="Times New Roman" w:hAnsi="Times New Roman"/>
          <w:sz w:val="19"/>
          <w:szCs w:val="19"/>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Times New Roman" w:cs="Times New Roman" w:eastAsia="Times New Roman" w:hAnsi="Times New Roman"/>
          <w:sz w:val="19"/>
          <w:szCs w:val="19"/>
          <w:u w:val="single" w:color="auto"/>
          <w:color w:val="auto"/>
        </w:rPr>
        <w:t>Criminal Code Section</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183" w:lineRule="exact"/>
        <w:rPr>
          <w:rFonts w:ascii="Times New Roman" w:cs="Times New Roman" w:eastAsia="Times New Roman" w:hAnsi="Times New Roman"/>
          <w:sz w:val="19"/>
          <w:szCs w:val="19"/>
          <w:color w:val="auto"/>
        </w:rPr>
      </w:pPr>
    </w:p>
    <w:p>
      <w:pPr>
        <w:jc w:val="both"/>
        <w:ind w:firstLine="656"/>
        <w:spacing w:after="0" w:line="253" w:lineRule="auto"/>
        <w:tabs>
          <w:tab w:leader="none" w:pos="129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Effective Rate (Taux Effectif Global)</w:t>
      </w:r>
      <w:r>
        <w:rPr>
          <w:rFonts w:ascii="Times New Roman" w:cs="Times New Roman" w:eastAsia="Times New Roman" w:hAnsi="Times New Roman"/>
          <w:sz w:val="20"/>
          <w:szCs w:val="20"/>
          <w:color w:val="auto"/>
        </w:rPr>
        <w:t xml:space="preserve">. For the purposes of Articles L. 313-4 of the French Monetary and Financial Code and L. 314-1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R. 314-1 and R. 314-14 of the French Consumer Code, the parties acknowledge that by virtue of certain characteristics of the Facilities (and in particular the variable interest rate applicable to Loans and the Borrowers’ right to select the currency and the duration of the Interest Period of each Loan),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in a form TEG Letter, with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0"/>
          <w:szCs w:val="20"/>
          <w:color w:val="auto"/>
        </w:rPr>
        <w:t>of such letter to follow promptly after the Effective Date. The parties acknowledge that the TEG Letters form part of this Agreement.</w:t>
      </w:r>
    </w:p>
    <w:p>
      <w:pPr>
        <w:spacing w:after="0" w:line="229" w:lineRule="exact"/>
        <w:rPr>
          <w:sz w:val="20"/>
          <w:szCs w:val="20"/>
          <w:color w:val="auto"/>
        </w:rPr>
      </w:pPr>
    </w:p>
    <w:p>
      <w:pPr>
        <w:jc w:val="both"/>
        <w:ind w:firstLine="656"/>
        <w:spacing w:after="0" w:line="253" w:lineRule="auto"/>
        <w:tabs>
          <w:tab w:leader="none" w:pos="128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Act (Canada) Disclosure</w:t>
      </w:r>
      <w:r>
        <w:rPr>
          <w:rFonts w:ascii="Times New Roman" w:cs="Times New Roman" w:eastAsia="Times New Roman" w:hAnsi="Times New Roman"/>
          <w:sz w:val="20"/>
          <w:szCs w:val="20"/>
          <w:color w:val="auto"/>
        </w:rPr>
        <w:t>. For the purposes of the Interest Act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3"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Borrower agrees to pay to Administrative Agent for pro rata distribution to each Non-Defaulting Lender having a Dollar Revolving Commitment (based on its Dollar Revolver Pro Rata Share) a commitment fee in Dollars (the “</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for the period commencing on the Incremental Amendment No. 3 and Fifth Amendment Effective Date to and including the Revolver Termination Date for the Dollar Revolving Facility or the earlier termination of the Dollar Revolving Commitments (and, in either case, repayment in full of the Dollar Revolving Loans and payment in full, or collateralization (by the deposit of cash into the Collateral Account or otherwise) in amounts and pursuant to arrangements satisfactory to Administrative Agent and the applicable Facing Agent, of the Dollar LC Obligations), computed at a rate equal to the Applicable 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 (iii) upon any reduction or termination in whole or in part of the Dollar Revolving Commitments (but only, in the case of a reduction, on the portion of the Dollar Revolving Commitments then being reduced);</w:t>
      </w:r>
    </w:p>
    <w:p>
      <w:pPr>
        <w:spacing w:after="0" w:line="199" w:lineRule="exact"/>
        <w:rPr>
          <w:rFonts w:ascii="Times New Roman" w:cs="Times New Roman" w:eastAsia="Times New Roman" w:hAnsi="Times New Roman"/>
          <w:sz w:val="20"/>
          <w:szCs w:val="20"/>
          <w:color w:val="auto"/>
        </w:rPr>
      </w:pPr>
    </w:p>
    <w:p>
      <w:pPr>
        <w:jc w:val="both"/>
        <w:ind w:left="660" w:firstLine="903"/>
        <w:spacing w:after="0" w:line="262" w:lineRule="auto"/>
        <w:tabs>
          <w:tab w:leader="none" w:pos="1944"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European Borrower and the U.S. Borrower agrees to pay to Administrative Agent for pro rata distribution to each Non-Defaulting Lender having a Multicurrency Revolving Commitment (based on its Multicurrency Revolver Pro Rata Share) a commitment fee in Dollars (the “</w:t>
      </w:r>
      <w:r>
        <w:rPr>
          <w:rFonts w:ascii="Times New Roman" w:cs="Times New Roman" w:eastAsia="Times New Roman" w:hAnsi="Times New Roman"/>
          <w:sz w:val="19"/>
          <w:szCs w:val="19"/>
          <w:u w:val="single" w:color="auto"/>
          <w:color w:val="auto"/>
        </w:rPr>
        <w:t>Multicurrency Commitment Fee</w:t>
      </w:r>
      <w:r>
        <w:rPr>
          <w:rFonts w:ascii="Times New Roman" w:cs="Times New Roman" w:eastAsia="Times New Roman" w:hAnsi="Times New Roman"/>
          <w:sz w:val="19"/>
          <w:szCs w:val="19"/>
          <w:color w:val="auto"/>
        </w:rPr>
        <w:t>”) for the period commending on the Incremental Amendment No. 3 and Fifth Amendment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w:t>
      </w:r>
    </w:p>
    <w:p>
      <w:pPr>
        <w:spacing w:after="0" w:line="3" w:lineRule="exact"/>
        <w:rPr>
          <w:rFonts w:ascii="Times New Roman" w:cs="Times New Roman" w:eastAsia="Times New Roman" w:hAnsi="Times New Roman"/>
          <w:sz w:val="19"/>
          <w:szCs w:val="19"/>
          <w:color w:val="auto"/>
        </w:rPr>
      </w:pPr>
    </w:p>
    <w:p>
      <w:pPr>
        <w:ind w:left="660" w:hanging="4"/>
        <w:spacing w:after="0" w:line="260" w:lineRule="auto"/>
        <w:tabs>
          <w:tab w:leader="none" w:pos="95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Revolver Termination Date for the Multicurrency Revolving Facility and (iii) upon any reduction or termination in whole or in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263" w:name="page264"/>
    <w:bookmarkEnd w:id="263"/>
    <w:p>
      <w:pPr>
        <w:ind w:left="660"/>
        <w:spacing w:after="0" w:line="283" w:lineRule="auto"/>
        <w:rPr>
          <w:sz w:val="20"/>
          <w:szCs w:val="20"/>
          <w:color w:val="auto"/>
        </w:rPr>
      </w:pPr>
      <w:r>
        <w:rPr>
          <w:rFonts w:ascii="Times New Roman" w:cs="Times New Roman" w:eastAsia="Times New Roman" w:hAnsi="Times New Roman"/>
          <w:sz w:val="20"/>
          <w:szCs w:val="20"/>
          <w:color w:val="auto"/>
        </w:rPr>
        <w:t>Multicurrency Revolving Commitments (but only, in the case of a reduction, on the portion of the Multicurrency Revolving Commitments then being reduced);</w:t>
      </w:r>
    </w:p>
    <w:p>
      <w:pPr>
        <w:spacing w:after="0" w:line="146" w:lineRule="exact"/>
        <w:rPr>
          <w:sz w:val="20"/>
          <w:szCs w:val="20"/>
          <w:color w:val="auto"/>
        </w:rPr>
      </w:pPr>
    </w:p>
    <w:p>
      <w:pPr>
        <w:jc w:val="both"/>
        <w:ind w:left="660" w:firstLine="903"/>
        <w:spacing w:after="0" w:line="265" w:lineRule="auto"/>
        <w:tabs>
          <w:tab w:leader="none" w:pos="1945"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Canadian Borrower agrees to pay to Canadian Administrative Agent for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distribution to each Non-Defaulting Lender having a Canadian Revolving Commitment (based on its Canadian Revolver Pro Rata Share) a commitment fee in Canadian Dollars (the “</w:t>
      </w:r>
      <w:r>
        <w:rPr>
          <w:rFonts w:ascii="Times New Roman" w:cs="Times New Roman" w:eastAsia="Times New Roman" w:hAnsi="Times New Roman"/>
          <w:sz w:val="19"/>
          <w:szCs w:val="19"/>
          <w:u w:val="single" w:color="auto"/>
          <w:color w:val="auto"/>
        </w:rPr>
        <w:t>Canadian Commitment Fee</w:t>
      </w:r>
      <w:r>
        <w:rPr>
          <w:rFonts w:ascii="Times New Roman" w:cs="Times New Roman" w:eastAsia="Times New Roman" w:hAnsi="Times New Roman"/>
          <w:sz w:val="19"/>
          <w:szCs w:val="19"/>
          <w:color w:val="auto"/>
        </w:rPr>
        <w:t xml:space="preserve">”) for the period commencing on the Incremental Amendment No. 3 and Fifth Amendment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 Agent of the Canadian LC Obligations, computed at a rate equal to the Applicable Commitment Fee Percentage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 (iii) upon any reduction or termination in whole or in part of the Canadian Revolving Commitments (but only, in the case of a reduction, on the portion of the Canadian Revolving Commitments then being reduced).</w:t>
      </w:r>
    </w:p>
    <w:p>
      <w:pPr>
        <w:spacing w:after="0" w:line="181"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Agency Fees</w:t>
      </w:r>
      <w:r>
        <w:rPr>
          <w:rFonts w:ascii="Times New Roman" w:cs="Times New Roman" w:eastAsia="Times New Roman" w:hAnsi="Times New Roman"/>
          <w:sz w:val="20"/>
          <w:szCs w:val="20"/>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Interest on all Loans (other than B/A Loans) and fees payable hereunder shall be computed on the basis of the actual number of days elapsed over a year of 360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on all Base Rate Loans and Canadian Prime Rate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 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Interest Periods</w:t>
      </w:r>
      <w:r>
        <w:rPr>
          <w:rFonts w:ascii="Times New Roman" w:cs="Times New Roman" w:eastAsia="Times New Roman" w:hAnsi="Times New Roman"/>
          <w:sz w:val="20"/>
          <w:szCs w:val="20"/>
          <w:color w:val="auto"/>
        </w:rPr>
        <w:t>. At the time it gives any Notice of Borrowing or a Notice of Conversion or Continuation with respect to Eurocurrency Loans or SOFR Loans, the applicable Borrower shall elect, by giving Administrative Agent written notice, the interest period (each an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which Interest Period shall, at the option of the applicable Borrower, be (i) with respect to Eurocurrency Loans, one, two or three weeks or one, three or six months or, to the extent agreed by the Administrative Agent, any other period less than one month, and (ii) with respect to SOFR Loans, one three or six months or, to the extent agreed by the Administrative Agent, any other period less than one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2" w:lineRule="exact"/>
        <w:rPr>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SOFR Loans and Eurocurrency Loans, as applicable, comprising a Borrowing shall at all times have the same Interest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13" w:right="339" w:bottom="1440" w:gutter="0" w:footer="0" w:header="0"/>
        </w:sectPr>
      </w:pPr>
    </w:p>
    <w:bookmarkStart w:id="264" w:name="page265"/>
    <w:bookmarkEnd w:id="264"/>
    <w:p>
      <w:pPr>
        <w:jc w:val="both"/>
        <w:ind w:firstLine="656"/>
        <w:spacing w:after="0" w:line="258"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any Eurocurrency Loan or SOFR Loan shall commence on the date of such Borrowing of such Eurocurrency Loan or SOFR Loan (including the date of any conversion thereto from a Loan of a different Type) and each Interest Period occurring thereafter in respect of such Eurocurrency Loan or SOFR Loan shall commence on the last day of the immediately preceding Interest Period;</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relating to a Eurocurrency Loan or SOFR Loan begins on a day for which there is no numerically corresponding day in the calendar month at the end of such Interest Period, such Interest Period shall end on the last Business Day of such calendar month;</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which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Eurocurrency Loan or SOFR Loan would otherwise expire on a day which is not a Business Day but is a day of the month after which no further Business Day occurs in such month, such Interest Period shall expire on the next preceding Business Day;</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Interest Period may be selected at any time when an Unmatured Event of Default or Event of Default is then in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Alternative Currency Loans shall continue with Interest Periods of one month if any Unmatured Event of Default or Event of Default is then in existence;</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Term Maturity Date for any Term Loan or the applicable Revolver Termination Date for any Revolving Loan or the Canadian Revolver Termination Date for any Canadian Revolving Loan;</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 and</w:t>
      </w:r>
    </w:p>
    <w:p>
      <w:pPr>
        <w:spacing w:after="0" w:line="187"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the definition of “Interest Period”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 xml:space="preserve"> shall be available for specification in such borrowing request or interest election request.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Compensation for Funding Losses</w:t>
      </w:r>
      <w:r>
        <w:rPr>
          <w:rFonts w:ascii="Times New Roman" w:cs="Times New Roman" w:eastAsia="Times New Roman" w:hAnsi="Times New Roman"/>
          <w:sz w:val="20"/>
          <w:szCs w:val="20"/>
          <w:color w:val="auto"/>
        </w:rPr>
        <w:t>.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SOFR Loans, Eurocurrency Loans, Daily Simple RFR Loans or B/A Equivalent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SOFR Loan, Eurocurrency Loan, Daily Simple RFR Loan or B/A Equivalent Loan remained outstanding until (x) the last day of the Interest Period applicable to such SOFR Loan or Eurocurrency Loans or (y) the next Interest Payment Date applicable to such Daily Simple RFR Loans or B/A Equivalent Loan, but excluding Excluded Taxes) which such Lender may sustain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13" w:right="339" w:bottom="1440" w:gutter="0" w:footer="0" w:header="0"/>
        </w:sectPr>
      </w:pPr>
    </w:p>
    <w:bookmarkStart w:id="265" w:name="page266"/>
    <w:bookmarkEnd w:id="265"/>
    <w:p>
      <w:pPr>
        <w:jc w:val="both"/>
        <w:ind w:firstLine="656"/>
        <w:spacing w:after="0" w:line="258" w:lineRule="auto"/>
        <w:tabs>
          <w:tab w:leader="none" w:pos="128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reason (other than a default by such Lender or Administrative Agent) a continuation or Borrowing of, or conversion from or into, SOFR Loans, Eurocurrency Loans, Daily Simple RFR Loans or B/A Equivalent Loans does not occur on a date specified therefor in a Notice of Borrowing or Notice of Conversion or Continuation or Notice of Canadian Borrowing or Notice of Canadian Conversion or Continuation (whether or not withdrawn);</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prepayment or conversion or continuation of any of its SOFR Loans, Eurocurrency Loans, Daily Simple RFR Loans or B/A Equivalent Loans occurring for any reason whatsoever on a date which is not (x) in the case of SOFR Loans or Eurocurrency Loans, the last day of an Interest Period applicable thereto or (y) in the case of Daily Simple RFR Loans or B/A Equivalent Loans, an Interest Payment Date with respect thereto;</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repayment of any of its SOFR Loans, Eurocurrency Loans, Daily Simple RFR Loans or B/A Loans not being made on the date specified in a notice of payment given by such Borrower; or</w:t>
      </w:r>
    </w:p>
    <w:p>
      <w:pPr>
        <w:spacing w:after="0" w:line="172"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other failure by such Borrower to repay such Borrower’s SOFR Loans, Eurocurrency Loans, Daily Simple RFR Loans or B/A Equivalent Loan when required by the terms of this Agreement or (ii) an election made by Borrower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 written notice setting forth in reasonable detail the basis of the incurrence of additional amounts owed such Lender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delivered to such Borrower and Administrative Agent by such Lender shall, absent manifest error, be final, conclusive and binding for all purposes. Calculation of all amounts payable to a Lender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be made as though that Lender had actually funded its relevant SOFR Loan, Eurocurrency Loan, Daily Simple RFR Loans or B/A Equivalent Loan through the purchase of a Dollar, Canadian Dollar or Eurocurrency deposit bearing interest at Adjusted Term SOFR, the Eurocurrency Rate, Daily Simple RFR Loans or a B/A in an amount equal to the amount of that Loan, having a maturity comparable to the relevant Interest Period and through the transfer of such Dollar, Canadian Dollar or Eurocurrency deposit from an offshore office of that Lender to a domestic office of that Lender in the United States of America;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 may fund each of its SOFR Loans, Eurocurrency Loans, Daily Simple RFR Loans and B/A Loans in any manner it sees fit and the foregoing assumption shall be utilized only for the calculation of amounts payable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not apply to Taxes, except any Taxes that represent losses, expenses and liabilities arising from any non-Tax claim.</w:t>
      </w:r>
    </w:p>
    <w:p>
      <w:pPr>
        <w:spacing w:after="0" w:line="14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Increased Costs, Alternate Rate of Interest Illegality, Etc.</w:t>
      </w:r>
    </w:p>
    <w:p>
      <w:pPr>
        <w:spacing w:after="0" w:line="229"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If any Change in Law:</w:t>
      </w:r>
    </w:p>
    <w:p>
      <w:pPr>
        <w:spacing w:after="0" w:line="215" w:lineRule="exact"/>
        <w:rPr>
          <w:rFonts w:ascii="Times New Roman" w:cs="Times New Roman" w:eastAsia="Times New Roman" w:hAnsi="Times New Roman"/>
          <w:sz w:val="20"/>
          <w:szCs w:val="20"/>
          <w:color w:val="auto"/>
        </w:rPr>
      </w:pPr>
    </w:p>
    <w:p>
      <w:pPr>
        <w:jc w:val="both"/>
        <w:ind w:left="660" w:firstLine="903"/>
        <w:spacing w:after="0" w:line="254" w:lineRule="auto"/>
        <w:tabs>
          <w:tab w:leader="none" w:pos="194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general applicability to all comparably situated Lenders and Facing Agents within the jurisdiction in which such Lender or Facing Agent operates shall impose, modify or deem applicable any reserve ((x) except, in the case of any Eurocurrency Rate Loan, any reserve requirement reflected in the Eurocurrency Rate and (y) including, pursuant to regulations issued from time to time (including any emergency, special, supplemental or other marginal reserve requirement) by (a) the Board,</w:t>
      </w:r>
    </w:p>
    <w:p>
      <w:pPr>
        <w:jc w:val="both"/>
        <w:ind w:left="660" w:hanging="4"/>
        <w:spacing w:after="0" w:line="253" w:lineRule="auto"/>
        <w:tabs>
          <w:tab w:leader="none" w:pos="94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 special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13" w:right="339" w:bottom="1440" w:gutter="0" w:footer="0" w:header="0"/>
        </w:sectPr>
      </w:pPr>
    </w:p>
    <w:bookmarkStart w:id="266" w:name="page267"/>
    <w:bookmarkEnd w:id="266"/>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compulsory loan, insurance charge or similar requirement against assets of, deposits with or for the account of, or credit extended or participated in by, any Lender or any Facing Agent or subject any Recipient to any Taxes (other than (A) Indemnified Taxes and (B) Taxes described in the definition of “Excluded Taxes”); or</w:t>
      </w:r>
    </w:p>
    <w:p>
      <w:pPr>
        <w:spacing w:after="0" w:line="181" w:lineRule="exact"/>
        <w:rPr>
          <w:sz w:val="20"/>
          <w:szCs w:val="20"/>
          <w:color w:val="auto"/>
        </w:rPr>
      </w:pPr>
    </w:p>
    <w:p>
      <w:pPr>
        <w:ind w:left="660" w:firstLine="903"/>
        <w:spacing w:after="0" w:line="269" w:lineRule="auto"/>
        <w:tabs>
          <w:tab w:leader="none" w:pos="19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imposes on any Lender or any Facing Agent any other condition, cost or expense (other than Taxes) affecting this Agreement or Loans made by such Lender or any Letter of Credit or participation therein;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Facing Agent or such other Recipient of participating in, issuing or maintaining any Letter of Credit (or of maintaining its obligation to participate in or to issue any Letter of Credit), or to reduce the amount of any sum received or receivable by such Lender, Facing Agent or other Recipient hereunder (whether of principal, interest or any other amount) then, upon written request of such Lender, Facing Agent or other Recipient, the applicable Borrower will pay to such Lender, Facing Agent or other Recipient, as the case may be, such additional amount or amounts as will compensate such Lender, Facing Agent or other Recipient, as the case may be, for such additional costs incurred or reduction suffered; provided that such amounts shall be proportionate to the amounts that such Lender or Facing Agent charges other borrowers or account parties for such additional costs incurred or reductions suffered on loans similarly situated to Borrowers in connection with substantially similar facilities as reasonably determined by such Lender or such Facing Agent acting in good faith; provided, further, that if such increased costs described under clause (i) are determined by a court of competent jurisdiction in a final non-appealable judgment to have been imposed as a result of a Lender’s or Facing Agent’s gross negligence or willful misconduct, such Lender or Facing Agent will promptly repay to the applicable Borrower the amount of any increased costs paid to such Lender or such Facing Agent by such Borrower under this Section 3.6.</w:t>
      </w:r>
    </w:p>
    <w:p>
      <w:pPr>
        <w:spacing w:after="0" w:line="183"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903"/>
        <w:spacing w:after="0" w:line="283" w:lineRule="auto"/>
        <w:tabs>
          <w:tab w:leader="none" w:pos="1943"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commencement of any Interest Period for a Borrowing of Eurocurrency Loans or SOFR Loans (or at any time, in the case of a Borrowing of Daily Simple RFR Loans):</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7"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Administrative Agent reasonably determines (which determination shall be conclusive absent manifest error) that adequate and reasonable means do not exist for ascertaining (x) the Eurocurrency Rate for such Eurocurrency Loan for such Interest Period, (y) Adjusted Term SOFR for such SOFR Loan for such Interest Period or (z) Daily Simple SONIA for such RFR Loan; or</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0"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the Administrative Agent is advised by the Majority Lenders in respect of each of the Facilities with affected Eurocurrency Loans, SOFR Loans or Daily Simple RFR Loans (as applicable) that (x) the Eurocurrency Rate for such Eurocurrency Loan for such Interest Period will not adequately and fairly reflect the cost to Lenders of making or maintaining their Loans included in such Borrowing for such Interest Period, (y) Adjusted Term SOFR for such SOFR Loan for such Interest Period will not adequately or fairly reflect the cost to Lenders of making or maintaining their Loans included in such Borrowing for such Interest Period or (z) Daily Simple RFR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13" w:right="339" w:bottom="1440" w:gutter="0" w:footer="0" w:header="0"/>
        </w:sectPr>
      </w:pPr>
    </w:p>
    <w:bookmarkStart w:id="267" w:name="page268"/>
    <w:bookmarkEnd w:id="267"/>
    <w:p>
      <w:pPr>
        <w:ind w:left="1300"/>
        <w:spacing w:after="0"/>
        <w:rPr>
          <w:sz w:val="20"/>
          <w:szCs w:val="20"/>
          <w:color w:val="auto"/>
        </w:rPr>
      </w:pPr>
      <w:r>
        <w:rPr>
          <w:rFonts w:ascii="Times New Roman" w:cs="Times New Roman" w:eastAsia="Times New Roman" w:hAnsi="Times New Roman"/>
          <w:sz w:val="20"/>
          <w:szCs w:val="20"/>
          <w:color w:val="auto"/>
        </w:rPr>
        <w:t>adequately and fairly reflect the cost to Lenders of making or maintaining their RFR Loans included in such Borrowing;</w:t>
      </w:r>
    </w:p>
    <w:p>
      <w:pPr>
        <w:spacing w:after="0" w:line="229" w:lineRule="exact"/>
        <w:rPr>
          <w:sz w:val="20"/>
          <w:szCs w:val="20"/>
          <w:color w:val="auto"/>
        </w:rPr>
      </w:pPr>
    </w:p>
    <w:p>
      <w:pPr>
        <w:jc w:val="both"/>
        <w:ind w:left="660" w:firstLine="274"/>
        <w:spacing w:after="0" w:line="249" w:lineRule="auto"/>
        <w:rPr>
          <w:sz w:val="20"/>
          <w:szCs w:val="20"/>
          <w:color w:val="auto"/>
        </w:rPr>
      </w:pPr>
      <w:r>
        <w:rPr>
          <w:rFonts w:ascii="Times New Roman" w:cs="Times New Roman" w:eastAsia="Times New Roman" w:hAnsi="Times New Roman"/>
          <w:sz w:val="20"/>
          <w:szCs w:val="20"/>
          <w:color w:val="auto"/>
        </w:rPr>
        <w:t>then the Administrative Agent shall give written notice thereof to Crown Holdings and the Lenders as promptly as practicable thereafter and, until the Administrative Agent notifies Crown Holdings and the Lenders that the circumstances giving rise to such notice no longer exist, (x) any Notice of Conversion or Continuation that requests the conversion of any Loan to, or continuation of any Loan as, a Eurocurrency Loan or SOFR Loan in the Eurocurrency Rate or Adjusted Term SOFR (as applicable) that is unavailable because the conditions described in clauses (i) and (ii) above have been satisfied (such unavailable rate, the “</w:t>
      </w:r>
      <w:r>
        <w:rPr>
          <w:rFonts w:ascii="Times New Roman" w:cs="Times New Roman" w:eastAsia="Times New Roman" w:hAnsi="Times New Roman"/>
          <w:sz w:val="20"/>
          <w:szCs w:val="20"/>
          <w:u w:val="single" w:color="auto"/>
          <w:color w:val="auto"/>
        </w:rPr>
        <w:t>Unavailable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shall be ineffective, and (y) if any Notice of Borrowing requests a Eurocurrency Loan, SOFR Loan or an Daily Simple RFR Loan with an Unavailable Rate, (1) if such Notice of Borrowing is for a Loan in Dollars or if an alternative rate of interest is not in effect pursuant to clause (2) below, then notwithstanding anything to the contrary in this Agreement, the applicable Borrower may cancel such Loan or such Loan shall be made as a Base Rate Loan in Dollars or (2) if such Notice of Borrowing is for an Alternative Currency Loan, then notwithstanding anything to the contrary in this Agreement, the applicable Borrower may cancel such Loan or the Administrative Agent may, in consultation with Crown Holdings , propose to Crown Holdings in writing an alternative interest rate for the affected Loan that, if accepted by Crown Holdings in a writing delivered to the Administrative Agent within 1 Business Day of Crown Holdings’ receipt of such written proposal, shall apply with respect to the affected Loan until (A) the Administrative Agent notifies Crown Holdings and the Lenders that the circumstances giving rise to the notice described above no longer exist, (B) the Administrative Agent is advised by the applicable Majority Lenders that such alternative interest rate does not adequately and fairly reflect the cost to such Lenders of making or maintaining their Loans included in the affected Borrowing or (C) solely with respect to such Borrowing such Lender determines that any law or regulation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Crown Holdings written notice thereof; provided that, notwithstanding the foregoing, all Eurocurrency Rates, Adjusted Term SOFR and Daily Simple RFR (other than any then applicable Unavailable Rates) shall remain available for Borrowings until such rate shall be an Unavailable Rate.</w:t>
      </w:r>
    </w:p>
    <w:p>
      <w:pPr>
        <w:spacing w:after="0" w:line="182" w:lineRule="exact"/>
        <w:rPr>
          <w:sz w:val="20"/>
          <w:szCs w:val="20"/>
          <w:color w:val="auto"/>
        </w:rPr>
      </w:pPr>
    </w:p>
    <w:p>
      <w:pPr>
        <w:jc w:val="both"/>
        <w:ind w:firstLine="656"/>
        <w:spacing w:after="0" w:line="250" w:lineRule="auto"/>
        <w:tabs>
          <w:tab w:leader="none" w:pos="128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if any Lender shall provide written notice to the Administrative Agent and Crown Holdings that any Change in Law since the date of this Agreement makes it unlawful, or any central bank or other Governmental Authority asserts that it is unlawful, for such Lender or its applicable lending office to make SOFR Loans, Eurocurrency Loans or Daily Simple RFR Loans or to fund or maintain SOFR Loans, Eurocurrency Loans or RFR Loans hereunder (i) with respect to Loans denominated in Dollars (A) upon receipt of such notification, the Borrowers may revoke any pending request for a Borrowing of, conversion to or continuation of SOFR Loans, (B) each SOFR Loan of such Lender will automatically be converted to Base Rate Loans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SOFR Loans or to convert Loans into SOFR Loans shall be suspended until the Administrative Agent or such Lender shall notify Crown Holdings that the circumstances causing such suspension no longer exist and (ii) with respect to Loans denominated in an Alternative Currency, (A) upon receipt of such notification, the Borrowers may revoke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13" w:right="339" w:bottom="1440" w:gutter="0" w:footer="0" w:header="0"/>
        </w:sectPr>
      </w:pPr>
    </w:p>
    <w:bookmarkStart w:id="268" w:name="page269"/>
    <w:bookmarkEnd w:id="268"/>
    <w:p>
      <w:pPr>
        <w:jc w:val="both"/>
        <w:spacing w:after="0" w:line="253" w:lineRule="auto"/>
        <w:rPr>
          <w:sz w:val="20"/>
          <w:szCs w:val="20"/>
          <w:color w:val="auto"/>
        </w:rPr>
      </w:pPr>
      <w:r>
        <w:rPr>
          <w:rFonts w:ascii="Times New Roman" w:cs="Times New Roman" w:eastAsia="Times New Roman" w:hAnsi="Times New Roman"/>
          <w:sz w:val="20"/>
          <w:szCs w:val="20"/>
          <w:color w:val="auto"/>
        </w:rPr>
        <w:t>any pending request for a Borrowing of, conversion to or continuation of Eurocurrency Loans, B/A Equivalent Loans and Daily Simple RFR Loans, (B) each Eurocurrency Loan of such Lender, B/A Equivalent Loan or RFR Loan (as applicable) will automatically be converted to a Daily Rate Loan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Eurocurrency Loans or RFR Loans (as applicable) or to convert Loans into Eurocurrency Loans shall be suspended until the Administrative Agent or such Lender shall notify Crown Holdings that the circumstances causing such suspension no longer exist.</w:t>
      </w:r>
    </w:p>
    <w:p>
      <w:pPr>
        <w:spacing w:after="0" w:line="179" w:lineRule="exact"/>
        <w:rPr>
          <w:sz w:val="20"/>
          <w:szCs w:val="20"/>
          <w:color w:val="auto"/>
        </w:rPr>
      </w:pPr>
    </w:p>
    <w:p>
      <w:pPr>
        <w:jc w:val="both"/>
        <w:ind w:firstLine="656"/>
        <w:spacing w:after="0" w:line="252" w:lineRule="auto"/>
        <w:tabs>
          <w:tab w:leader="none" w:pos="12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Without duplication of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18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Each Lender, upon determining that any additional amounts will be payable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3.6(a)(i)</w:t>
      </w:r>
      <w:r>
        <w:rPr>
          <w:rFonts w:ascii="Times New Roman" w:cs="Times New Roman" w:eastAsia="Times New Roman" w:hAnsi="Times New Roman"/>
          <w:sz w:val="20"/>
          <w:szCs w:val="20"/>
          <w:color w:val="auto"/>
        </w:rPr>
        <w:t xml:space="preserve">), will give prompt written notice thereof to Crown Holdings and Administrative Agent (which notice Administrative Agent 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for periods occurring prior to the 135th day before the giving of such notice) shall not release or diminish any of any Borrower’s obligations to pay additional amounts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Such determination shall, absent manifest error, be final and conclusive and binding on all parties hereto. It is understood and agreed that this paragraph (d) shall not require any Lender to disclose any confidential or price sensitive information or any information, the disclosure of which, would be prohibited by law or regulation.</w:t>
      </w:r>
    </w:p>
    <w:p>
      <w:pPr>
        <w:spacing w:after="0" w:line="19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Affected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8" w:lineRule="auto"/>
        <w:tabs>
          <w:tab w:leader="none" w:pos="128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If any Lender or Facing Agent is or will be owed compensation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ceases to make, fund or maintain Eurocurrency Loans, SOFR Loans or Daily Simple RFR Loans, or to convert Loans into Eurocurrency Loans or SOFR Loans, as a result of any condition described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or if any Borrower is required to pay any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13" w:right="339" w:bottom="1440" w:gutter="0" w:footer="0" w:header="0"/>
        </w:sectPr>
      </w:pPr>
    </w:p>
    <w:bookmarkStart w:id="269" w:name="page270"/>
    <w:bookmarkEnd w:id="269"/>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amount to any Lender, Facing Agent or any Governmental Authority for the account of any Lender or Facing Agent pursuant to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 xml:space="preserve">, then such Lender or Facing Agent will use reasonable efforts (subject to overall policy considerations of such Lender or Facing Agent) to cause a different branch or Affiliate to make or continue a Loan or Letter of Credit or to assign its rights and obligations hereunder to another of its branches or Affiliates if in the judgment of such Lender or Facing Agent such designation or assignment (i) will avoid the need for, or reduce the amount of, such compensation or payment to such Lender, Facing Agent or Governmental Authority, (ii) would permit such Lender to continue to make, fund, and maintain Eurocurrency Loans, SOFR Loans or Daily Simple RFR Loans and to convert Loans into Eurocurrency Loans or SOFR Loans, and (iii) will not, in the judgment of such Lender or Facing Agent, be otherwise disadvantageous in any significant respect to such Lender or Facing Agent. The applicable Borrower hereby agrees to pay all reasonable and documented expenses incurred by any Lender or Facing Agent in utilizing a different branch or Affiliate pursuant to this </w:t>
      </w:r>
      <w:r>
        <w:rPr>
          <w:rFonts w:ascii="Times New Roman" w:cs="Times New Roman" w:eastAsia="Times New Roman" w:hAnsi="Times New Roman"/>
          <w:sz w:val="19"/>
          <w:szCs w:val="19"/>
          <w:u w:val="single" w:color="auto"/>
          <w:color w:val="auto"/>
        </w:rPr>
        <w:t>Section 3.7(a)</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3.7(a)</w:t>
      </w:r>
      <w:r>
        <w:rPr>
          <w:rFonts w:ascii="Times New Roman" w:cs="Times New Roman" w:eastAsia="Times New Roman" w:hAnsi="Times New Roman"/>
          <w:sz w:val="19"/>
          <w:szCs w:val="19"/>
          <w:color w:val="auto"/>
        </w:rPr>
        <w:t xml:space="preserve"> shall affect or postpone any of the obligations of Borrowers or the right of any Lender or Facing Agent provided for herein..</w:t>
      </w:r>
    </w:p>
    <w:p>
      <w:pPr>
        <w:spacing w:after="0" w:line="180" w:lineRule="exact"/>
        <w:rPr>
          <w:sz w:val="20"/>
          <w:szCs w:val="20"/>
          <w:color w:val="auto"/>
        </w:rPr>
      </w:pPr>
    </w:p>
    <w:p>
      <w:pPr>
        <w:jc w:val="both"/>
        <w:ind w:firstLine="656"/>
        <w:spacing w:after="0" w:line="249" w:lineRule="auto"/>
        <w:tabs>
          <w:tab w:leader="none" w:pos="12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 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 its obligations to make Loans or fund Unpaid Drawings, (y) any Lender is owed increased costs under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(z) as provided in the last sentence of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12.1(b)</w:t>
      </w:r>
      <w:r>
        <w:rPr>
          <w:rFonts w:ascii="Times New Roman" w:cs="Times New Roman" w:eastAsia="Times New Roman" w:hAnsi="Times New Roman"/>
          <w:sz w:val="20"/>
          <w:szCs w:val="20"/>
          <w:color w:val="auto"/>
        </w:rPr>
        <w:t xml:space="preserve"> any Lender refuses to consent to certain proposed amendments, changes, supplements, waivers, discharges or terminations with respect to this Agreement, Crown Holdings shall have the right to replace such Lender (the “</w:t>
      </w:r>
      <w:r>
        <w:rPr>
          <w:rFonts w:ascii="Times New Roman" w:cs="Times New Roman" w:eastAsia="Times New Roman" w:hAnsi="Times New Roman"/>
          <w:sz w:val="20"/>
          <w:szCs w:val="20"/>
          <w:u w:val="single" w:color="auto"/>
          <w:color w:val="auto"/>
        </w:rPr>
        <w:t>Replaced Lender</w:t>
      </w:r>
      <w:r>
        <w:rPr>
          <w:rFonts w:ascii="Times New Roman" w:cs="Times New Roman" w:eastAsia="Times New Roman" w:hAnsi="Times New Roman"/>
          <w:sz w:val="20"/>
          <w:szCs w:val="20"/>
          <w:color w:val="auto"/>
        </w:rPr>
        <w:t>”) with one or more other Eligible Assignee or Eligible Assignees, none of whom shall constitute a Defaulting Lender at the time of such replacement (collectively, the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reasonably acceptable to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any replacement made pursuant to clause (y), such replacement will reduce the amount of any compensation payable by the Credit Parties under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(ii) at the time of any replacement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13" w:right="339" w:bottom="1440" w:gutter="0" w:footer="0" w:header="0"/>
        </w:sectPr>
      </w:pPr>
    </w:p>
    <w:bookmarkStart w:id="270" w:name="page271"/>
    <w:bookmarkEnd w:id="27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which shall survive as to 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pacing w:after="0" w:line="19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Benchmark Replacement Setting.</w:t>
      </w:r>
    </w:p>
    <w:p>
      <w:pPr>
        <w:spacing w:after="0" w:line="216" w:lineRule="exact"/>
        <w:rPr>
          <w:sz w:val="20"/>
          <w:szCs w:val="20"/>
          <w:color w:val="auto"/>
        </w:rPr>
      </w:pPr>
    </w:p>
    <w:p>
      <w:pPr>
        <w:jc w:val="both"/>
        <w:ind w:firstLine="656"/>
        <w:spacing w:after="0" w:line="251"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in consultation with Crown Holdings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Crown Holdings and the Lenders of (i) the implementation of any Benchmark Replacement and (ii) the effectiveness of any Conforming Changes in connection with the use, administration, adoption or implementation of a Benchmark Replacement. The Administrative Agent will notify Crown Holdings of (x) the removal or reinstatement of any tenor of a Benchmark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13"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0"/>
          <w:szCs w:val="20"/>
          <w:color w:val="auto"/>
        </w:rPr>
        <w:t xml:space="preserve">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49"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the Term SOFR Reference Rate or the Eurocurrency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Crown Holdings’ receipt of notice of the commencement of a Benchmark Unavailability Period, the relevant Borrower may revoke any pending request for a Borrowing of, conversion to or continuation of Loans based on the applicable Benchmark to be made, converted or continued during any Benchmark Unavailability Period and, failing that, (x) in the case of Loans denominated in Dollars, the applicable Borrower will be deemed to have converted any such request into a request for a Borrowing of or conversion to Base Rate Loans and (y) in the case of Loans denominated in Euros, the applicable Borrower will be deemed to have converted any such request into a request for a Borrowing of or conversion to Overnight Euro Rate Loans. During a Benchmark Unavailability Period or at any time that a tenor for the then-current Benchmark is not an Available Tenor, in the case of Loans denominated in Dollars, the component of Base Rate based upon the then-current Benchmark or such tenor for such Benchmark, as applicable, will not be used in any determination of Base Rate.</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REDUCTION OF COMMITMENTS; PAYMENTS AND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-20320</wp:posOffset>
            </wp:positionV>
            <wp:extent cx="38315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Voluntary Reduction of Commitments</w:t>
      </w:r>
      <w:r>
        <w:rPr>
          <w:rFonts w:ascii="Times New Roman" w:cs="Times New Roman" w:eastAsia="Times New Roman" w:hAnsi="Times New Roman"/>
          <w:sz w:val="20"/>
          <w:szCs w:val="20"/>
          <w:color w:val="auto"/>
        </w:rPr>
        <w:t xml:space="preserve">. Upon at least two (2) Business Days’ prior written notice (or telephonic notice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13" w:right="339" w:bottom="1440" w:gutter="0" w:footer="0" w:header="0"/>
        </w:sectPr>
      </w:pPr>
    </w:p>
    <w:bookmarkStart w:id="272" w:name="page273"/>
    <w:bookmarkEnd w:id="272"/>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partial voluntary reduction pursuant to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such that the total of the Dollar Revolving Commitment, Multicurrency Revolving Commitment or Canadian Revolving Commitment shall not be reduced below</w:t>
      </w:r>
    </w:p>
    <w:p>
      <w:pPr>
        <w:spacing w:after="0" w:line="1" w:lineRule="exact"/>
        <w:rPr>
          <w:sz w:val="20"/>
          <w:szCs w:val="20"/>
          <w:color w:val="auto"/>
        </w:rPr>
      </w:pPr>
    </w:p>
    <w:p>
      <w:pPr>
        <w:jc w:val="both"/>
        <w:ind w:firstLine="8"/>
        <w:spacing w:after="0" w:line="251" w:lineRule="auto"/>
        <w:tabs>
          <w:tab w:leader="none" w:pos="2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outstanding Dollar Revolving Loans plus the aggregate Effective Amount of Dollar LC Obligations, in the case of the Dollar Revolving Commitment; (2) 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17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Mandatory Reductions of Term Commitments</w:t>
      </w:r>
      <w:r>
        <w:rPr>
          <w:rFonts w:ascii="Times New Roman" w:cs="Times New Roman" w:eastAsia="Times New Roman" w:hAnsi="Times New Roman"/>
          <w:sz w:val="20"/>
          <w:szCs w:val="20"/>
          <w:color w:val="auto"/>
        </w:rPr>
        <w:t>. The Term Commitments terminate on the Incremental Amendment No. 3 and Fifth Amendment Effective Date after giving effect to the Borrowing of the Term A Loans and Term Euro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13" w:right="339" w:bottom="1440" w:gutter="0" w:footer="0" w:header="0"/>
        </w:sectPr>
      </w:pPr>
    </w:p>
    <w:bookmarkStart w:id="273" w:name="page274"/>
    <w:bookmarkEnd w:id="273"/>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 Each Borrower shall have the right to prepay the Loans without premium or penalty in whole or in part from time to time on the following terms and conditions:</w:t>
      </w:r>
    </w:p>
    <w:p>
      <w:pPr>
        <w:spacing w:after="0" w:line="146" w:lineRule="exact"/>
        <w:rPr>
          <w:sz w:val="20"/>
          <w:szCs w:val="20"/>
          <w:color w:val="auto"/>
        </w:rPr>
      </w:pPr>
    </w:p>
    <w:p>
      <w:pPr>
        <w:jc w:val="both"/>
        <w:ind w:firstLine="656"/>
        <w:spacing w:after="0" w:line="251"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 applicable Borrower to Administrative Agent or Canadian Administrative Agent, as applicable, by 12:00 noon (New York City time) at least three (3) Business Days prior in the case of SOFR Loans, Eurocurrency Loans, Daily Simple RFR Loans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partial prepayment of SOFR Loans or Eurocurrency Loans made pursuant to a single Borrowing shall reduce the aggregate principal amount of the outstanding Loans made pursuant to such Borrowing to an amount less than the Minimum Borrowing Amount applicable thereto;</w:t>
      </w:r>
    </w:p>
    <w:p>
      <w:pPr>
        <w:spacing w:after="0" w:line="191"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SOFR Loans and Eurocurrency Loans may only be prepaid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on the last day of an Interest Period applicable thereto or on any other day subject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in respect of any Borrowing shall be applied pro rata among the Loans comprising such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Canadian Borrower may defease any B/A by depositing with Canadian Administrative Agent an amount equal to the face amount of such maturing B/A,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SOFR Loans and Eurocurrency Loans.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notice provisions, the provisions with respect to the minimum amount of any prepayment and the provisions requiring prepayments in integral multiples above such minimum amount of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are for the benefit of Administrative Agent and may be waived unilaterally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13" w:right="339" w:bottom="1440" w:gutter="0" w:footer="0" w:header="0"/>
        </w:sectPr>
      </w:pPr>
    </w:p>
    <w:bookmarkStart w:id="274" w:name="page275"/>
    <w:bookmarkEnd w:id="274"/>
    <w:p>
      <w:pPr>
        <w:ind w:left="4"/>
        <w:spacing w:after="0"/>
        <w:tabs>
          <w:tab w:leader="none" w:pos="424"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4" w:hanging="644"/>
        <w:spacing w:after="0"/>
        <w:tabs>
          <w:tab w:leader="none" w:pos="6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Upon Overadvance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903"/>
        <w:spacing w:after="0" w:line="250" w:lineRule="auto"/>
        <w:tabs>
          <w:tab w:leader="none" w:pos="1287"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Borrower shall prepay the outstanding principal amount of the Loans under the Dollar Revolving Facility on any date on which the aggregate Effective Amount of such Loans, together with the aggregate Effective Amount of Dollar LC Obligations, exceeds the aggregate Dollar Revolving Commitments, in the amount of such excess. If, after giving effect to the prepayment of all outstanding Dollar Revolving Loans, the outstanding principal amount of Dollar 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w:t>
      </w:r>
      <w:r>
        <w:rPr>
          <w:rFonts w:ascii="Times New Roman" w:cs="Times New Roman" w:eastAsia="Times New Roman" w:hAnsi="Times New Roman"/>
          <w:sz w:val="20"/>
          <w:szCs w:val="20"/>
          <w:u w:val="single" w:color="auto"/>
          <w:color w:val="auto"/>
        </w:rPr>
        <w:t>Dollar Collateral Account</w:t>
      </w:r>
      <w:r>
        <w:rPr>
          <w:rFonts w:ascii="Times New Roman" w:cs="Times New Roman" w:eastAsia="Times New Roman" w:hAnsi="Times New Roman"/>
          <w:sz w:val="20"/>
          <w:szCs w:val="20"/>
          <w:color w:val="auto"/>
        </w:rPr>
        <w:t>”) into which it shall deposit such cash to hold as collateral security for the outstanding Dollar LC Obligations.</w:t>
      </w:r>
    </w:p>
    <w:p>
      <w:pPr>
        <w:spacing w:after="0" w:line="199" w:lineRule="exact"/>
        <w:rPr>
          <w:rFonts w:ascii="Times New Roman" w:cs="Times New Roman" w:eastAsia="Times New Roman" w:hAnsi="Times New Roman"/>
          <w:sz w:val="20"/>
          <w:szCs w:val="20"/>
          <w:color w:val="auto"/>
        </w:rPr>
      </w:pPr>
    </w:p>
    <w:p>
      <w:pPr>
        <w:jc w:val="both"/>
        <w:ind w:left="4" w:firstLine="903"/>
        <w:spacing w:after="0" w:line="249" w:lineRule="auto"/>
        <w:tabs>
          <w:tab w:leader="none" w:pos="1288"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European Borrower or U.S. Borrower, as applicable, shall prepay the outstanding principal amount of the Loans under the Multicurrency Revolving Facility on any date on which the aggregate Effective Amount of such Loans, together with the aggregate Effective Amount of Multicurrency LC Obligations and Effective Amount of Swing Line Loans, exceeds the aggregate Multicurrency Revolving Commitments, in the amount of such excess. If, after giving effect to the prepayment of all outstanding, Multicurrency Revolving Loans, the outstanding principal amount of Multicurrency Revolving Loans together with the aggregate Effective Amount of Multicurrency LC Obligations plus the aggregate Effective Amount of Swing Line Loans,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Multicurrency Revolving Loans plus the aggregate Effective Amount of such Multicurrency LC Obligations and the aggregate Multicurrency Revolving Commitments then in effect. Administrative Agent shall establish in its name for the benefit of the Multicurrency Revolving Lenders a cash collateral account (the “</w:t>
      </w:r>
      <w:r>
        <w:rPr>
          <w:rFonts w:ascii="Times New Roman" w:cs="Times New Roman" w:eastAsia="Times New Roman" w:hAnsi="Times New Roman"/>
          <w:sz w:val="20"/>
          <w:szCs w:val="20"/>
          <w:u w:val="single" w:color="auto"/>
          <w:color w:val="auto"/>
        </w:rPr>
        <w:t>Multicurrency Collateral Account</w:t>
      </w:r>
      <w:r>
        <w:rPr>
          <w:rFonts w:ascii="Times New Roman" w:cs="Times New Roman" w:eastAsia="Times New Roman" w:hAnsi="Times New Roman"/>
          <w:sz w:val="20"/>
          <w:szCs w:val="20"/>
          <w:color w:val="auto"/>
        </w:rPr>
        <w:t>” and, together with the Dollar Collateral Account, each a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into which it shall deposit such cash to hold as collateral security for the outstanding Multicurrency LC Obligations.</w:t>
      </w:r>
    </w:p>
    <w:p>
      <w:pPr>
        <w:spacing w:after="0" w:line="200" w:lineRule="exact"/>
        <w:rPr>
          <w:rFonts w:ascii="Times New Roman" w:cs="Times New Roman" w:eastAsia="Times New Roman" w:hAnsi="Times New Roman"/>
          <w:sz w:val="20"/>
          <w:szCs w:val="20"/>
          <w:color w:val="auto"/>
        </w:rPr>
      </w:pPr>
    </w:p>
    <w:p>
      <w:pPr>
        <w:jc w:val="both"/>
        <w:ind w:left="4" w:firstLine="903"/>
        <w:spacing w:after="0" w:line="253" w:lineRule="auto"/>
        <w:tabs>
          <w:tab w:leader="none" w:pos="1289"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Borrower shall prepay the outstanding principal amount of the Loans under the Canadian Revolving Facility on any date on which the aggregate Effective Amount of such Loans, together with the aggregate Effective Amount of the Canadian LC Obligations, exceeds the aggregate Canadian Revolving Commitments, in the amount of such excess. If, after giving effect to the prepayment of all outstanding Canadian Prime Rate Loans, the outstanding principal amount of Canadian Revolving Loans together with the aggregate Effective Amount of the Canadian LC Obligations exceeds the aggregate Canadian Revolving Commitments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0584"/>
          </w:cols>
          <w:pgMar w:left="976" w:top="1413" w:right="339" w:bottom="1440" w:gutter="0" w:footer="0" w:header="0"/>
        </w:sectPr>
      </w:pPr>
    </w:p>
    <w:bookmarkStart w:id="275" w:name="page276"/>
    <w:bookmarkEnd w:id="275"/>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effect, the Canadian Borrower shall cash collateralize the Canadian LC Obligations and cash collateralize outstanding B/A Loans by depositing pursuant to a cash collateral agreement to be 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 and/or B/A Loans.</w:t>
      </w:r>
    </w:p>
    <w:p>
      <w:pPr>
        <w:spacing w:after="0" w:line="179" w:lineRule="exact"/>
        <w:rPr>
          <w:sz w:val="20"/>
          <w:szCs w:val="20"/>
          <w:color w:val="auto"/>
        </w:rPr>
      </w:pPr>
    </w:p>
    <w:p>
      <w:pPr>
        <w:jc w:val="both"/>
        <w:ind w:firstLine="656"/>
        <w:spacing w:after="0" w:line="258"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Term Repayments</w:t>
      </w:r>
      <w:r>
        <w:rPr>
          <w:rFonts w:ascii="Times New Roman" w:cs="Times New Roman" w:eastAsia="Times New Roman" w:hAnsi="Times New Roman"/>
          <w:sz w:val="20"/>
          <w:szCs w:val="20"/>
          <w:color w:val="auto"/>
        </w:rPr>
        <w:t>. The applicable Borrower shall cause to be paid Scheduled Term Repayments for each Term Facility on the Term Loans until the Term Loans are paid in full in the amounts and currencies and at the times specified in each of the Scheduled Term Repayment definitions to the extent that prepayments have not previously been applied to such Scheduled Term Repayments (and such Scheduled Term Repayments have not otherwise been reduced) pursuant to the terms hereof.</w:t>
      </w:r>
    </w:p>
    <w:p>
      <w:pPr>
        <w:spacing w:after="0" w:line="185" w:lineRule="exact"/>
        <w:rPr>
          <w:rFonts w:ascii="Times New Roman" w:cs="Times New Roman" w:eastAsia="Times New Roman" w:hAnsi="Times New Roman"/>
          <w:sz w:val="20"/>
          <w:szCs w:val="20"/>
          <w:color w:val="auto"/>
        </w:rPr>
      </w:pPr>
    </w:p>
    <w:p>
      <w:pPr>
        <w:jc w:val="both"/>
        <w:ind w:firstLine="656"/>
        <w:spacing w:after="0" w:line="262" w:lineRule="auto"/>
        <w:tabs>
          <w:tab w:leader="none" w:pos="128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 Upon Asset Disposition</w:t>
      </w:r>
      <w:r>
        <w:rPr>
          <w:rFonts w:ascii="Times New Roman" w:cs="Times New Roman" w:eastAsia="Times New Roman" w:hAnsi="Times New Roman"/>
          <w:sz w:val="19"/>
          <w:szCs w:val="19"/>
          <w:color w:val="auto"/>
        </w:rPr>
        <w:t xml:space="preserve">. From and after the Incremental Amendment No. 3 and Fifth Amendment Effective Date, on the tenth Business Day after the date of receipt thereof by Crown Holdings and/or any of its Subsidiaries of Net Proceeds from any Asset Disposition (other than an Asset Disposition permitted by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8.5(a)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8.5(j)</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8.5(l)</w:t>
      </w:r>
      <w:r>
        <w:rPr>
          <w:rFonts w:ascii="Times New Roman" w:cs="Times New Roman" w:eastAsia="Times New Roman" w:hAnsi="Times New Roman"/>
          <w:sz w:val="19"/>
          <w:szCs w:val="19"/>
          <w:color w:val="auto"/>
        </w:rPr>
        <w:t xml:space="preserve">, 8.5(m)(1), </w:t>
      </w:r>
      <w:r>
        <w:rPr>
          <w:rFonts w:ascii="Times New Roman" w:cs="Times New Roman" w:eastAsia="Times New Roman" w:hAnsi="Times New Roman"/>
          <w:sz w:val="19"/>
          <w:szCs w:val="19"/>
          <w:u w:val="single" w:color="auto"/>
          <w:color w:val="auto"/>
        </w:rPr>
        <w:t>8.5(n)</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subclause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8.5(o)</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8.5(w)</w:t>
      </w:r>
      <w:r>
        <w:rPr>
          <w:rFonts w:ascii="Times New Roman" w:cs="Times New Roman" w:eastAsia="Times New Roman" w:hAnsi="Times New Roman"/>
          <w:sz w:val="19"/>
          <w:szCs w:val="19"/>
          <w:color w:val="auto"/>
        </w:rPr>
        <w:t xml:space="preserve">), Borrowers shall apply an amount equal to 100% of the Net Proceeds from such Asset Disposition as a mandatory repayment of principal of the Term Loans, pursuant to the terms of </w:t>
      </w:r>
      <w:r>
        <w:rPr>
          <w:rFonts w:ascii="Times New Roman" w:cs="Times New Roman" w:eastAsia="Times New Roman" w:hAnsi="Times New Roman"/>
          <w:sz w:val="19"/>
          <w:szCs w:val="19"/>
          <w:u w:val="single" w:color="auto"/>
          <w:color w:val="auto"/>
        </w:rPr>
        <w:t>Section 4.5(a)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Net Proceeds therefrom shall not be required to be so applied on such date to the extent that (i) no Credit Party would be obligated to make an offer to purchase any Indebtedness if such Net Proceeds were not used to repay Term Loans and (ii) no Event of Default then exists and Crown Holdings delivers a certificate to Administrative Agent on or prior to such date stating that such Net Proceeds shall be used to purchase assets used or to be used in the businesses referred to in </w:t>
      </w:r>
      <w:r>
        <w:rPr>
          <w:rFonts w:ascii="Times New Roman" w:cs="Times New Roman" w:eastAsia="Times New Roman" w:hAnsi="Times New Roman"/>
          <w:sz w:val="19"/>
          <w:szCs w:val="19"/>
          <w:u w:val="single" w:color="auto"/>
          <w:color w:val="auto"/>
        </w:rPr>
        <w:t>Section 8.3(c)</w:t>
      </w:r>
      <w:r>
        <w:rPr>
          <w:rFonts w:ascii="Times New Roman" w:cs="Times New Roman" w:eastAsia="Times New Roman" w:hAnsi="Times New Roman"/>
          <w:sz w:val="19"/>
          <w:szCs w:val="19"/>
          <w:color w:val="auto"/>
        </w:rPr>
        <w:t xml:space="preserve"> within 365 days following the date of such Asset Disposition (which certificate shall set forth the estimates of the proceeds to be so expended),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w:t>
      </w:r>
    </w:p>
    <w:p>
      <w:pPr>
        <w:spacing w:after="0" w:line="19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 Upon Recovery Event</w:t>
      </w:r>
      <w:r>
        <w:rPr>
          <w:rFonts w:ascii="Times New Roman" w:cs="Times New Roman" w:eastAsia="Times New Roman" w:hAnsi="Times New Roman"/>
          <w:sz w:val="20"/>
          <w:szCs w:val="20"/>
          <w:color w:val="auto"/>
        </w:rPr>
        <w:t>. From and after the Incremental Amendment No. 3 and Fifth Amendment Effective Date, within ten (10) days following each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13" w:right="339" w:bottom="1440" w:gutter="0" w:footer="0" w:header="0"/>
        </w:sectPr>
      </w:pPr>
    </w:p>
    <w:bookmarkStart w:id="276" w:name="page277"/>
    <w:bookmarkEnd w:id="27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which Crown Holdings or any of its Subsidiaries receives any Net Proceeds, Borrowers shall apply an amount equal to 100% of the Net Proceeds of such Recovery Event as a mandatory repayment of principal of the Term Loans pursuant to the terms of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then exists, such proceeds shall not be required to be so applied on such date to the extent that 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192" w:lineRule="exact"/>
        <w:rPr>
          <w:sz w:val="20"/>
          <w:szCs w:val="20"/>
          <w:color w:val="auto"/>
        </w:rPr>
      </w:pPr>
    </w:p>
    <w:p>
      <w:pPr>
        <w:jc w:val="both"/>
        <w:ind w:left="660" w:firstLine="903"/>
        <w:spacing w:after="0" w:line="254" w:lineRule="auto"/>
        <w:tabs>
          <w:tab w:leader="none" w:pos="194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Net Proceeds not required to be applied to the repayment of Term Loans pursuant to the first proviso of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 and</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5"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of Proceeds</w:t>
      </w:r>
      <w:r>
        <w:rPr>
          <w:rFonts w:ascii="Times New Roman" w:cs="Times New Roman" w:eastAsia="Times New Roman" w:hAnsi="Times New Roman"/>
          <w:sz w:val="20"/>
          <w:szCs w:val="20"/>
          <w:color w:val="auto"/>
        </w:rPr>
        <w:t xml:space="preserve">. Notwithstanding any other provisions of </w:t>
      </w:r>
      <w:r>
        <w:rPr>
          <w:rFonts w:ascii="Times New Roman" w:cs="Times New Roman" w:eastAsia="Times New Roman" w:hAnsi="Times New Roman"/>
          <w:sz w:val="20"/>
          <w:szCs w:val="20"/>
          <w:u w:val="single" w:color="auto"/>
          <w:color w:val="auto"/>
        </w:rPr>
        <w:t>Sections 4.4(c)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4.4(f)</w:t>
      </w:r>
      <w:r>
        <w:rPr>
          <w:rFonts w:ascii="Times New Roman" w:cs="Times New Roman" w:eastAsia="Times New Roman" w:hAnsi="Times New Roman"/>
          <w:sz w:val="20"/>
          <w:szCs w:val="20"/>
          <w:color w:val="auto"/>
        </w:rPr>
        <w:t>, to the extent that any of or all the Net Proceeds of any Asset Disposition or any Recovery Event are received by a Non-U.S. Subsidiary (in each case, “</w:t>
      </w:r>
      <w:r>
        <w:rPr>
          <w:rFonts w:ascii="Times New Roman" w:cs="Times New Roman" w:eastAsia="Times New Roman" w:hAnsi="Times New Roman"/>
          <w:sz w:val="20"/>
          <w:szCs w:val="20"/>
          <w:u w:val="single" w:color="auto"/>
          <w:color w:val="auto"/>
        </w:rPr>
        <w:t>Foreign Proceeds</w:t>
      </w:r>
      <w:r>
        <w:rPr>
          <w:rFonts w:ascii="Times New Roman" w:cs="Times New Roman" w:eastAsia="Times New Roman" w:hAnsi="Times New Roman"/>
          <w:sz w:val="20"/>
          <w:szCs w:val="20"/>
          <w:color w:val="auto"/>
        </w:rPr>
        <w:t>”) and the repatriation of such Foreign Proceeds would (x) result in material adverse Tax consequences to Crown Holdings or any other Subsidiary or (y) would be prohibited or restricted by applicable law, rule or regulation or contract (each, a “</w:t>
      </w:r>
      <w:r>
        <w:rPr>
          <w:rFonts w:ascii="Times New Roman" w:cs="Times New Roman" w:eastAsia="Times New Roman" w:hAnsi="Times New Roman"/>
          <w:sz w:val="20"/>
          <w:szCs w:val="20"/>
          <w:u w:val="single" w:color="auto"/>
          <w:color w:val="auto"/>
        </w:rPr>
        <w:t>Repatriation Limitation</w:t>
      </w:r>
      <w:r>
        <w:rPr>
          <w:rFonts w:ascii="Times New Roman" w:cs="Times New Roman" w:eastAsia="Times New Roman" w:hAnsi="Times New Roman"/>
          <w:sz w:val="20"/>
          <w:szCs w:val="20"/>
          <w:color w:val="auto"/>
        </w:rPr>
        <w:t>”), the portion of such Foreign Proceeds so affected will not be required to be applied to repay Loans or reduce any Commitments hereunder but may be retained by the applicable Foreign Subsidiary so long as such Repatriation Limitation exists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4.4(f)</w:t>
      </w:r>
      <w:r>
        <w:rPr>
          <w:rFonts w:ascii="Times New Roman" w:cs="Times New Roman" w:eastAsia="Times New Roman" w:hAnsi="Times New Roman"/>
          <w:sz w:val="20"/>
          <w:szCs w:val="20"/>
          <w:color w:val="auto"/>
        </w:rPr>
        <w:t xml:space="preserve">. For the avoidance of doubt, nothing in this </w:t>
      </w:r>
      <w:r>
        <w:rPr>
          <w:rFonts w:ascii="Times New Roman" w:cs="Times New Roman" w:eastAsia="Times New Roman" w:hAnsi="Times New Roman"/>
          <w:sz w:val="20"/>
          <w:szCs w:val="20"/>
          <w:u w:val="single" w:color="auto"/>
          <w:color w:val="auto"/>
        </w:rPr>
        <w:t>Section 4.4(g)</w:t>
      </w:r>
      <w:r>
        <w:rPr>
          <w:rFonts w:ascii="Times New Roman" w:cs="Times New Roman" w:eastAsia="Times New Roman" w:hAnsi="Times New Roman"/>
          <w:sz w:val="20"/>
          <w:szCs w:val="20"/>
          <w:color w:val="auto"/>
        </w:rPr>
        <w:t xml:space="preserve">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 Event of Default or an Event of Default and such amounts shall be available by Crown Holdings and its Subsidiaries for purposes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13" w:right="339" w:bottom="1440" w:gutter="0" w:footer="0" w:header="0"/>
        </w:sectPr>
      </w:pPr>
    </w:p>
    <w:bookmarkStart w:id="277" w:name="page278"/>
    <w:bookmarkEnd w:id="277"/>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Application of Prepayments; Waiver of Certain Prepayments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 xml:space="preserve">. Except as expressly provided in this Agreement, all prepayments of principal made by Borrowers (1)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shall be applied (i) as directed by the applicable Borrower under any Term Facility to any or all of the remaining Scheduled Term Repayments of such Term Facility (in the amounts and in the order of maturity designated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such order is designated, such prepayments shall be applied to the remaining Scheduled Term Prepayments in direct order of maturity); (ii) within each Term Facility, first to the payment of Base Rate Loans and second to the payment of SOFR Loans and Eurocurrency Loans; and (iii) with respect to SOFR Loans and Eurocurrency Loans, in such order as Borrowers shall request (and in the absence of such request, as Administrative Agent shall determine) and (2) pursuant to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shall be applied (i) within each Revolving Facility, first to the payment of Base Rate Loans and second to the payment of SOFR Loans and Eurocurrency Loans; and (ii) with respect to SOFR Loans and Eurocurrency Loans, in such order as Borrowers shall request (and in the absence of such request, as Administrative Agent shall determine); and (iii) within Canadian Revolving Loans, first to the payment of Canadian Prime Rate Loans and second to the cash collateralization of outstanding B/A Loans in accordance with the cash collateralization provisions set forth in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in which case, the aggregate amount of the prepayment that would have been applied to prepay Term Loans but was so declined may be retained by the Borrower (“</w:t>
      </w:r>
      <w:r>
        <w:rPr>
          <w:rFonts w:ascii="Times New Roman" w:cs="Times New Roman" w:eastAsia="Times New Roman" w:hAnsi="Times New Roman"/>
          <w:sz w:val="20"/>
          <w:szCs w:val="20"/>
          <w:u w:val="single" w:color="auto"/>
          <w:color w:val="auto"/>
        </w:rPr>
        <w:t>Retained Declined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xml:space="preserve">”). All prepayments shall include payment of accrued interest on the principal amount so prepaid, shall be applied to the payment of interest before application to principal and shall include amounts payable, if any,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regular installment payments of principal on the Term Loans shall be applied (i) first to the payment of Base Rate Loans and second to the payment of SOFR Loans and Eurocurrency Loans and (ii) with respect to SOFR Loans and Eurocurrency Loans, in such order as Borrowers shall request (and in the absence of such request, as Administrative Agent shall determine). All payments shall include payment of accrued and unpaid interest on the principal amount so paid, shall be applied to the payment of interest before application to principal and shall include amounts payable, if any,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Method and Place of Payment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128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13" w:right="339" w:bottom="1440" w:gutter="0" w:footer="0" w:header="0"/>
        </w:sectPr>
      </w:pPr>
    </w:p>
    <w:bookmarkStart w:id="278" w:name="page279"/>
    <w:bookmarkEnd w:id="278"/>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192" w:lineRule="exact"/>
        <w:rPr>
          <w:sz w:val="20"/>
          <w:szCs w:val="20"/>
          <w:color w:val="auto"/>
        </w:rPr>
      </w:pPr>
    </w:p>
    <w:p>
      <w:pPr>
        <w:jc w:val="both"/>
        <w:ind w:firstLine="214"/>
        <w:spacing w:after="0" w:line="249" w:lineRule="auto"/>
        <w:tabs>
          <w:tab w:leader="none" w:pos="65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 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SOFR Loans, Eurocurrency Loans and Daily Simple RFR Loans, if such next succeeding Business Day is not in the same month as the date on which such payment would otherwise be due hereunder or under any Note, the due date with respect thereto shall be the next preceding applicable Business Day.</w:t>
      </w:r>
    </w:p>
    <w:p>
      <w:pPr>
        <w:spacing w:after="0" w:line="18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 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413" w:right="339" w:bottom="1440" w:gutter="0" w:footer="0" w:header="0"/>
        </w:sectPr>
      </w:pPr>
    </w:p>
    <w:bookmarkStart w:id="279" w:name="page280"/>
    <w:bookmarkEnd w:id="279"/>
    <w:p>
      <w:pPr>
        <w:jc w:val="both"/>
        <w:spacing w:after="0" w:line="258" w:lineRule="auto"/>
        <w:rPr>
          <w:sz w:val="20"/>
          <w:szCs w:val="20"/>
          <w:color w:val="auto"/>
        </w:rPr>
      </w:pPr>
      <w:r>
        <w:rPr>
          <w:rFonts w:ascii="Times New Roman" w:cs="Times New Roman" w:eastAsia="Times New Roman" w:hAnsi="Times New Roman"/>
          <w:sz w:val="20"/>
          <w:szCs w:val="20"/>
          <w:color w:val="auto"/>
        </w:rPr>
        <w:t>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Canadian Dollars or any Alternative Currency) for the first three days and thereafter at the Federal Funds Rate (or such cost of funds rate) plus 1%.</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Net 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Credit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200"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timely pay to the relevant Governmental Authority in accordance with applicable law, or at the option of Administrative Agent timely reimburse it for the payment of, any Other Taxes.</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Recipient does not notify the applicable Credit Party of any indemnification claim under this </w:t>
      </w:r>
      <w:r>
        <w:rPr>
          <w:rFonts w:ascii="Times New Roman" w:cs="Times New Roman" w:eastAsia="Times New Roman" w:hAnsi="Times New Roman"/>
          <w:sz w:val="20"/>
          <w:szCs w:val="20"/>
          <w:u w:val="single" w:color="auto"/>
          <w:color w:val="auto"/>
        </w:rPr>
        <w:t>Section 4.7(c)</w:t>
      </w:r>
      <w:r>
        <w:rPr>
          <w:rFonts w:ascii="Times New Roman" w:cs="Times New Roman" w:eastAsia="Times New Roman" w:hAnsi="Times New Roman"/>
          <w:sz w:val="20"/>
          <w:szCs w:val="20"/>
          <w:color w:val="auto"/>
        </w:rPr>
        <w:t xml:space="preserve"> within 120 days after such Recipient has received written notice of the 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13" w:right="339" w:bottom="1440" w:gutter="0" w:footer="0" w:header="0"/>
        </w:sectPr>
      </w:pPr>
    </w:p>
    <w:bookmarkStart w:id="280" w:name="page281"/>
    <w:bookmarkEnd w:id="280"/>
    <w:p>
      <w:pPr>
        <w:ind w:left="644" w:hanging="644"/>
        <w:spacing w:after="0"/>
        <w:tabs>
          <w:tab w:leader="none" w:pos="6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Lenders.</w:t>
      </w:r>
    </w:p>
    <w:p>
      <w:pPr>
        <w:spacing w:after="0" w:line="229" w:lineRule="exact"/>
        <w:rPr>
          <w:rFonts w:ascii="Times New Roman" w:cs="Times New Roman" w:eastAsia="Times New Roman" w:hAnsi="Times New Roman"/>
          <w:sz w:val="20"/>
          <w:szCs w:val="20"/>
          <w:color w:val="auto"/>
        </w:rPr>
      </w:pPr>
    </w:p>
    <w:p>
      <w:pPr>
        <w:jc w:val="both"/>
        <w:ind w:left="4" w:firstLine="903"/>
        <w:spacing w:after="0" w:line="265" w:lineRule="auto"/>
        <w:tabs>
          <w:tab w:leader="none" w:pos="1287" w:val="left"/>
        </w:tabs>
        <w:numPr>
          <w:ilvl w:val="3"/>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4.7(f)</w:t>
      </w:r>
      <w:r>
        <w:rPr>
          <w:rFonts w:ascii="Times New Roman" w:cs="Times New Roman" w:eastAsia="Times New Roman" w:hAnsi="Times New Roman"/>
          <w:sz w:val="19"/>
          <w:szCs w:val="19"/>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Times New Roman" w:cs="Times New Roman" w:eastAsia="Times New Roman" w:hAnsi="Times New Roman"/>
          <w:sz w:val="19"/>
          <w:szCs w:val="19"/>
          <w:u w:val="single" w:color="auto"/>
          <w:color w:val="auto"/>
        </w:rPr>
        <w:t>Section 4.7(d)</w:t>
      </w:r>
      <w:r>
        <w:rPr>
          <w:rFonts w:ascii="Times New Roman" w:cs="Times New Roman" w:eastAsia="Times New Roman" w:hAnsi="Times New Roman"/>
          <w:sz w:val="19"/>
          <w:szCs w:val="19"/>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179" w:lineRule="exact"/>
        <w:rPr>
          <w:rFonts w:ascii="Times New Roman" w:cs="Times New Roman" w:eastAsia="Times New Roman" w:hAnsi="Times New Roman"/>
          <w:sz w:val="19"/>
          <w:szCs w:val="19"/>
          <w:color w:val="auto"/>
        </w:rPr>
      </w:pPr>
    </w:p>
    <w:p>
      <w:pPr>
        <w:ind w:left="4" w:firstLine="903"/>
        <w:spacing w:after="0" w:line="269" w:lineRule="auto"/>
        <w:tabs>
          <w:tab w:leader="none" w:pos="1288" w:val="left"/>
        </w:tabs>
        <w:numPr>
          <w:ilvl w:val="3"/>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with respect to each Lender receiving payments in respect of any Loans, Letters of Credit, or Commitments provided to U.S. Borrower:</w:t>
      </w:r>
    </w:p>
    <w:p>
      <w:pPr>
        <w:spacing w:after="0" w:line="172" w:lineRule="exact"/>
        <w:rPr>
          <w:rFonts w:ascii="Times New Roman" w:cs="Times New Roman" w:eastAsia="Times New Roman" w:hAnsi="Times New Roman"/>
          <w:sz w:val="20"/>
          <w:szCs w:val="20"/>
          <w:color w:val="auto"/>
        </w:rPr>
      </w:pPr>
    </w:p>
    <w:p>
      <w:pPr>
        <w:jc w:val="both"/>
        <w:ind w:left="644" w:right="20" w:firstLine="652"/>
        <w:spacing w:after="0" w:line="261" w:lineRule="auto"/>
        <w:tabs>
          <w:tab w:leader="none" w:pos="1931" w:val="left"/>
        </w:tabs>
        <w:numPr>
          <w:ilvl w:val="5"/>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181" w:lineRule="exact"/>
        <w:rPr>
          <w:rFonts w:ascii="Times New Roman" w:cs="Times New Roman" w:eastAsia="Times New Roman" w:hAnsi="Times New Roman"/>
          <w:sz w:val="20"/>
          <w:szCs w:val="20"/>
          <w:color w:val="auto"/>
        </w:rPr>
      </w:pPr>
    </w:p>
    <w:p>
      <w:pPr>
        <w:jc w:val="both"/>
        <w:ind w:left="644" w:firstLine="652"/>
        <w:spacing w:after="0" w:line="253" w:lineRule="auto"/>
        <w:tabs>
          <w:tab w:leader="none" w:pos="1934" w:val="left"/>
        </w:tabs>
        <w:numPr>
          <w:ilvl w:val="5"/>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178" w:lineRule="exact"/>
        <w:rPr>
          <w:rFonts w:ascii="Times New Roman" w:cs="Times New Roman" w:eastAsia="Times New Roman" w:hAnsi="Times New Roman"/>
          <w:sz w:val="20"/>
          <w:szCs w:val="20"/>
          <w:color w:val="auto"/>
        </w:rPr>
      </w:pPr>
    </w:p>
    <w:p>
      <w:pPr>
        <w:ind w:left="644" w:firstLine="310"/>
        <w:spacing w:after="0" w:line="283" w:lineRule="auto"/>
        <w:tabs>
          <w:tab w:leader="none" w:pos="1453" w:val="left"/>
        </w:tabs>
        <w:numPr>
          <w:ilvl w:val="4"/>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properly completed originals of IRS Form W-8BEN or Form W-8BEN-E, as applicable, or any successor thereto, claiming eligibility for benefits of an income tax treaty to which the United States is a party;</w:t>
      </w:r>
    </w:p>
    <w:p>
      <w:pPr>
        <w:spacing w:after="0" w:line="159" w:lineRule="exact"/>
        <w:rPr>
          <w:rFonts w:ascii="Times New Roman" w:cs="Times New Roman" w:eastAsia="Times New Roman" w:hAnsi="Times New Roman"/>
          <w:sz w:val="20"/>
          <w:szCs w:val="20"/>
          <w:color w:val="auto"/>
        </w:rPr>
      </w:pPr>
    </w:p>
    <w:p>
      <w:pPr>
        <w:ind w:left="1304" w:hanging="458"/>
        <w:spacing w:after="0"/>
        <w:tabs>
          <w:tab w:leader="none" w:pos="130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properly completed originals of IRS Form W-8ECI or any successor thereto;</w:t>
      </w:r>
    </w:p>
    <w:p>
      <w:pPr>
        <w:spacing w:after="0" w:line="215" w:lineRule="exact"/>
        <w:rPr>
          <w:rFonts w:ascii="Times New Roman" w:cs="Times New Roman" w:eastAsia="Times New Roman" w:hAnsi="Times New Roman"/>
          <w:sz w:val="20"/>
          <w:szCs w:val="20"/>
          <w:color w:val="auto"/>
        </w:rPr>
      </w:pPr>
    </w:p>
    <w:p>
      <w:pPr>
        <w:jc w:val="both"/>
        <w:ind w:left="644" w:firstLine="223"/>
        <w:spacing w:after="0" w:line="253" w:lineRule="auto"/>
        <w:tabs>
          <w:tab w:leader="none" w:pos="1411"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Non-U.S. Lender claiming the benefits of the exemption for portfolio interest under Section 881(c) of the Code, (x) a certificate, in substantially the form of </w:t>
      </w:r>
      <w:r>
        <w:rPr>
          <w:rFonts w:ascii="Times New Roman" w:cs="Times New Roman" w:eastAsia="Times New Roman" w:hAnsi="Times New Roman"/>
          <w:sz w:val="20"/>
          <w:szCs w:val="20"/>
          <w:u w:val="single" w:color="auto"/>
          <w:color w:val="auto"/>
        </w:rPr>
        <w:t>Exhibit 4.7(d)</w:t>
      </w:r>
      <w:r>
        <w:rPr>
          <w:rFonts w:ascii="Times New Roman" w:cs="Times New Roman" w:eastAsia="Times New Roman" w:hAnsi="Times New Roman"/>
          <w:sz w:val="20"/>
          <w:szCs w:val="20"/>
          <w:color w:val="auto"/>
        </w:rPr>
        <w:t>, to the effect that (i) such Non-U.S. Lender is not (A) a “bank” within the meaning of Section 881(c)(3)(A) of the Code, (B) a “10 percent shareholder” of U.S. Borrower within the meaning of Section 881(c)(3)(B) of the Code, or (C) a “controlled foreign corporation” described in Section 881(c)(3)(C) of the Code, and (ii) interest payments on the Loans are not effectively connected with the Non-U.S. Lender’s conduct of a U.S. trade or business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0584"/>
          </w:cols>
          <w:pgMar w:left="976" w:top="1413" w:right="339" w:bottom="1440" w:gutter="0" w:footer="0" w:header="0"/>
        </w:sectPr>
      </w:pPr>
    </w:p>
    <w:bookmarkStart w:id="281" w:name="page282"/>
    <w:bookmarkEnd w:id="281"/>
    <w:p>
      <w:pPr>
        <w:ind w:left="1300"/>
        <w:spacing w:after="0"/>
        <w:rPr>
          <w:sz w:val="20"/>
          <w:szCs w:val="20"/>
          <w:color w:val="auto"/>
        </w:rPr>
      </w:pPr>
      <w:r>
        <w:rPr>
          <w:rFonts w:ascii="Times New Roman" w:cs="Times New Roman" w:eastAsia="Times New Roman" w:hAnsi="Times New Roman"/>
          <w:sz w:val="20"/>
          <w:szCs w:val="20"/>
          <w:color w:val="auto"/>
        </w:rPr>
        <w:t>executed, properly completed copies of IRS Form W-8BEN or Form W-8BEN-E, as applicable;</w:t>
      </w:r>
    </w:p>
    <w:p>
      <w:pPr>
        <w:spacing w:after="0" w:line="229" w:lineRule="exact"/>
        <w:rPr>
          <w:sz w:val="20"/>
          <w:szCs w:val="20"/>
          <w:color w:val="auto"/>
        </w:rPr>
      </w:pPr>
    </w:p>
    <w:p>
      <w:pPr>
        <w:jc w:val="both"/>
        <w:ind w:left="1300" w:firstLine="327"/>
        <w:spacing w:after="0" w:line="249" w:lineRule="auto"/>
        <w:rPr>
          <w:sz w:val="20"/>
          <w:szCs w:val="20"/>
          <w:color w:val="auto"/>
        </w:rPr>
      </w:pPr>
      <w:r>
        <w:rPr>
          <w:rFonts w:ascii="Times New Roman" w:cs="Times New Roman" w:eastAsia="Times New Roman" w:hAnsi="Times New Roman"/>
          <w:sz w:val="20"/>
          <w:szCs w:val="20"/>
          <w:color w:val="auto"/>
        </w:rPr>
        <w:t xml:space="preserve">(IV)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Form W-8BEN-E, a U.S. Tax Compliance Certificate, Form W-8IMY, or any other required information, or any successor forms, from each beneficial owner that would be required under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if such beneficial owner were a Lender,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Non-U.S. Lender is a partnership for U.S. federal income tax purposes (and not a participating Lender), and one or more beneficial owners are claiming the portfolio interest exemption, the U.S. Tax Compliance Certificate may be provided by such Non-U.S. Lender on behalf of such beneficial owners, provided such certificates are duly executed and properly completed originals), or any other form 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201" w:lineRule="exact"/>
        <w:rPr>
          <w:sz w:val="20"/>
          <w:szCs w:val="20"/>
          <w:color w:val="auto"/>
        </w:rPr>
      </w:pPr>
    </w:p>
    <w:p>
      <w:pPr>
        <w:jc w:val="both"/>
        <w:ind w:left="1300" w:firstLine="318"/>
        <w:spacing w:after="0" w:line="258" w:lineRule="auto"/>
        <w:tabs>
          <w:tab w:leader="none" w:pos="2204"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590" w:val="left"/>
        </w:tabs>
        <w:numPr>
          <w:ilvl w:val="3"/>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182" w:lineRule="exact"/>
        <w:rPr>
          <w:rFonts w:ascii="Times New Roman" w:cs="Times New Roman" w:eastAsia="Times New Roman" w:hAnsi="Times New Roman"/>
          <w:sz w:val="20"/>
          <w:szCs w:val="20"/>
          <w:color w:val="auto"/>
        </w:rPr>
      </w:pPr>
    </w:p>
    <w:p>
      <w:pPr>
        <w:ind w:left="660" w:firstLine="644"/>
        <w:spacing w:after="0"/>
        <w:tabs>
          <w:tab w:leader="none" w:pos="1803"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 Lender shall not be required to deliver any form that such Lender is not legally eligible to deliver.</w:t>
      </w:r>
    </w:p>
    <w:p>
      <w:pPr>
        <w:spacing w:after="0" w:line="161" w:lineRule="exact"/>
        <w:rPr>
          <w:rFonts w:ascii="Times New Roman" w:cs="Times New Roman" w:eastAsia="Times New Roman" w:hAnsi="Times New Roman"/>
          <w:sz w:val="20"/>
          <w:szCs w:val="20"/>
          <w:color w:val="auto"/>
        </w:rPr>
      </w:pPr>
    </w:p>
    <w:p>
      <w:pPr>
        <w:ind w:firstLine="1239"/>
        <w:spacing w:after="0" w:line="283" w:lineRule="auto"/>
        <w:tabs>
          <w:tab w:leader="none" w:pos="176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authorizes each Agent to deliver to the Credit Parties and to any other Agent or successor Agent any documentation provided by such Lender to the Agent pursuant to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40"/>
          </w:cols>
          <w:pgMar w:left="320" w:top="1413" w:right="339" w:bottom="1440" w:gutter="0" w:footer="0" w:header="0"/>
        </w:sectPr>
      </w:pPr>
    </w:p>
    <w:bookmarkStart w:id="282" w:name="page283"/>
    <w:bookmarkEnd w:id="282"/>
    <w:p>
      <w:pPr>
        <w:ind w:left="1300" w:hanging="644"/>
        <w:spacing w:after="0"/>
        <w:tabs>
          <w:tab w:leader="none" w:pos="1300" w:val="left"/>
        </w:tabs>
        <w:numPr>
          <w:ilvl w:val="2"/>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10"/>
        <w:spacing w:after="0" w:line="253" w:lineRule="auto"/>
        <w:tabs>
          <w:tab w:leader="none" w:pos="579"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pacing w:after="0" w:line="178" w:lineRule="exact"/>
        <w:rPr>
          <w:rFonts w:ascii="Times New Roman" w:cs="Times New Roman" w:eastAsia="Times New Roman" w:hAnsi="Times New Roman"/>
          <w:sz w:val="20"/>
          <w:szCs w:val="20"/>
          <w:color w:val="auto"/>
        </w:rPr>
      </w:pPr>
    </w:p>
    <w:p>
      <w:pPr>
        <w:jc w:val="both"/>
        <w:ind w:firstLine="225"/>
        <w:spacing w:after="0" w:line="257" w:lineRule="auto"/>
        <w:tabs>
          <w:tab w:leader="none" w:pos="675"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VAT is or becomes chargeable on any supply made by any Recipient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Supplier</w:t>
      </w:r>
      <w:r>
        <w:rPr>
          <w:rFonts w:ascii="Times New Roman" w:cs="Times New Roman" w:eastAsia="Times New Roman" w:hAnsi="Times New Roman"/>
          <w:sz w:val="20"/>
          <w:szCs w:val="20"/>
          <w:color w:val="auto"/>
        </w:rPr>
        <w:t xml:space="preserve">”) to any other Recipient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xml:space="preserve">”) under a Loan Document, and any party other than the Customer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Relevant Party</w:t>
      </w:r>
      <w:r>
        <w:rPr>
          <w:rFonts w:ascii="Times New Roman" w:cs="Times New Roman" w:eastAsia="Times New Roman" w:hAnsi="Times New Roman"/>
          <w:sz w:val="20"/>
          <w:szCs w:val="20"/>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87" w:val="left"/>
        </w:tabs>
        <w:numPr>
          <w:ilvl w:val="4"/>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Customer must (where this paragraph (A) applies) promptly pay to the Relevant Party an amount equal to any credit or repayment the Customer receives from the relevant tax authority which the Customer reasonably determines relates to the VAT chargeable on that supply;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8" w:val="left"/>
        </w:tabs>
        <w:numPr>
          <w:ilvl w:val="4"/>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01" w:val="left"/>
        </w:tabs>
        <w:numPr>
          <w:ilvl w:val="4"/>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6" w:val="left"/>
        </w:tabs>
        <w:numPr>
          <w:ilvl w:val="4"/>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in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Times New Roman" w:cs="Times New Roman" w:eastAsia="Times New Roman" w:hAnsi="Times New Roman"/>
          <w:sz w:val="20"/>
          <w:szCs w:val="20"/>
          <w:u w:val="single" w:color="auto"/>
          <w:color w:val="auto"/>
        </w:rPr>
        <w:t>representative member</w:t>
      </w:r>
      <w:r>
        <w:rPr>
          <w:rFonts w:ascii="Times New Roman" w:cs="Times New Roman" w:eastAsia="Times New Roman" w:hAnsi="Times New Roman"/>
          <w:sz w:val="20"/>
          <w:szCs w:val="20"/>
          <w:color w:val="auto"/>
        </w:rPr>
        <w:t>” to have the same meaning as in the Value Added Tax Act 1994).</w:t>
      </w:r>
    </w:p>
    <w:p>
      <w:pPr>
        <w:spacing w:after="0" w:line="172" w:lineRule="exact"/>
        <w:rPr>
          <w:rFonts w:ascii="Times New Roman" w:cs="Times New Roman" w:eastAsia="Times New Roman" w:hAnsi="Times New Roman"/>
          <w:sz w:val="20"/>
          <w:szCs w:val="20"/>
          <w:color w:val="auto"/>
        </w:rPr>
      </w:pPr>
    </w:p>
    <w:p>
      <w:pPr>
        <w:jc w:val="both"/>
        <w:ind w:left="660" w:firstLine="224"/>
        <w:spacing w:after="0" w:line="281" w:lineRule="auto"/>
        <w:tabs>
          <w:tab w:leader="none" w:pos="1368" w:val="left"/>
        </w:tabs>
        <w:numPr>
          <w:ilvl w:val="3"/>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any supply made by a Recipient to any Credit Party under a Loan Document, if reasonably requested by such Recipient, such Credit Party must promptly provide such Recipient with details of such Credit Party’s VAT registration and such other information as is reasonably requested in connection with such Lender’s VAT reporting requirements in relation to such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1240"/>
          </w:cols>
          <w:pgMar w:left="320" w:top="1413" w:right="339" w:bottom="1440" w:gutter="0" w:footer="0" w:header="0"/>
        </w:sectPr>
      </w:pPr>
    </w:p>
    <w:bookmarkStart w:id="283" w:name="page284"/>
    <w:bookmarkEnd w:id="283"/>
    <w:p>
      <w:pPr>
        <w:jc w:val="both"/>
        <w:ind w:firstLine="656"/>
        <w:spacing w:after="0" w:line="261" w:lineRule="auto"/>
        <w:tabs>
          <w:tab w:leader="none" w:pos="129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United Kingdom Tax Matters</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shall not apply, and instead the provisions of this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181" w:lineRule="exact"/>
        <w:rPr>
          <w:sz w:val="20"/>
          <w:szCs w:val="20"/>
          <w:color w:val="auto"/>
        </w:rPr>
      </w:pPr>
    </w:p>
    <w:p>
      <w:pPr>
        <w:ind w:left="1560"/>
        <w:spacing w:after="0"/>
        <w:tabs>
          <w:tab w:leader="none" w:pos="19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 xml:space="preserve">Solely for the purposes of this </w:t>
      </w:r>
      <w:r>
        <w:rPr>
          <w:rFonts w:ascii="Times New Roman" w:cs="Times New Roman" w:eastAsia="Times New Roman" w:hAnsi="Times New Roman"/>
          <w:sz w:val="19"/>
          <w:szCs w:val="19"/>
          <w:u w:val="single" w:color="auto"/>
          <w:color w:val="auto"/>
        </w:rPr>
        <w:t>Section 4.7(f)</w:t>
      </w:r>
      <w:r>
        <w:rPr>
          <w:rFonts w:ascii="Times New Roman" w:cs="Times New Roman" w:eastAsia="Times New Roman" w:hAnsi="Times New Roman"/>
          <w:sz w:val="19"/>
          <w:szCs w:val="19"/>
          <w:color w:val="auto"/>
        </w:rPr>
        <w:t>, the following terms shall have the following meanings:</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DTTP Filing</w:t>
      </w:r>
      <w:r>
        <w:rPr>
          <w:rFonts w:ascii="Times New Roman" w:cs="Times New Roman" w:eastAsia="Times New Roman" w:hAnsi="Times New Roman"/>
          <w:sz w:val="20"/>
          <w:szCs w:val="20"/>
          <w:color w:val="auto"/>
        </w:rPr>
        <w:t>” means an HM Revenue &amp; Customs’ Form DTTP2 duly completed and filed by a U.K.</w:t>
      </w:r>
    </w:p>
    <w:p>
      <w:pPr>
        <w:spacing w:after="0" w:line="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Borrower, which:</w:t>
      </w:r>
    </w:p>
    <w:p>
      <w:pPr>
        <w:spacing w:after="0" w:line="214" w:lineRule="exact"/>
        <w:rPr>
          <w:sz w:val="20"/>
          <w:szCs w:val="20"/>
          <w:color w:val="auto"/>
        </w:rPr>
      </w:pPr>
    </w:p>
    <w:p>
      <w:pPr>
        <w:jc w:val="both"/>
        <w:ind w:left="1380" w:firstLine="653"/>
        <w:spacing w:after="0" w:line="261" w:lineRule="auto"/>
        <w:tabs>
          <w:tab w:leader="none" w:pos="2597" w:val="left"/>
        </w:tabs>
        <w:numPr>
          <w:ilvl w:val="4"/>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becomes a Lender on the date of this Agreement is entered into, contains the scheme reference number and jurisdiction of tax residence notified by the Lender to the Administrative Agent, and</w:t>
      </w:r>
    </w:p>
    <w:p>
      <w:pPr>
        <w:spacing w:after="0" w:line="167" w:lineRule="exact"/>
        <w:rPr>
          <w:rFonts w:ascii="Times New Roman" w:cs="Times New Roman" w:eastAsia="Times New Roman" w:hAnsi="Times New Roman"/>
          <w:sz w:val="20"/>
          <w:szCs w:val="20"/>
          <w:color w:val="auto"/>
        </w:rPr>
      </w:pPr>
    </w:p>
    <w:p>
      <w:pPr>
        <w:ind w:left="2000" w:hanging="411"/>
        <w:spacing w:after="0"/>
        <w:tabs>
          <w:tab w:leader="none" w:pos="200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U.K. Borrower becomes a Borrower on the date this Agreement is entered into, is filed with HM Revenue</w:t>
      </w:r>
    </w:p>
    <w:p>
      <w:pPr>
        <w:spacing w:after="0" w:line="39" w:lineRule="exact"/>
        <w:rPr>
          <w:rFonts w:ascii="Times New Roman" w:cs="Times New Roman" w:eastAsia="Times New Roman" w:hAnsi="Times New Roman"/>
          <w:sz w:val="19"/>
          <w:szCs w:val="19"/>
          <w:color w:val="auto"/>
        </w:rPr>
      </w:pPr>
    </w:p>
    <w:p>
      <w:pPr>
        <w:ind w:left="1580" w:hanging="195"/>
        <w:spacing w:after="0"/>
        <w:tabs>
          <w:tab w:leader="none" w:pos="15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Customs within 30 days of the date of this Agreement; or</w:t>
      </w:r>
    </w:p>
    <w:p>
      <w:pPr>
        <w:spacing w:after="0" w:line="213" w:lineRule="exact"/>
        <w:rPr>
          <w:rFonts w:ascii="Times New Roman" w:cs="Times New Roman" w:eastAsia="Times New Roman" w:hAnsi="Times New Roman"/>
          <w:sz w:val="20"/>
          <w:szCs w:val="20"/>
          <w:color w:val="auto"/>
        </w:rPr>
      </w:pPr>
    </w:p>
    <w:p>
      <w:pPr>
        <w:ind w:left="1380" w:right="20" w:firstLine="288"/>
        <w:spacing w:after="0" w:line="269" w:lineRule="auto"/>
        <w:tabs>
          <w:tab w:leader="none" w:pos="2210" w:val="left"/>
        </w:tabs>
        <w:numPr>
          <w:ilvl w:val="3"/>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becomes a Borrower after the date this Agreement is entered into, is filed with HM Revenue &amp; Customs within 30 days of the date on which that U.K. Borrower becomes a Borrower; or</w:t>
      </w:r>
    </w:p>
    <w:p>
      <w:pPr>
        <w:spacing w:after="0" w:line="172" w:lineRule="exact"/>
        <w:rPr>
          <w:rFonts w:ascii="Times New Roman" w:cs="Times New Roman" w:eastAsia="Times New Roman" w:hAnsi="Times New Roman"/>
          <w:sz w:val="20"/>
          <w:szCs w:val="20"/>
          <w:color w:val="auto"/>
        </w:rPr>
      </w:pPr>
    </w:p>
    <w:p>
      <w:pPr>
        <w:jc w:val="both"/>
        <w:ind w:left="1380" w:firstLine="653"/>
        <w:spacing w:after="0" w:line="261" w:lineRule="auto"/>
        <w:tabs>
          <w:tab w:leader="none" w:pos="2603" w:val="left"/>
        </w:tabs>
        <w:numPr>
          <w:ilvl w:val="4"/>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181" w:lineRule="exact"/>
        <w:rPr>
          <w:rFonts w:ascii="Times New Roman" w:cs="Times New Roman" w:eastAsia="Times New Roman" w:hAnsi="Times New Roman"/>
          <w:sz w:val="20"/>
          <w:szCs w:val="20"/>
          <w:color w:val="auto"/>
        </w:rPr>
      </w:pPr>
    </w:p>
    <w:p>
      <w:pPr>
        <w:ind w:left="1380" w:firstLine="240"/>
        <w:spacing w:after="0" w:line="269" w:lineRule="auto"/>
        <w:tabs>
          <w:tab w:leader="none" w:pos="2048"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a Borrower as at the date on which the Treaty Lender becomes a Lender, is filed with HM Revenue &amp; Customs within 30 days of that date; or</w:t>
      </w:r>
    </w:p>
    <w:p>
      <w:pPr>
        <w:spacing w:after="0" w:line="173" w:lineRule="exact"/>
        <w:rPr>
          <w:sz w:val="20"/>
          <w:szCs w:val="20"/>
          <w:color w:val="auto"/>
        </w:rPr>
      </w:pPr>
    </w:p>
    <w:p>
      <w:pPr>
        <w:ind w:left="1380" w:right="20" w:firstLine="244"/>
        <w:spacing w:after="0" w:line="269" w:lineRule="auto"/>
        <w:tabs>
          <w:tab w:leader="none" w:pos="212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not a Borrower as at the date on which the Treaty Lender becomes a Lender, is filed with HM Revenue &amp; Customs within 30 days of the date on which that U.K. Borrower becomes a Borrower.</w:t>
      </w:r>
    </w:p>
    <w:p>
      <w:pPr>
        <w:spacing w:after="0" w:line="17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80" w:firstLine="653"/>
        <w:spacing w:after="0" w:line="283" w:lineRule="auto"/>
        <w:tabs>
          <w:tab w:leader="none" w:pos="257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beneficially entitled to interest payable to that Lender in respect of an advance under a Loan Document to a U.K. Borrower and is:</w:t>
      </w:r>
    </w:p>
    <w:p>
      <w:pPr>
        <w:spacing w:after="0" w:line="159" w:lineRule="exact"/>
        <w:rPr>
          <w:rFonts w:ascii="Times New Roman" w:cs="Times New Roman" w:eastAsia="Times New Roman" w:hAnsi="Times New Roman"/>
          <w:sz w:val="20"/>
          <w:szCs w:val="20"/>
          <w:color w:val="auto"/>
        </w:rPr>
      </w:pPr>
    </w:p>
    <w:p>
      <w:pPr>
        <w:ind w:left="1980" w:hanging="397"/>
        <w:spacing w:after="0"/>
        <w:tabs>
          <w:tab w:leader="none" w:pos="19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216" w:lineRule="exact"/>
        <w:rPr>
          <w:sz w:val="20"/>
          <w:szCs w:val="20"/>
          <w:color w:val="auto"/>
        </w:rPr>
      </w:pPr>
    </w:p>
    <w:p>
      <w:pPr>
        <w:jc w:val="both"/>
        <w:ind w:left="1380" w:firstLine="653"/>
        <w:spacing w:after="0" w:line="258" w:lineRule="auto"/>
        <w:tabs>
          <w:tab w:leader="none" w:pos="25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ITA-UK) making an advance to a U.K. Borrower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1240"/>
          </w:cols>
          <w:pgMar w:left="320" w:top="1413" w:right="339" w:bottom="1440" w:gutter="0" w:footer="0" w:header="0"/>
        </w:sectPr>
      </w:pPr>
    </w:p>
    <w:bookmarkStart w:id="284" w:name="page285"/>
    <w:bookmarkEnd w:id="284"/>
    <w:p>
      <w:pPr>
        <w:jc w:val="both"/>
        <w:ind w:left="260" w:right="20" w:firstLine="653"/>
        <w:spacing w:after="0" w:line="261" w:lineRule="auto"/>
        <w:tabs>
          <w:tab w:leader="none" w:pos="1386"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181" w:lineRule="exact"/>
        <w:rPr>
          <w:rFonts w:ascii="Times New Roman" w:cs="Times New Roman" w:eastAsia="Times New Roman" w:hAnsi="Times New Roman"/>
          <w:sz w:val="20"/>
          <w:szCs w:val="20"/>
          <w:color w:val="auto"/>
        </w:rPr>
      </w:pPr>
    </w:p>
    <w:p>
      <w:pPr>
        <w:ind w:left="920" w:hanging="457"/>
        <w:spacing w:after="0"/>
        <w:tabs>
          <w:tab w:leader="none" w:pos="9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215" w:lineRule="exact"/>
        <w:rPr>
          <w:rFonts w:ascii="Times New Roman" w:cs="Times New Roman" w:eastAsia="Times New Roman" w:hAnsi="Times New Roman"/>
          <w:sz w:val="20"/>
          <w:szCs w:val="20"/>
          <w:color w:val="auto"/>
        </w:rPr>
      </w:pPr>
    </w:p>
    <w:p>
      <w:pPr>
        <w:ind w:left="1340" w:hanging="427"/>
        <w:spacing w:after="0"/>
        <w:tabs>
          <w:tab w:leader="none" w:pos="13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229" w:lineRule="exact"/>
        <w:rPr>
          <w:rFonts w:ascii="Times New Roman" w:cs="Times New Roman" w:eastAsia="Times New Roman" w:hAnsi="Times New Roman"/>
          <w:sz w:val="20"/>
          <w:szCs w:val="20"/>
          <w:color w:val="auto"/>
        </w:rPr>
      </w:pPr>
    </w:p>
    <w:p>
      <w:pPr>
        <w:ind w:left="1340" w:hanging="427"/>
        <w:spacing w:after="0"/>
        <w:tabs>
          <w:tab w:leader="none" w:pos="13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29" w:lineRule="exact"/>
        <w:rPr>
          <w:sz w:val="20"/>
          <w:szCs w:val="20"/>
          <w:color w:val="auto"/>
        </w:rPr>
      </w:pPr>
    </w:p>
    <w:p>
      <w:pPr>
        <w:ind w:left="1340" w:hanging="427"/>
        <w:spacing w:after="0"/>
        <w:tabs>
          <w:tab w:leader="none" w:pos="13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15" w:lineRule="exact"/>
        <w:rPr>
          <w:rFonts w:ascii="Times New Roman" w:cs="Times New Roman" w:eastAsia="Times New Roman" w:hAnsi="Times New Roman"/>
          <w:sz w:val="20"/>
          <w:szCs w:val="20"/>
          <w:color w:val="auto"/>
        </w:rPr>
      </w:pPr>
    </w:p>
    <w:p>
      <w:pPr>
        <w:jc w:val="both"/>
        <w:ind w:left="260" w:firstLine="653"/>
        <w:spacing w:after="0" w:line="258" w:lineRule="auto"/>
        <w:tabs>
          <w:tab w:leader="none" w:pos="137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86" w:lineRule="exact"/>
        <w:rPr>
          <w:sz w:val="20"/>
          <w:szCs w:val="20"/>
          <w:color w:val="auto"/>
        </w:rPr>
      </w:pPr>
    </w:p>
    <w:p>
      <w:pPr>
        <w:jc w:val="both"/>
        <w:ind w:left="260" w:firstLine="653"/>
        <w:spacing w:after="0" w:line="261" w:lineRule="auto"/>
        <w:tabs>
          <w:tab w:leader="none" w:pos="1372"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67" w:lineRule="exact"/>
        <w:rPr>
          <w:rFonts w:ascii="Times New Roman" w:cs="Times New Roman" w:eastAsia="Times New Roman" w:hAnsi="Times New Roman"/>
          <w:sz w:val="20"/>
          <w:szCs w:val="20"/>
          <w:color w:val="auto"/>
        </w:rPr>
      </w:pPr>
    </w:p>
    <w:p>
      <w:pPr>
        <w:ind w:left="1000" w:hanging="537"/>
        <w:spacing w:after="0"/>
        <w:tabs>
          <w:tab w:leader="none" w:pos="10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29" w:lineRule="exact"/>
        <w:rPr>
          <w:sz w:val="20"/>
          <w:szCs w:val="20"/>
          <w:color w:val="auto"/>
        </w:rPr>
      </w:pPr>
    </w:p>
    <w:p>
      <w:pPr>
        <w:ind w:left="260" w:firstLine="653"/>
        <w:spacing w:after="0" w:line="283" w:lineRule="auto"/>
        <w:tabs>
          <w:tab w:leader="none" w:pos="142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a building society (as defined for the purpose of Section 880 of the ITA-UK) making an advance under a Loan Document.</w:t>
      </w:r>
    </w:p>
    <w:p>
      <w:pPr>
        <w:spacing w:after="0" w:line="146" w:lineRule="exact"/>
        <w:rPr>
          <w:sz w:val="20"/>
          <w:szCs w:val="20"/>
          <w:color w:val="auto"/>
        </w:rPr>
      </w:pPr>
    </w:p>
    <w:p>
      <w:pPr>
        <w:ind w:left="2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to a U.K. Borrower is either:</w:t>
      </w:r>
    </w:p>
    <w:p>
      <w:pPr>
        <w:spacing w:after="0" w:line="146" w:lineRule="exact"/>
        <w:rPr>
          <w:sz w:val="20"/>
          <w:szCs w:val="20"/>
          <w:color w:val="auto"/>
        </w:rPr>
      </w:pPr>
    </w:p>
    <w:p>
      <w:pPr>
        <w:ind w:left="1380" w:hanging="467"/>
        <w:spacing w:after="0"/>
        <w:tabs>
          <w:tab w:leader="none" w:pos="1380"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229" w:lineRule="exact"/>
        <w:rPr>
          <w:rFonts w:ascii="Times New Roman" w:cs="Times New Roman" w:eastAsia="Times New Roman" w:hAnsi="Times New Roman"/>
          <w:sz w:val="20"/>
          <w:szCs w:val="20"/>
          <w:color w:val="auto"/>
        </w:rPr>
      </w:pPr>
    </w:p>
    <w:p>
      <w:pPr>
        <w:ind w:left="1380" w:hanging="467"/>
        <w:spacing w:after="0"/>
        <w:tabs>
          <w:tab w:leader="none" w:pos="1380"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15" w:lineRule="exact"/>
        <w:rPr>
          <w:rFonts w:ascii="Times New Roman" w:cs="Times New Roman" w:eastAsia="Times New Roman" w:hAnsi="Times New Roman"/>
          <w:sz w:val="20"/>
          <w:szCs w:val="20"/>
          <w:color w:val="auto"/>
        </w:rPr>
      </w:pPr>
    </w:p>
    <w:p>
      <w:pPr>
        <w:ind w:left="860" w:hanging="397"/>
        <w:spacing w:after="0"/>
        <w:tabs>
          <w:tab w:leader="none" w:pos="8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29" w:lineRule="exact"/>
        <w:rPr>
          <w:rFonts w:ascii="Times New Roman" w:cs="Times New Roman" w:eastAsia="Times New Roman" w:hAnsi="Times New Roman"/>
          <w:sz w:val="20"/>
          <w:szCs w:val="20"/>
          <w:color w:val="auto"/>
        </w:rPr>
      </w:pPr>
    </w:p>
    <w:p>
      <w:pPr>
        <w:jc w:val="both"/>
        <w:ind w:left="260" w:firstLine="295"/>
        <w:spacing w:after="0" w:line="258" w:lineRule="auto"/>
        <w:tabs>
          <w:tab w:leader="none" w:pos="1103"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72" w:lineRule="exact"/>
        <w:rPr>
          <w:rFonts w:ascii="Times New Roman" w:cs="Times New Roman" w:eastAsia="Times New Roman" w:hAnsi="Times New Roman"/>
          <w:sz w:val="20"/>
          <w:szCs w:val="20"/>
          <w:color w:val="auto"/>
        </w:rPr>
      </w:pPr>
    </w:p>
    <w:p>
      <w:pPr>
        <w:ind w:left="260" w:firstLine="653"/>
        <w:spacing w:after="0" w:line="283" w:lineRule="auto"/>
        <w:tabs>
          <w:tab w:leader="none" w:pos="1400"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157</w:t>
      </w:r>
    </w:p>
    <w:p>
      <w:pPr>
        <w:sectPr>
          <w:pgSz w:w="11900" w:h="16838" w:orient="portrait"/>
          <w:cols w:equalWidth="0" w:num="1">
            <w:col w:w="10120"/>
          </w:cols>
          <w:pgMar w:left="1440" w:top="1413" w:right="339" w:bottom="1440" w:gutter="0" w:footer="0" w:header="0"/>
        </w:sectPr>
      </w:pPr>
    </w:p>
    <w:bookmarkStart w:id="285" w:name="page286"/>
    <w:bookmarkEnd w:id="285"/>
    <w:p>
      <w:pPr>
        <w:ind w:left="260" w:right="20"/>
        <w:spacing w:after="0" w:line="283" w:lineRule="auto"/>
        <w:rPr>
          <w:sz w:val="20"/>
          <w:szCs w:val="20"/>
          <w:color w:val="auto"/>
        </w:rPr>
      </w:pPr>
      <w:r>
        <w:rPr>
          <w:rFonts w:ascii="Times New Roman" w:cs="Times New Roman" w:eastAsia="Times New Roman" w:hAnsi="Times New Roman"/>
          <w:sz w:val="20"/>
          <w:szCs w:val="20"/>
          <w:color w:val="auto"/>
        </w:rPr>
        <w:t>account interest payable in respect of that advance in computing the chargeable profits (within the meaning of Section 19 of the CTA) of that company.</w:t>
      </w:r>
    </w:p>
    <w:p>
      <w:pPr>
        <w:spacing w:after="0" w:line="146" w:lineRule="exact"/>
        <w:rPr>
          <w:sz w:val="20"/>
          <w:szCs w:val="20"/>
          <w:color w:val="auto"/>
        </w:rPr>
      </w:pPr>
    </w:p>
    <w:p>
      <w:pPr>
        <w:ind w:left="2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Deduction</w:t>
      </w:r>
      <w:r>
        <w:rPr>
          <w:rFonts w:ascii="Times New Roman" w:cs="Times New Roman" w:eastAsia="Times New Roman" w:hAnsi="Times New Roman"/>
          <w:sz w:val="20"/>
          <w:szCs w:val="20"/>
          <w:color w:val="auto"/>
        </w:rPr>
        <w:t>” means a deduction or withholding for or on account of Taxes from a payment under a Loan Document, other than a deduction under FATCA.</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Lender which:</w:t>
      </w:r>
    </w:p>
    <w:p>
      <w:pPr>
        <w:spacing w:after="0" w:line="229" w:lineRule="exact"/>
        <w:rPr>
          <w:sz w:val="20"/>
          <w:szCs w:val="20"/>
          <w:color w:val="auto"/>
        </w:rPr>
      </w:pPr>
    </w:p>
    <w:p>
      <w:pPr>
        <w:ind w:left="1380" w:hanging="467"/>
        <w:spacing w:after="0"/>
        <w:tabs>
          <w:tab w:leader="none" w:pos="13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the relevant Treaty;</w:t>
      </w:r>
    </w:p>
    <w:p>
      <w:pPr>
        <w:spacing w:after="0" w:line="229" w:lineRule="exact"/>
        <w:rPr>
          <w:rFonts w:ascii="Times New Roman" w:cs="Times New Roman" w:eastAsia="Times New Roman" w:hAnsi="Times New Roman"/>
          <w:sz w:val="20"/>
          <w:szCs w:val="20"/>
          <w:color w:val="auto"/>
        </w:rPr>
      </w:pPr>
    </w:p>
    <w:p>
      <w:pPr>
        <w:ind w:left="260" w:firstLine="653"/>
        <w:spacing w:after="0" w:line="269" w:lineRule="auto"/>
        <w:tabs>
          <w:tab w:leader="none" w:pos="147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a Loan to a U.K. Borrower is effectively connected; and</w:t>
      </w:r>
    </w:p>
    <w:p>
      <w:pPr>
        <w:spacing w:after="0" w:line="172" w:lineRule="exact"/>
        <w:rPr>
          <w:rFonts w:ascii="Times New Roman" w:cs="Times New Roman" w:eastAsia="Times New Roman" w:hAnsi="Times New Roman"/>
          <w:sz w:val="20"/>
          <w:szCs w:val="20"/>
          <w:color w:val="auto"/>
        </w:rPr>
      </w:pPr>
    </w:p>
    <w:p>
      <w:pPr>
        <w:jc w:val="both"/>
        <w:ind w:left="260" w:firstLine="653"/>
        <w:spacing w:after="0" w:line="253" w:lineRule="auto"/>
        <w:tabs>
          <w:tab w:leader="none" w:pos="150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179" w:lineRule="exact"/>
        <w:rPr>
          <w:sz w:val="20"/>
          <w:szCs w:val="20"/>
          <w:color w:val="auto"/>
        </w:rPr>
      </w:pPr>
    </w:p>
    <w:p>
      <w:pPr>
        <w:ind w:left="2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double taxation agreement with the United Kingdom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which makes provision for full exemption from tax imposed by the United Kingdom on interest.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260" w:firstLine="653"/>
        <w:spacing w:after="0" w:line="261" w:lineRule="auto"/>
        <w:tabs>
          <w:tab w:leader="none" w:pos="1429"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181" w:lineRule="exact"/>
        <w:rPr>
          <w:rFonts w:ascii="Times New Roman" w:cs="Times New Roman" w:eastAsia="Times New Roman" w:hAnsi="Times New Roman"/>
          <w:sz w:val="20"/>
          <w:szCs w:val="20"/>
          <w:color w:val="auto"/>
        </w:rPr>
      </w:pPr>
    </w:p>
    <w:p>
      <w:pPr>
        <w:ind w:left="260" w:right="20" w:firstLine="653"/>
        <w:spacing w:after="0" w:line="269" w:lineRule="auto"/>
        <w:tabs>
          <w:tab w:leader="none" w:pos="1448"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Lender becomes a Lender after the day on which this Agreement is entered into, a Lender which gives a Tax Confirmation in the Assignment and Assumption Agreement which it executes on becoming a Lender.</w:t>
      </w:r>
    </w:p>
    <w:p>
      <w:pPr>
        <w:spacing w:after="0" w:line="172" w:lineRule="exact"/>
        <w:rPr>
          <w:rFonts w:ascii="Times New Roman" w:cs="Times New Roman" w:eastAsia="Times New Roman" w:hAnsi="Times New Roman"/>
          <w:sz w:val="20"/>
          <w:szCs w:val="20"/>
          <w:color w:val="auto"/>
        </w:rPr>
      </w:pPr>
    </w:p>
    <w:p>
      <w:pPr>
        <w:ind w:left="820" w:hanging="377"/>
        <w:spacing w:after="0"/>
        <w:tabs>
          <w:tab w:leader="none" w:pos="8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gross-up with respect to any advance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467"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under any Loan Document, with respect to any Loan to a U.K. Borrower or in respect of any Letter of Credit issued with respect to any U.K. Borrower, shall be made without any Tax Deduction, unless a Tax Deduction is required by law.</w:t>
      </w:r>
    </w:p>
    <w:p>
      <w:pPr>
        <w:spacing w:after="0" w:line="167"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47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shall promptly upon becoming aware that it must make a Tax Deduction (or that there is any change in the rate or the basis of a Tax Deduction) notify the Administrative Agent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158</w:t>
      </w:r>
    </w:p>
    <w:p>
      <w:pPr>
        <w:sectPr>
          <w:pgSz w:w="11900" w:h="16838" w:orient="portrait"/>
          <w:cols w:equalWidth="0" w:num="1">
            <w:col w:w="10120"/>
          </w:cols>
          <w:pgMar w:left="1440" w:top="1413" w:right="339" w:bottom="1440" w:gutter="0" w:footer="0" w:header="0"/>
        </w:sectPr>
      </w:pPr>
    </w:p>
    <w:bookmarkStart w:id="286" w:name="page287"/>
    <w:bookmarkEnd w:id="286"/>
    <w:p>
      <w:pPr>
        <w:jc w:val="both"/>
        <w:ind w:left="180" w:firstLine="652"/>
        <w:spacing w:after="0" w:line="261" w:lineRule="auto"/>
        <w:tabs>
          <w:tab w:leader="none" w:pos="147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181"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46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172" w:lineRule="exact"/>
        <w:rPr>
          <w:rFonts w:ascii="Times New Roman" w:cs="Times New Roman" w:eastAsia="Times New Roman" w:hAnsi="Times New Roman"/>
          <w:sz w:val="20"/>
          <w:szCs w:val="20"/>
          <w:color w:val="auto"/>
        </w:rPr>
      </w:pPr>
    </w:p>
    <w:p>
      <w:pPr>
        <w:jc w:val="both"/>
        <w:ind w:left="840" w:firstLine="210"/>
        <w:spacing w:after="0" w:line="257" w:lineRule="auto"/>
        <w:tabs>
          <w:tab w:leader="none" w:pos="1473"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72" w:lineRule="exact"/>
        <w:rPr>
          <w:rFonts w:ascii="Times New Roman" w:cs="Times New Roman" w:eastAsia="Times New Roman" w:hAnsi="Times New Roman"/>
          <w:sz w:val="20"/>
          <w:szCs w:val="20"/>
          <w:color w:val="auto"/>
        </w:rPr>
      </w:pPr>
    </w:p>
    <w:p>
      <w:pPr>
        <w:ind w:left="840" w:right="20" w:firstLine="320"/>
        <w:spacing w:after="0" w:line="283" w:lineRule="auto"/>
        <w:tabs>
          <w:tab w:leader="none" w:pos="1760"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46" w:lineRule="exact"/>
        <w:rPr>
          <w:rFonts w:ascii="Times New Roman" w:cs="Times New Roman" w:eastAsia="Times New Roman" w:hAnsi="Times New Roman"/>
          <w:sz w:val="20"/>
          <w:szCs w:val="20"/>
          <w:color w:val="auto"/>
        </w:rPr>
      </w:pPr>
    </w:p>
    <w:p>
      <w:pPr>
        <w:jc w:val="both"/>
        <w:ind w:left="1480" w:firstLine="648"/>
        <w:spacing w:after="0" w:line="258" w:lineRule="auto"/>
        <w:tabs>
          <w:tab w:leader="none" w:pos="2645" w:val="left"/>
        </w:tabs>
        <w:numPr>
          <w:ilvl w:val="3"/>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 of H.M. Revenue &amp; Customs has given (and not revoked) a direction (solely for purposes of this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a “Direction”) under Section 931 of the ITA-UK which relates to the payment and that Lender has received from the U.K. Borrower making the payment a certified copy of that Direction; and</w:t>
      </w:r>
    </w:p>
    <w:p>
      <w:pPr>
        <w:spacing w:after="0" w:line="185" w:lineRule="exact"/>
        <w:rPr>
          <w:rFonts w:ascii="Times New Roman" w:cs="Times New Roman" w:eastAsia="Times New Roman" w:hAnsi="Times New Roman"/>
          <w:sz w:val="20"/>
          <w:szCs w:val="20"/>
          <w:color w:val="auto"/>
        </w:rPr>
      </w:pPr>
    </w:p>
    <w:p>
      <w:pPr>
        <w:ind w:left="1480" w:firstLine="648"/>
        <w:spacing w:after="0" w:line="269" w:lineRule="auto"/>
        <w:tabs>
          <w:tab w:leader="none" w:pos="2588" w:val="left"/>
        </w:tabs>
        <w:numPr>
          <w:ilvl w:val="3"/>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that Direction had not been made; or</w:t>
      </w:r>
    </w:p>
    <w:p>
      <w:pPr>
        <w:spacing w:after="0" w:line="173" w:lineRule="exact"/>
        <w:rPr>
          <w:sz w:val="20"/>
          <w:szCs w:val="20"/>
          <w:color w:val="auto"/>
        </w:rPr>
      </w:pPr>
    </w:p>
    <w:p>
      <w:pPr>
        <w:ind w:left="840" w:right="20" w:firstLine="309"/>
        <w:spacing w:after="0" w:line="269" w:lineRule="auto"/>
        <w:tabs>
          <w:tab w:leader="none" w:pos="180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72" w:lineRule="exact"/>
        <w:rPr>
          <w:rFonts w:ascii="Times New Roman" w:cs="Times New Roman" w:eastAsia="Times New Roman" w:hAnsi="Times New Roman"/>
          <w:sz w:val="20"/>
          <w:szCs w:val="20"/>
          <w:color w:val="auto"/>
        </w:rPr>
      </w:pPr>
    </w:p>
    <w:p>
      <w:pPr>
        <w:ind w:left="2560" w:hanging="432"/>
        <w:spacing w:after="0"/>
        <w:tabs>
          <w:tab w:leader="none" w:pos="256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Tax Confirmation to the U.K. Borrower; and</w:t>
      </w:r>
    </w:p>
    <w:p>
      <w:pPr>
        <w:spacing w:after="0" w:line="229" w:lineRule="exact"/>
        <w:rPr>
          <w:rFonts w:ascii="Times New Roman" w:cs="Times New Roman" w:eastAsia="Times New Roman" w:hAnsi="Times New Roman"/>
          <w:sz w:val="20"/>
          <w:szCs w:val="20"/>
          <w:color w:val="auto"/>
        </w:rPr>
      </w:pPr>
    </w:p>
    <w:p>
      <w:pPr>
        <w:jc w:val="both"/>
        <w:ind w:left="1480" w:firstLine="648"/>
        <w:spacing w:after="0" w:line="254" w:lineRule="auto"/>
        <w:tabs>
          <w:tab w:leader="none" w:pos="2567"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187" w:lineRule="exact"/>
        <w:rPr>
          <w:sz w:val="20"/>
          <w:szCs w:val="20"/>
          <w:color w:val="auto"/>
        </w:rPr>
      </w:pPr>
    </w:p>
    <w:p>
      <w:pPr>
        <w:jc w:val="both"/>
        <w:ind w:left="840" w:firstLine="230"/>
        <w:spacing w:after="0" w:line="261" w:lineRule="auto"/>
        <w:rPr>
          <w:sz w:val="20"/>
          <w:szCs w:val="20"/>
          <w:color w:val="auto"/>
        </w:rPr>
      </w:pPr>
      <w:r>
        <w:rPr>
          <w:rFonts w:ascii="Times New Roman" w:cs="Times New Roman" w:eastAsia="Times New Roman" w:hAnsi="Times New Roman"/>
          <w:sz w:val="20"/>
          <w:szCs w:val="20"/>
          <w:color w:val="auto"/>
        </w:rPr>
        <w:t>(IV) the relevant Lender is a Treaty Lender and the U.K. Borrower making the payment is able to demonstrate that the payment could have been made to the Lender without the Tax Deduction had that Lender complied with its obligations under paragraph (G) or (H) (as applicable)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159</w:t>
      </w:r>
    </w:p>
    <w:p>
      <w:pPr>
        <w:sectPr>
          <w:pgSz w:w="11900" w:h="16838" w:orient="portrait"/>
          <w:cols w:equalWidth="0" w:num="1">
            <w:col w:w="10120"/>
          </w:cols>
          <w:pgMar w:left="1440" w:top="1413" w:right="339" w:bottom="1440" w:gutter="0" w:footer="0" w:header="0"/>
        </w:sectPr>
      </w:pPr>
    </w:p>
    <w:bookmarkStart w:id="287" w:name="page288"/>
    <w:bookmarkEnd w:id="287"/>
    <w:p>
      <w:pPr>
        <w:jc w:val="both"/>
        <w:ind w:left="640" w:firstLine="652"/>
        <w:spacing w:after="0" w:line="261" w:lineRule="auto"/>
        <w:tabs>
          <w:tab w:leader="none" w:pos="193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U.K. Borrower is required to make a Tax Deduction, that U.K. Borrower shall make that Tax Deduction and any payment required in connection with that Tax Deduction within the time allowed and in the minimum amount required by law.</w:t>
      </w:r>
    </w:p>
    <w:p>
      <w:pPr>
        <w:spacing w:after="0" w:line="181"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93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191" w:lineRule="exact"/>
        <w:rPr>
          <w:rFonts w:ascii="Times New Roman" w:cs="Times New Roman" w:eastAsia="Times New Roman" w:hAnsi="Times New Roman"/>
          <w:sz w:val="20"/>
          <w:szCs w:val="20"/>
          <w:color w:val="auto"/>
        </w:rPr>
      </w:pPr>
    </w:p>
    <w:p>
      <w:pPr>
        <w:jc w:val="both"/>
        <w:ind w:left="640" w:firstLine="652"/>
        <w:spacing w:after="0" w:line="261" w:lineRule="auto"/>
        <w:tabs>
          <w:tab w:leader="none" w:pos="192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181" w:lineRule="exact"/>
        <w:rPr>
          <w:rFonts w:ascii="Times New Roman" w:cs="Times New Roman" w:eastAsia="Times New Roman" w:hAnsi="Times New Roman"/>
          <w:sz w:val="20"/>
          <w:szCs w:val="20"/>
          <w:color w:val="auto"/>
        </w:rPr>
      </w:pPr>
    </w:p>
    <w:p>
      <w:pPr>
        <w:jc w:val="both"/>
        <w:ind w:left="1300" w:firstLine="204"/>
        <w:spacing w:after="0" w:line="253" w:lineRule="auto"/>
        <w:tabs>
          <w:tab w:leader="none" w:pos="1987"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heading “Amount of Multicurrency Revolving Commitment”; and</w:t>
      </w:r>
    </w:p>
    <w:p>
      <w:pPr>
        <w:spacing w:after="0" w:line="191" w:lineRule="exact"/>
        <w:rPr>
          <w:rFonts w:ascii="Times New Roman" w:cs="Times New Roman" w:eastAsia="Times New Roman" w:hAnsi="Times New Roman"/>
          <w:sz w:val="20"/>
          <w:szCs w:val="20"/>
          <w:color w:val="auto"/>
        </w:rPr>
      </w:pPr>
    </w:p>
    <w:p>
      <w:pPr>
        <w:jc w:val="both"/>
        <w:ind w:left="1940" w:firstLine="219"/>
        <w:spacing w:after="0" w:line="254" w:lineRule="auto"/>
        <w:tabs>
          <w:tab w:leader="none" w:pos="2610"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having done so, that Lender shall be under no obligation pursuant to paragraph (G)(I) above.</w:t>
      </w:r>
    </w:p>
    <w:p>
      <w:pPr>
        <w:spacing w:after="0" w:line="216" w:lineRule="exact"/>
        <w:rPr>
          <w:sz w:val="20"/>
          <w:szCs w:val="20"/>
          <w:color w:val="auto"/>
        </w:rPr>
      </w:pPr>
    </w:p>
    <w:p>
      <w:pPr>
        <w:jc w:val="both"/>
        <w:ind w:left="640" w:firstLine="652"/>
        <w:spacing w:after="0" w:line="268" w:lineRule="auto"/>
        <w:tabs>
          <w:tab w:leader="none" w:pos="192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confirmed its scheme reference number and its jurisdiction of tax residence in accordance with paragraph (G)(II) above and a U.K. Borrower making a payment to that Lender has made a Borrower DTTP Filing in respect of that Lender but:</w:t>
      </w:r>
    </w:p>
    <w:p>
      <w:pPr>
        <w:spacing w:after="0" w:line="161" w:lineRule="exact"/>
        <w:rPr>
          <w:rFonts w:ascii="Times New Roman" w:cs="Times New Roman" w:eastAsia="Times New Roman" w:hAnsi="Times New Roman"/>
          <w:sz w:val="20"/>
          <w:szCs w:val="20"/>
          <w:color w:val="auto"/>
        </w:rPr>
      </w:pPr>
    </w:p>
    <w:p>
      <w:pPr>
        <w:ind w:left="2360" w:hanging="420"/>
        <w:spacing w:after="0"/>
        <w:tabs>
          <w:tab w:leader="none" w:pos="236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Borrower DTTP Filing has been rejected by HM Revenue &amp; Customs; or</w:t>
      </w:r>
    </w:p>
    <w:p>
      <w:pPr>
        <w:spacing w:after="0" w:line="229" w:lineRule="exact"/>
        <w:rPr>
          <w:rFonts w:ascii="Times New Roman" w:cs="Times New Roman" w:eastAsia="Times New Roman" w:hAnsi="Times New Roman"/>
          <w:sz w:val="20"/>
          <w:szCs w:val="20"/>
          <w:color w:val="auto"/>
        </w:rPr>
      </w:pPr>
    </w:p>
    <w:p>
      <w:pPr>
        <w:ind w:left="1300" w:firstLine="640"/>
        <w:spacing w:after="0" w:line="269" w:lineRule="auto"/>
        <w:tabs>
          <w:tab w:leader="none" w:pos="2406"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HM Revenue &amp; Customs has not given the U.K. Borrower authority to make payments to that Lender without a Tax Deduction within 60 days of the date of the Borrower DTTP Filing,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160</w:t>
      </w:r>
    </w:p>
    <w:p>
      <w:pPr>
        <w:sectPr>
          <w:pgSz w:w="11900" w:h="16838" w:orient="portrait"/>
          <w:cols w:equalWidth="0" w:num="1">
            <w:col w:w="10580"/>
          </w:cols>
          <w:pgMar w:left="980" w:top="1413" w:right="339" w:bottom="1440" w:gutter="0" w:footer="0" w:header="0"/>
        </w:sectPr>
      </w:pPr>
    </w:p>
    <w:bookmarkStart w:id="288" w:name="page289"/>
    <w:bookmarkEnd w:id="288"/>
    <w:p>
      <w:pPr>
        <w:jc w:val="both"/>
        <w:ind w:left="180" w:firstLine="652"/>
        <w:spacing w:after="0" w:line="258" w:lineRule="auto"/>
        <w:tabs>
          <w:tab w:leader="none" w:pos="1471"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172"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469"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shall, promptly on making a Borrower DTTP Filing, deliver a copy of that Borrower DTTP Filing to the Agent for delivery to the relevant Lender.</w:t>
      </w:r>
    </w:p>
    <w:p>
      <w:pPr>
        <w:spacing w:after="0" w:line="159" w:lineRule="exact"/>
        <w:rPr>
          <w:rFonts w:ascii="Times New Roman" w:cs="Times New Roman" w:eastAsia="Times New Roman" w:hAnsi="Times New Roman"/>
          <w:sz w:val="20"/>
          <w:szCs w:val="20"/>
          <w:color w:val="auto"/>
        </w:rPr>
      </w:pPr>
    </w:p>
    <w:p>
      <w:pPr>
        <w:ind w:left="180" w:firstLine="652"/>
        <w:spacing w:after="0" w:line="269" w:lineRule="auto"/>
        <w:tabs>
          <w:tab w:leader="none" w:pos="1467"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Non-Bank Lender which becomes a Lender on the day on which this Agreement is entered into gives a Tax Confirmation to the Administrative Agent by entering into this Agreement.</w:t>
      </w:r>
    </w:p>
    <w:p>
      <w:pPr>
        <w:spacing w:after="0" w:line="172" w:lineRule="exact"/>
        <w:rPr>
          <w:rFonts w:ascii="Times New Roman" w:cs="Times New Roman" w:eastAsia="Times New Roman" w:hAnsi="Times New Roman"/>
          <w:sz w:val="20"/>
          <w:szCs w:val="20"/>
          <w:color w:val="auto"/>
        </w:rPr>
      </w:pPr>
    </w:p>
    <w:p>
      <w:pPr>
        <w:ind w:left="180" w:firstLine="652"/>
        <w:spacing w:after="0" w:line="269" w:lineRule="auto"/>
        <w:tabs>
          <w:tab w:leader="none" w:pos="1472"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Non-Bank Lender shall promptly notify the Administrative Agent if there is any change in the position from that set out in the Tax Confirmation.</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473"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w:t>
      </w:r>
      <w:r>
        <w:rPr>
          <w:rFonts w:ascii="Times New Roman" w:cs="Times New Roman" w:eastAsia="Times New Roman" w:hAnsi="Times New Roman"/>
          <w:sz w:val="20"/>
          <w:szCs w:val="20"/>
          <w:u w:val="single" w:color="auto"/>
          <w:color w:val="auto"/>
        </w:rPr>
        <w:t>Section 4.7(f)(ii)(G)</w:t>
      </w:r>
      <w:r>
        <w:rPr>
          <w:rFonts w:ascii="Times New Roman" w:cs="Times New Roman" w:eastAsia="Times New Roman" w:hAnsi="Times New Roman"/>
          <w:sz w:val="20"/>
          <w:szCs w:val="20"/>
          <w:color w:val="auto"/>
        </w:rPr>
        <w:t xml:space="preserve"> above shall require a Lender to (I) register under the HMRC DT Treaty Passport scheme, (II) 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Times New Roman" w:cs="Times New Roman" w:eastAsia="Times New Roman" w:hAnsi="Times New Roman"/>
          <w:sz w:val="20"/>
          <w:szCs w:val="20"/>
          <w:u w:val="single" w:color="auto"/>
          <w:color w:val="auto"/>
        </w:rPr>
        <w:t>Section 4.7(f)(ii)(G)(II)</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820" w:hanging="377"/>
        <w:spacing w:after="0"/>
        <w:tabs>
          <w:tab w:leader="none" w:pos="8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indemnity</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51" w:lineRule="auto"/>
        <w:tabs>
          <w:tab w:leader="none" w:pos="1467"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Lender does not notify the U.K. Borrower of any indemnification claim under this </w:t>
      </w:r>
      <w:r>
        <w:rPr>
          <w:rFonts w:ascii="Times New Roman" w:cs="Times New Roman" w:eastAsia="Times New Roman" w:hAnsi="Times New Roman"/>
          <w:sz w:val="20"/>
          <w:szCs w:val="20"/>
          <w:u w:val="single" w:color="auto"/>
          <w:color w:val="auto"/>
        </w:rPr>
        <w:t>Section 4.7(f)(iii)</w:t>
      </w:r>
      <w:r>
        <w:rPr>
          <w:rFonts w:ascii="Times New Roman" w:cs="Times New Roman" w:eastAsia="Times New Roman" w:hAnsi="Times New Roman"/>
          <w:sz w:val="20"/>
          <w:szCs w:val="20"/>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192"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above shall not apply:</w:t>
      </w:r>
    </w:p>
    <w:p>
      <w:pPr>
        <w:spacing w:after="0" w:line="229" w:lineRule="exact"/>
        <w:rPr>
          <w:rFonts w:ascii="Times New Roman" w:cs="Times New Roman" w:eastAsia="Times New Roman" w:hAnsi="Times New Roman"/>
          <w:sz w:val="20"/>
          <w:szCs w:val="20"/>
          <w:color w:val="auto"/>
        </w:rPr>
      </w:pPr>
    </w:p>
    <w:p>
      <w:pPr>
        <w:ind w:left="1880" w:hanging="400"/>
        <w:spacing w:after="0"/>
        <w:tabs>
          <w:tab w:leader="none" w:pos="1880" w:val="left"/>
        </w:tabs>
        <w:numPr>
          <w:ilvl w:val="2"/>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Taxes assessed on a Lender:</w:t>
      </w:r>
    </w:p>
    <w:p>
      <w:pPr>
        <w:spacing w:after="0" w:line="215" w:lineRule="exact"/>
        <w:rPr>
          <w:rFonts w:ascii="Times New Roman" w:cs="Times New Roman" w:eastAsia="Times New Roman" w:hAnsi="Times New Roman"/>
          <w:sz w:val="20"/>
          <w:szCs w:val="20"/>
          <w:color w:val="auto"/>
        </w:rPr>
      </w:pPr>
    </w:p>
    <w:p>
      <w:pPr>
        <w:ind w:left="1480" w:firstLine="648"/>
        <w:spacing w:after="0" w:line="283" w:lineRule="auto"/>
        <w:tabs>
          <w:tab w:leader="none" w:pos="2684" w:val="left"/>
        </w:tabs>
        <w:numPr>
          <w:ilvl w:val="3"/>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that Lender is incorporated or, if different, the jurisdiction (or jurisdictions) in which that Lender is treated as resident for tax purposes; or</w:t>
      </w:r>
    </w:p>
    <w:p>
      <w:pPr>
        <w:spacing w:after="0" w:line="146" w:lineRule="exact"/>
        <w:rPr>
          <w:rFonts w:ascii="Times New Roman" w:cs="Times New Roman" w:eastAsia="Times New Roman" w:hAnsi="Times New Roman"/>
          <w:sz w:val="20"/>
          <w:szCs w:val="20"/>
          <w:color w:val="auto"/>
        </w:rPr>
      </w:pPr>
    </w:p>
    <w:p>
      <w:pPr>
        <w:ind w:left="1480" w:firstLine="648"/>
        <w:spacing w:after="0" w:line="283" w:lineRule="auto"/>
        <w:tabs>
          <w:tab w:leader="none" w:pos="2586" w:val="left"/>
        </w:tabs>
        <w:numPr>
          <w:ilvl w:val="3"/>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such Lender’s lending office is located in respect of amounts received or receivable in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161</w:t>
      </w:r>
    </w:p>
    <w:p>
      <w:pPr>
        <w:sectPr>
          <w:pgSz w:w="11900" w:h="16838" w:orient="portrait"/>
          <w:cols w:equalWidth="0" w:num="1">
            <w:col w:w="10120"/>
          </w:cols>
          <w:pgMar w:left="1440" w:top="1413" w:right="339" w:bottom="1440" w:gutter="0" w:footer="0" w:header="0"/>
        </w:sectPr>
      </w:pPr>
    </w:p>
    <w:bookmarkStart w:id="289" w:name="page290"/>
    <w:bookmarkEnd w:id="289"/>
    <w:p>
      <w:pPr>
        <w:ind w:left="2600"/>
        <w:spacing w:after="0" w:line="283" w:lineRule="auto"/>
        <w:rPr>
          <w:sz w:val="20"/>
          <w:szCs w:val="20"/>
          <w:color w:val="auto"/>
        </w:rPr>
      </w:pPr>
      <w:r>
        <w:rPr>
          <w:rFonts w:ascii="Times New Roman" w:cs="Times New Roman" w:eastAsia="Times New Roman" w:hAnsi="Times New Roman"/>
          <w:sz w:val="20"/>
          <w:szCs w:val="20"/>
          <w:color w:val="auto"/>
        </w:rPr>
        <w:t>if such Taxes are imposed on or calculated by reference to the net income received or receivable (but not any sum deemed to be received or receivable) by that Lender; or</w:t>
      </w:r>
    </w:p>
    <w:p>
      <w:pPr>
        <w:spacing w:after="0" w:line="146" w:lineRule="exact"/>
        <w:rPr>
          <w:sz w:val="20"/>
          <w:szCs w:val="20"/>
          <w:color w:val="auto"/>
        </w:rPr>
      </w:pPr>
    </w:p>
    <w:p>
      <w:pPr>
        <w:ind w:left="3060" w:hanging="460"/>
        <w:spacing w:after="0"/>
        <w:tabs>
          <w:tab w:leader="none" w:pos="3060" w:val="left"/>
        </w:tabs>
        <w:numPr>
          <w:ilvl w:val="2"/>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loss, liability or cost:</w:t>
      </w:r>
    </w:p>
    <w:p>
      <w:pPr>
        <w:spacing w:after="0" w:line="225"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3"/>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compensated for by an increased payment under </w:t>
      </w:r>
      <w:r>
        <w:rPr>
          <w:rFonts w:ascii="Times New Roman" w:cs="Times New Roman" w:eastAsia="Times New Roman" w:hAnsi="Times New Roman"/>
          <w:sz w:val="20"/>
          <w:szCs w:val="20"/>
          <w:u w:val="single" w:color="auto"/>
          <w:color w:val="auto"/>
        </w:rPr>
        <w:t>Section 4.7(f)(ii)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600" w:firstLine="648"/>
        <w:spacing w:after="0" w:line="270" w:lineRule="auto"/>
        <w:tabs>
          <w:tab w:leader="none" w:pos="3684" w:val="left"/>
        </w:tabs>
        <w:numPr>
          <w:ilvl w:val="3"/>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have been compensated for by an increased payment under </w:t>
      </w:r>
      <w:r>
        <w:rPr>
          <w:rFonts w:ascii="Times New Roman" w:cs="Times New Roman" w:eastAsia="Times New Roman" w:hAnsi="Times New Roman"/>
          <w:sz w:val="20"/>
          <w:szCs w:val="20"/>
          <w:u w:val="single" w:color="auto"/>
          <w:color w:val="auto"/>
        </w:rPr>
        <w:t>Section 4.7(f)(ii)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but was not so compensated solely because one of the exclusions in paragraph 4.7(f)(ii)(D)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applied; or</w:t>
      </w:r>
    </w:p>
    <w:p>
      <w:pPr>
        <w:spacing w:after="0" w:line="159"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3"/>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 deduction pursuant to FATCA required to be made by a party.</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9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18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Lender shall, on receiving a payment from a U.K. Borrower under this </w:t>
      </w:r>
      <w:r>
        <w:rPr>
          <w:rFonts w:ascii="Times New Roman" w:cs="Times New Roman" w:eastAsia="Times New Roman" w:hAnsi="Times New Roman"/>
          <w:sz w:val="20"/>
          <w:szCs w:val="20"/>
          <w:u w:val="single" w:color="auto"/>
          <w:color w:val="auto"/>
        </w:rPr>
        <w:t>Section 4.7(f)(iii)</w:t>
      </w:r>
      <w:r>
        <w:rPr>
          <w:rFonts w:ascii="Times New Roman" w:cs="Times New Roman" w:eastAsia="Times New Roman" w:hAnsi="Times New Roman"/>
          <w:sz w:val="20"/>
          <w:szCs w:val="20"/>
          <w:color w:val="auto"/>
        </w:rPr>
        <w:t>, notify the</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w:t>
      </w:r>
    </w:p>
    <w:p>
      <w:pPr>
        <w:spacing w:after="0" w:line="207"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Status Confirmation</w:t>
      </w:r>
      <w:r>
        <w:rPr>
          <w:rFonts w:ascii="Times New Roman" w:cs="Times New Roman" w:eastAsia="Times New Roman" w:hAnsi="Times New Roman"/>
          <w:sz w:val="20"/>
          <w:szCs w:val="20"/>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17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 Qualifying Lender;</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Lender (other than a Treaty Lender); or</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If such a Lender fails to indicate its status in accordance with this </w:t>
      </w:r>
      <w:r>
        <w:rPr>
          <w:rFonts w:ascii="Times New Roman" w:cs="Times New Roman" w:eastAsia="Times New Roman" w:hAnsi="Times New Roman"/>
          <w:sz w:val="19"/>
          <w:szCs w:val="19"/>
          <w:u w:val="single" w:color="auto"/>
          <w:color w:val="auto"/>
        </w:rPr>
        <w:t>Section 4.7(f)(iv)</w:t>
      </w:r>
      <w:r>
        <w:rPr>
          <w:rFonts w:ascii="Times New Roman" w:cs="Times New Roman" w:eastAsia="Times New Roman" w:hAnsi="Times New Roman"/>
          <w:sz w:val="19"/>
          <w:szCs w:val="19"/>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an Assignment and Assumption Agreement shall not be invalidated by any failure of a Lender to comply with this </w:t>
      </w:r>
      <w:r>
        <w:rPr>
          <w:rFonts w:ascii="Times New Roman" w:cs="Times New Roman" w:eastAsia="Times New Roman" w:hAnsi="Times New Roman"/>
          <w:sz w:val="19"/>
          <w:szCs w:val="19"/>
          <w:u w:val="single" w:color="auto"/>
          <w:color w:val="auto"/>
        </w:rPr>
        <w:t>Section 4.7(f)(iv)</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the term “Lender” shall include any Swing Line Lender and any Facing Agent.</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shall survive the resignation or replacement of any Agent or any assignment of rights by, or the replacement of,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1900" w:h="16838" w:orient="portrait"/>
          <w:cols w:equalWidth="0" w:num="1">
            <w:col w:w="11240"/>
          </w:cols>
          <w:pgMar w:left="320" w:top="1413" w:right="339" w:bottom="1440" w:gutter="0" w:footer="0" w:header="0"/>
        </w:sectPr>
      </w:pPr>
    </w:p>
    <w:bookmarkStart w:id="290" w:name="page291"/>
    <w:bookmarkEnd w:id="290"/>
    <w:p>
      <w:pPr>
        <w:jc w:val="both"/>
        <w:ind w:firstLine="656"/>
        <w:spacing w:after="0" w:line="267" w:lineRule="auto"/>
        <w:tabs>
          <w:tab w:leader="none" w:pos="1294"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for purposes of FATCA, from and after the Incremental Amendment No. 3 and Fifth Amendment Effective Date, the Borrowers and the Administrative Agent agree to treat (and the Lenders hereby authorize the Agent to treat) this Agreement and the Loans as not qualifying as “grandfathered obligations” within the meaning of Treasury Regulations Section 1.1471-2(b)</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(2)(i).</w:t>
      </w:r>
    </w:p>
    <w:p>
      <w:pPr>
        <w:spacing w:after="0" w:line="200" w:lineRule="exact"/>
        <w:rPr>
          <w:rFonts w:ascii="Times New Roman" w:cs="Times New Roman" w:eastAsia="Times New Roman" w:hAnsi="Times New Roman"/>
          <w:sz w:val="19"/>
          <w:szCs w:val="19"/>
          <w:color w:val="auto"/>
        </w:rPr>
      </w:pPr>
    </w:p>
    <w:p>
      <w:pPr>
        <w:jc w:val="both"/>
        <w:ind w:firstLine="656"/>
        <w:spacing w:after="0" w:line="268" w:lineRule="auto"/>
        <w:tabs>
          <w:tab w:leader="none" w:pos="129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from and after the Incremental Amendment No. 3 and Fifth Amendment Effective Date, the Term A Loans will constitute a single separate, fungible tranche for U.S. federal income tax purposes and the Term Euro Loans will constitute a single separate, fungible tranche for U.S. federal income tax purposes.</w:t>
      </w:r>
    </w:p>
    <w:p>
      <w:pPr>
        <w:spacing w:after="0" w:line="1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V</w:t>
      </w:r>
    </w:p>
    <w:p>
      <w:pPr>
        <w:jc w:val="cente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OF CREDIT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Conditions Precedent to the Effective Date</w:t>
      </w:r>
      <w:r>
        <w:rPr>
          <w:rFonts w:ascii="Times New Roman" w:cs="Times New Roman" w:eastAsia="Times New Roman" w:hAnsi="Times New Roman"/>
          <w:sz w:val="20"/>
          <w:szCs w:val="20"/>
          <w:color w:val="auto"/>
        </w:rPr>
        <w:t xml:space="preserv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set forth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Loan Documents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3"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Notes</w:t>
      </w:r>
      <w:r>
        <w:rPr>
          <w:rFonts w:ascii="Times New Roman" w:cs="Times New Roman" w:eastAsia="Times New Roman" w:hAnsi="Times New Roman"/>
          <w:sz w:val="20"/>
          <w:szCs w:val="20"/>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172" w:lineRule="exact"/>
        <w:rPr>
          <w:rFonts w:ascii="Times New Roman" w:cs="Times New Roman" w:eastAsia="Times New Roman" w:hAnsi="Times New Roman"/>
          <w:sz w:val="20"/>
          <w:szCs w:val="20"/>
          <w:color w:val="auto"/>
        </w:rPr>
      </w:pPr>
    </w:p>
    <w:p>
      <w:pPr>
        <w:ind w:left="660" w:firstLine="903"/>
        <w:spacing w:after="0" w:line="283" w:lineRule="auto"/>
        <w:tabs>
          <w:tab w:leader="none" w:pos="194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Agreement</w:t>
      </w:r>
      <w:r>
        <w:rPr>
          <w:rFonts w:ascii="Times New Roman" w:cs="Times New Roman" w:eastAsia="Times New Roman" w:hAnsi="Times New Roman"/>
          <w:sz w:val="20"/>
          <w:szCs w:val="20"/>
          <w:color w:val="auto"/>
        </w:rPr>
        <w:t>. Each applicable Credit Party shall have duly authorized, executed and delivered counterparts to the Reaffirmation Agreement in form and substance reasonably acceptable to the Administrative Agent.</w:t>
      </w:r>
    </w:p>
    <w:p>
      <w:pPr>
        <w:spacing w:after="0" w:line="146" w:lineRule="exact"/>
        <w:rPr>
          <w:rFonts w:ascii="Times New Roman" w:cs="Times New Roman" w:eastAsia="Times New Roman" w:hAnsi="Times New Roman"/>
          <w:sz w:val="20"/>
          <w:szCs w:val="20"/>
          <w:color w:val="auto"/>
        </w:rPr>
      </w:pPr>
    </w:p>
    <w:p>
      <w:pPr>
        <w:jc w:val="both"/>
        <w:ind w:left="660" w:firstLine="903"/>
        <w:spacing w:after="0" w:line="268" w:lineRule="auto"/>
        <w:tabs>
          <w:tab w:leader="none" w:pos="1945"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 Security Documents</w:t>
      </w:r>
      <w:r>
        <w:rPr>
          <w:rFonts w:ascii="Times New Roman" w:cs="Times New Roman" w:eastAsia="Times New Roman" w:hAnsi="Times New Roman"/>
          <w:sz w:val="20"/>
          <w:szCs w:val="20"/>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7" w:val="left"/>
        </w:tabs>
        <w:numPr>
          <w:ilvl w:val="2"/>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certificates representing all certificated Pledged Securities, together with executed and undated stock powers and/or assignments in blank or other instruments of transfer customary in the applicable jurisdiction;</w:t>
      </w:r>
    </w:p>
    <w:p>
      <w:pPr>
        <w:spacing w:after="0" w:line="18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0" w:val="left"/>
        </w:tabs>
        <w:numPr>
          <w:ilvl w:val="2"/>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1900" w:h="16838" w:orient="portrait"/>
          <w:cols w:equalWidth="0" w:num="1">
            <w:col w:w="11240"/>
          </w:cols>
          <w:pgMar w:left="320" w:top="1413" w:right="339" w:bottom="1440" w:gutter="0" w:footer="0" w:header="0"/>
        </w:sectPr>
      </w:pPr>
    </w:p>
    <w:bookmarkStart w:id="291" w:name="page292"/>
    <w:bookmarkEnd w:id="291"/>
    <w:p>
      <w:pPr>
        <w:jc w:val="both"/>
        <w:ind w:left="644" w:firstLine="652"/>
        <w:spacing w:after="0" w:line="253" w:lineRule="auto"/>
        <w:tabs>
          <w:tab w:leader="none" w:pos="1931"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191" w:lineRule="exact"/>
        <w:rPr>
          <w:rFonts w:ascii="Times New Roman" w:cs="Times New Roman" w:eastAsia="Times New Roman" w:hAnsi="Times New Roman"/>
          <w:sz w:val="20"/>
          <w:szCs w:val="20"/>
          <w:color w:val="auto"/>
        </w:rPr>
      </w:pPr>
    </w:p>
    <w:p>
      <w:pPr>
        <w:ind w:left="644" w:firstLine="652"/>
        <w:spacing w:after="0" w:line="283" w:lineRule="auto"/>
        <w:tabs>
          <w:tab w:leader="none" w:pos="1936"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other actions reasonably necessary or desirable to perfect the security interest created by the Euro Security Documents have been taken.</w:t>
      </w:r>
    </w:p>
    <w:p>
      <w:pPr>
        <w:spacing w:after="0" w:line="146" w:lineRule="exact"/>
        <w:rPr>
          <w:rFonts w:ascii="Times New Roman" w:cs="Times New Roman" w:eastAsia="Times New Roman" w:hAnsi="Times New Roman"/>
          <w:sz w:val="20"/>
          <w:szCs w:val="20"/>
          <w:color w:val="auto"/>
        </w:rPr>
      </w:pPr>
    </w:p>
    <w:p>
      <w:pPr>
        <w:ind w:left="1284" w:hanging="377"/>
        <w:spacing w:after="0"/>
        <w:tabs>
          <w:tab w:leader="none" w:pos="1284"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on Personal Property Collateral</w:t>
      </w:r>
      <w:r>
        <w:rPr>
          <w:rFonts w:ascii="Times New Roman" w:cs="Times New Roman" w:eastAsia="Times New Roman" w:hAnsi="Times New Roman"/>
          <w:sz w:val="20"/>
          <w:szCs w:val="20"/>
          <w:color w:val="auto"/>
        </w:rPr>
        <w:t>. Administrative Agent shall have received:</w:t>
      </w:r>
    </w:p>
    <w:p>
      <w:pPr>
        <w:spacing w:after="0" w:line="215" w:lineRule="exact"/>
        <w:rPr>
          <w:rFonts w:ascii="Times New Roman" w:cs="Times New Roman" w:eastAsia="Times New Roman" w:hAnsi="Times New Roman"/>
          <w:sz w:val="20"/>
          <w:szCs w:val="20"/>
          <w:color w:val="auto"/>
        </w:rPr>
      </w:pPr>
    </w:p>
    <w:p>
      <w:pPr>
        <w:ind w:left="4" w:firstLine="903"/>
        <w:spacing w:after="0" w:line="283" w:lineRule="auto"/>
        <w:tabs>
          <w:tab w:leader="none" w:pos="1287"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U.S. Borrower, Crown Holdings and all of the U.S. Subsidiaries of Crown Holdings, executed and delivered Perfection Certificates dated the Effective Date;</w:t>
      </w:r>
    </w:p>
    <w:p>
      <w:pPr>
        <w:spacing w:after="0" w:line="159" w:lineRule="exact"/>
        <w:rPr>
          <w:rFonts w:ascii="Times New Roman" w:cs="Times New Roman" w:eastAsia="Times New Roman" w:hAnsi="Times New Roman"/>
          <w:sz w:val="20"/>
          <w:szCs w:val="20"/>
          <w:color w:val="auto"/>
        </w:rPr>
      </w:pPr>
    </w:p>
    <w:p>
      <w:pPr>
        <w:jc w:val="both"/>
        <w:ind w:left="4" w:firstLine="903"/>
        <w:spacing w:after="0" w:line="253" w:lineRule="auto"/>
        <w:tabs>
          <w:tab w:leader="none" w:pos="1202"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U.S. Borrower, Crown Holdings and all of the U.S. Subsidiaries of Crown Holdings party to the U.S. Security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191" w:lineRule="exact"/>
        <w:rPr>
          <w:rFonts w:ascii="Times New Roman" w:cs="Times New Roman" w:eastAsia="Times New Roman" w:hAnsi="Times New Roman"/>
          <w:sz w:val="20"/>
          <w:szCs w:val="20"/>
          <w:color w:val="auto"/>
        </w:rPr>
      </w:pPr>
    </w:p>
    <w:p>
      <w:pPr>
        <w:jc w:val="both"/>
        <w:ind w:left="4" w:firstLine="903"/>
        <w:spacing w:after="0" w:line="251" w:lineRule="auto"/>
        <w:tabs>
          <w:tab w:leader="none" w:pos="1257"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U.S. Borrower, Crown Holdings and all of the U.S. Subsidiaries of Crown Holdings party to the U.S. Security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181" w:lineRule="exact"/>
        <w:rPr>
          <w:rFonts w:ascii="Times New Roman" w:cs="Times New Roman" w:eastAsia="Times New Roman" w:hAnsi="Times New Roman"/>
          <w:sz w:val="20"/>
          <w:szCs w:val="20"/>
          <w:color w:val="auto"/>
        </w:rPr>
      </w:pPr>
    </w:p>
    <w:p>
      <w:pPr>
        <w:jc w:val="both"/>
        <w:ind w:left="4" w:firstLine="903"/>
        <w:spacing w:after="0" w:line="258" w:lineRule="auto"/>
        <w:tabs>
          <w:tab w:leader="none" w:pos="1259"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the completion of, or arrangements satisfactory to U.S. Collateral Agent for, all other recordings and filings of, or with respect to, the Security 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185" w:lineRule="exact"/>
        <w:rPr>
          <w:rFonts w:ascii="Times New Roman" w:cs="Times New Roman" w:eastAsia="Times New Roman" w:hAnsi="Times New Roman"/>
          <w:sz w:val="20"/>
          <w:szCs w:val="20"/>
          <w:color w:val="auto"/>
        </w:rPr>
      </w:pPr>
    </w:p>
    <w:p>
      <w:pPr>
        <w:ind w:left="4" w:firstLine="903"/>
        <w:spacing w:after="0" w:line="269" w:lineRule="auto"/>
        <w:tabs>
          <w:tab w:leader="none" w:pos="1218"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other actions necessary, or in the reasonable opinion of U.S. Collateral Agent and the Required Lenders, desirable to perfect the security interests purported to be taken by the U.S. Security Documents have been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164</w:t>
      </w:r>
    </w:p>
    <w:p>
      <w:pPr>
        <w:sectPr>
          <w:pgSz w:w="11900" w:h="16838" w:orient="portrait"/>
          <w:cols w:equalWidth="0" w:num="1">
            <w:col w:w="10584"/>
          </w:cols>
          <w:pgMar w:left="976" w:top="1413" w:right="339" w:bottom="1440" w:gutter="0" w:footer="0" w:header="0"/>
        </w:sectPr>
      </w:pPr>
    </w:p>
    <w:bookmarkStart w:id="292" w:name="page293"/>
    <w:bookmarkEnd w:id="292"/>
    <w:p>
      <w:pPr>
        <w:jc w:val="both"/>
        <w:ind w:firstLine="656"/>
        <w:spacing w:after="0" w:line="253" w:lineRule="auto"/>
        <w:tabs>
          <w:tab w:leader="none" w:pos="111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All commitments under the Existing Credit Agreement shall have been terminated, and all loans and accrued and unpaid interest, fees and any other amounts outstanding under the Existing Credit Agreement shall have been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accrued and unpaid interest, fees and other amounts outstanding under the Existing Credit Agreement (other than principal amount of loans) may be paid within ten (10) Business Days following the receipt by Crown Holdings of an invoice from the Administrative Agent regarding any such accrued and unpaid interest, fees or other amounts outstanding (it being understood that such amounts shall be due and payable on such tenth Business Day if not paid prior to such date).</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7"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xml:space="preserve">.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 and (ii) opinions of local counsel to the Credit Parties and/or the Administrative Agent, as is customary in the respective jurisdiction and as specified on </w:t>
      </w:r>
      <w:r>
        <w:rPr>
          <w:rFonts w:ascii="Times New Roman" w:cs="Times New Roman" w:eastAsia="Times New Roman" w:hAnsi="Times New Roman"/>
          <w:sz w:val="20"/>
          <w:szCs w:val="20"/>
          <w:u w:val="single" w:color="auto"/>
          <w:color w:val="auto"/>
        </w:rPr>
        <w:t>Schedule 5.1(d)</w:t>
      </w:r>
      <w:r>
        <w:rPr>
          <w:rFonts w:ascii="Times New Roman" w:cs="Times New Roman" w:eastAsia="Times New Roman" w:hAnsi="Times New Roman"/>
          <w:sz w:val="20"/>
          <w:szCs w:val="20"/>
          <w:color w:val="auto"/>
        </w:rPr>
        <w:t>, addressed to Administrative Agent and each of the Lenders dated the Effective Date, each of which shall be in form and substance reasonably satisfactory to Administrative Agent, which opinions shall cover such matters related to the transactions contemplated herein and in the other Loan Documents as Administrative Agent may reasonably request.</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Documents and Financial Matters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1" w:lineRule="auto"/>
        <w:tabs>
          <w:tab w:leader="none" w:pos="1943"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Times New Roman" w:cs="Times New Roman" w:eastAsia="Times New Roman" w:hAnsi="Times New Roman"/>
          <w:sz w:val="20"/>
          <w:szCs w:val="20"/>
          <w:u w:val="single" w:color="auto"/>
          <w:color w:val="auto"/>
        </w:rPr>
        <w:t>Exhibit 5.1(e)(i)</w:t>
      </w:r>
      <w:r>
        <w:rPr>
          <w:rFonts w:ascii="Times New Roman" w:cs="Times New Roman" w:eastAsia="Times New Roman" w:hAnsi="Times New Roman"/>
          <w:sz w:val="20"/>
          <w:szCs w:val="20"/>
          <w:color w:val="auto"/>
        </w:rPr>
        <w:t xml:space="preserve">, stating that the representations and warranties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are true and correct in all material respects as of the date of the certificate, except to the extent such representations and warranties are expressly made as of a specified date in which event such representations and warranties were true and correct in all material respects as of such specified date, that no Event of Default or Unmatured Event of Default has occurred and is continuing and that the conditions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hereof have been fully satisfied or waived, subject to the proviso at the end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(except that no opinion need be expressed as to Administrative Agent’s or Required Lenders’ satisfaction with any document, instrument or other matter).</w:t>
      </w:r>
    </w:p>
    <w:p>
      <w:pPr>
        <w:spacing w:after="0" w:line="195" w:lineRule="exact"/>
        <w:rPr>
          <w:rFonts w:ascii="Times New Roman" w:cs="Times New Roman" w:eastAsia="Times New Roman" w:hAnsi="Times New Roman"/>
          <w:sz w:val="20"/>
          <w:szCs w:val="20"/>
          <w:color w:val="auto"/>
        </w:rPr>
      </w:pPr>
    </w:p>
    <w:p>
      <w:pPr>
        <w:jc w:val="both"/>
        <w:ind w:left="660" w:firstLine="903"/>
        <w:spacing w:after="0" w:line="265" w:lineRule="auto"/>
        <w:tabs>
          <w:tab w:leader="none" w:pos="1944"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w:t>
      </w:r>
      <w:r>
        <w:rPr>
          <w:rFonts w:ascii="Times New Roman" w:cs="Times New Roman" w:eastAsia="Times New Roman" w:hAnsi="Times New Roman"/>
          <w:sz w:val="19"/>
          <w:szCs w:val="19"/>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authorized signatory), of such Credit Party, in the form of </w:t>
      </w:r>
      <w:r>
        <w:rPr>
          <w:rFonts w:ascii="Times New Roman" w:cs="Times New Roman" w:eastAsia="Times New Roman" w:hAnsi="Times New Roman"/>
          <w:sz w:val="19"/>
          <w:szCs w:val="19"/>
          <w:u w:val="single" w:color="auto"/>
          <w:color w:val="auto"/>
        </w:rPr>
        <w:t>Exhibit 5.1(e)(ii)</w:t>
      </w:r>
      <w:r>
        <w:rPr>
          <w:rFonts w:ascii="Times New Roman" w:cs="Times New Roman" w:eastAsia="Times New Roman" w:hAnsi="Times New Roman"/>
          <w:sz w:val="19"/>
          <w:szCs w:val="19"/>
          <w:color w:val="auto"/>
        </w:rPr>
        <w:t xml:space="preserve"> with appropriate insertions, as to the incumbency and signature of the officers/managers of each such Credit Party executing any Loan Document 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Times New Roman" w:cs="Times New Roman" w:eastAsia="Times New Roman" w:hAnsi="Times New Roman"/>
          <w:sz w:val="19"/>
          <w:szCs w:val="19"/>
          <w:i w:val="1"/>
          <w:iCs w:val="1"/>
          <w:color w:val="auto"/>
        </w:rPr>
        <w:t>extrait</w:t>
      </w:r>
      <w:r>
        <w:rPr>
          <w:rFonts w:ascii="Times New Roman" w:cs="Times New Roman" w:eastAsia="Times New Roman" w:hAnsi="Times New Roman"/>
          <w:sz w:val="19"/>
          <w:szCs w:val="19"/>
          <w:color w:val="auto"/>
        </w:rPr>
        <w:t>) and a certificate of non-inscription of a judicial decision (</w:t>
      </w:r>
      <w:r>
        <w:rPr>
          <w:rFonts w:ascii="Times New Roman" w:cs="Times New Roman" w:eastAsia="Times New Roman" w:hAnsi="Times New Roman"/>
          <w:sz w:val="19"/>
          <w:szCs w:val="19"/>
          <w:i w:val="1"/>
          <w:iCs w:val="1"/>
          <w:color w:val="auto"/>
        </w:rPr>
        <w:t>certificat de non-inscription d’une decision judiciaire</w:t>
      </w:r>
      <w:r>
        <w:rPr>
          <w:rFonts w:ascii="Times New Roman" w:cs="Times New Roman" w:eastAsia="Times New Roman" w:hAnsi="Times New Roman"/>
          <w:sz w:val="19"/>
          <w:szCs w:val="19"/>
          <w:color w:val="auto"/>
        </w:rPr>
        <w:t>) issued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1900" w:h="16838" w:orient="portrait"/>
          <w:cols w:equalWidth="0" w:num="1">
            <w:col w:w="11240"/>
          </w:cols>
          <w:pgMar w:left="320" w:top="1413" w:right="339" w:bottom="1440" w:gutter="0" w:footer="0" w:header="0"/>
        </w:sectPr>
      </w:pPr>
    </w:p>
    <w:bookmarkStart w:id="293" w:name="page294"/>
    <w:bookmarkEnd w:id="293"/>
    <w:p>
      <w:pPr>
        <w:ind w:left="66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Registre de Commerce et Sociétes, Luxembourg </w:t>
      </w:r>
      <w:r>
        <w:rPr>
          <w:rFonts w:ascii="Times New Roman" w:cs="Times New Roman" w:eastAsia="Times New Roman" w:hAnsi="Times New Roman"/>
          <w:sz w:val="20"/>
          <w:szCs w:val="20"/>
          <w:color w:val="auto"/>
        </w:rPr>
        <w:t>for any Credit Party incorporated under the laws of Luxembourg and the resolutions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such Credit Party and, to the extent required, of the equity holders of such Credit Party, referred to in such certificate.</w:t>
      </w:r>
    </w:p>
    <w:p>
      <w:pPr>
        <w:spacing w:after="0" w:line="142" w:lineRule="exact"/>
        <w:rPr>
          <w:sz w:val="20"/>
          <w:szCs w:val="20"/>
          <w:color w:val="auto"/>
        </w:rPr>
      </w:pPr>
    </w:p>
    <w:p>
      <w:pPr>
        <w:jc w:val="both"/>
        <w:ind w:left="660" w:firstLine="903"/>
        <w:spacing w:after="0" w:line="258" w:lineRule="auto"/>
        <w:tabs>
          <w:tab w:leader="none" w:pos="1945"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Standing</w:t>
      </w:r>
      <w:r>
        <w:rPr>
          <w:rFonts w:ascii="Times New Roman" w:cs="Times New Roman" w:eastAsia="Times New Roman" w:hAnsi="Times New Roman"/>
          <w:sz w:val="20"/>
          <w:szCs w:val="20"/>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185" w:lineRule="exact"/>
        <w:rPr>
          <w:rFonts w:ascii="Times New Roman" w:cs="Times New Roman" w:eastAsia="Times New Roman" w:hAnsi="Times New Roman"/>
          <w:sz w:val="20"/>
          <w:szCs w:val="20"/>
          <w:color w:val="auto"/>
        </w:rPr>
      </w:pPr>
    </w:p>
    <w:p>
      <w:pPr>
        <w:jc w:val="both"/>
        <w:ind w:left="660" w:firstLine="903"/>
        <w:spacing w:after="0" w:line="254" w:lineRule="auto"/>
        <w:tabs>
          <w:tab w:leader="none" w:pos="1947"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On the Effective Date, Administrative Agent shall have received a solvency certificate substantially in the form of </w:t>
      </w:r>
      <w:r>
        <w:rPr>
          <w:rFonts w:ascii="Times New Roman" w:cs="Times New Roman" w:eastAsia="Times New Roman" w:hAnsi="Times New Roman"/>
          <w:sz w:val="20"/>
          <w:szCs w:val="20"/>
          <w:u w:val="single" w:color="auto"/>
          <w:color w:val="auto"/>
        </w:rPr>
        <w:t>Exhibit 5.1(e)(iv)</w:t>
      </w:r>
      <w:r>
        <w:rPr>
          <w:rFonts w:ascii="Times New Roman" w:cs="Times New Roman" w:eastAsia="Times New Roman" w:hAnsi="Times New Roman"/>
          <w:sz w:val="20"/>
          <w:szCs w:val="20"/>
          <w:color w:val="auto"/>
        </w:rPr>
        <w:t>, and signed by the chief financial officer of Crown Holdings confirming the solvency of (i) Crown Holdings and its Subsidiaries, (ii) U.S. Borrower and its Subsidiaries, (iii) European Borrower and its Subsidiaries, and (iv) Canadian Borrower and its Subsidiaries, in each case, on a consolidated basis after giving effect to the Transactions.</w:t>
      </w:r>
    </w:p>
    <w:p>
      <w:pPr>
        <w:spacing w:after="0" w:line="18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Closing Conditions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3"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pacing w:after="0" w:line="163" w:lineRule="exact"/>
        <w:rPr>
          <w:rFonts w:ascii="Times New Roman" w:cs="Times New Roman" w:eastAsia="Times New Roman" w:hAnsi="Times New Roman"/>
          <w:sz w:val="20"/>
          <w:szCs w:val="20"/>
          <w:color w:val="auto"/>
        </w:rPr>
      </w:pPr>
    </w:p>
    <w:p>
      <w:pPr>
        <w:jc w:val="both"/>
        <w:ind w:left="660" w:firstLine="903"/>
        <w:spacing w:after="0" w:line="260" w:lineRule="auto"/>
        <w:tabs>
          <w:tab w:leader="none" w:pos="1944"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Times New Roman" w:cs="Times New Roman" w:eastAsia="Times New Roman" w:hAnsi="Times New Roman"/>
          <w:sz w:val="20"/>
          <w:szCs w:val="20"/>
          <w:i w:val="1"/>
          <w:iCs w:val="1"/>
          <w:color w:val="auto"/>
        </w:rPr>
        <w:t>know your customer</w:t>
      </w:r>
      <w:r>
        <w:rPr>
          <w:rFonts w:ascii="Times New Roman" w:cs="Times New Roman" w:eastAsia="Times New Roman" w:hAnsi="Times New Roman"/>
          <w:sz w:val="20"/>
          <w:szCs w:val="20"/>
          <w:color w:val="auto"/>
        </w:rPr>
        <w:t>” and anti-money laundering rules and regulations, including, without limitation, the Patriot Act.</w:t>
      </w:r>
    </w:p>
    <w:p>
      <w:pPr>
        <w:spacing w:after="0" w:line="181" w:lineRule="exact"/>
        <w:rPr>
          <w:rFonts w:ascii="Times New Roman" w:cs="Times New Roman" w:eastAsia="Times New Roman" w:hAnsi="Times New Roman"/>
          <w:sz w:val="20"/>
          <w:szCs w:val="20"/>
          <w:color w:val="auto"/>
        </w:rPr>
      </w:pPr>
    </w:p>
    <w:p>
      <w:pPr>
        <w:ind w:left="660" w:right="20" w:firstLine="903"/>
        <w:spacing w:after="0" w:line="269" w:lineRule="auto"/>
        <w:tabs>
          <w:tab w:leader="none" w:pos="1945"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Prior to the making of each Loan on the Effective Date, Administrative Agent shall have received a Notice of Borrowing meeting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Conditions Precedent to All Credit Events</w:t>
      </w:r>
      <w:r>
        <w:rPr>
          <w:rFonts w:ascii="Times New Roman" w:cs="Times New Roman" w:eastAsia="Times New Roman" w:hAnsi="Times New Roman"/>
          <w:sz w:val="20"/>
          <w:szCs w:val="20"/>
          <w:color w:val="auto"/>
        </w:rPr>
        <w:t>. The obligation of each Lender to make Loans (other than Loans made on the Effective Date) and the obligation of any Facing Agent to issue or any Lender to participate in any Letter of Credit hereunder in each case shall be subject to the fulfillment at or prior to the time of each such Credit Event of each of the following conditions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Additional Facility incurred in connection with a Limited Condition Transaction, such conditions shall be limited as set forth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56"/>
        <w:spacing w:after="0" w:line="258" w:lineRule="auto"/>
        <w:tabs>
          <w:tab w:leader="none" w:pos="12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in this Agreement and the other Loan Documents shall each be true and correct in all material respects at and as of such time, as though made on and as of such time except to the extent such representations and warranties are expressly made as of a specified date in which event such representation and warranties shall be true and correct in all material respects as of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1900" w:h="16838" w:orient="portrait"/>
          <w:cols w:equalWidth="0" w:num="1">
            <w:col w:w="11240"/>
          </w:cols>
          <w:pgMar w:left="320" w:top="1409" w:right="339" w:bottom="1440" w:gutter="0" w:footer="0" w:header="0"/>
        </w:sectPr>
      </w:pPr>
    </w:p>
    <w:bookmarkStart w:id="294" w:name="page295"/>
    <w:bookmarkEnd w:id="294"/>
    <w:p>
      <w:pPr>
        <w:ind w:firstLine="656"/>
        <w:spacing w:after="0" w:line="283" w:lineRule="auto"/>
        <w:tabs>
          <w:tab w:leader="none" w:pos="128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Event of Default or Unmatured Event of Default shall have occurred and shall then be continuing on such date or will occur after giving effect to such Credit Event.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 Notice of Issuance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3"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making of each Loan, Administrative Agent shall have received a Notice of Borrowing meeting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Canadian Administrative Agent shall have received a Notice of Canadian Borrowing meeting the requirements of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as applicable.</w:t>
      </w:r>
    </w:p>
    <w:p>
      <w:pPr>
        <w:spacing w:after="0" w:line="181" w:lineRule="exact"/>
        <w:rPr>
          <w:rFonts w:ascii="Times New Roman" w:cs="Times New Roman" w:eastAsia="Times New Roman" w:hAnsi="Times New Roman"/>
          <w:sz w:val="20"/>
          <w:szCs w:val="20"/>
          <w:color w:val="auto"/>
        </w:rPr>
      </w:pPr>
    </w:p>
    <w:p>
      <w:pPr>
        <w:ind w:left="660" w:firstLine="903"/>
        <w:spacing w:after="0" w:line="269" w:lineRule="auto"/>
        <w:tabs>
          <w:tab w:leader="none" w:pos="1944"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issuance of each Letter of Credit, Administrative Agent and the respective Facing Agent shall have received a Notice of Issuance meeting the requirements of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acceptance of the benefits of each such Credit Event by the applicable Borrower shall be deemed to constitute a representation and warranty by it to the effect of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(except that no opinion need be expressed as to Administrative Agent’s or Required Lenders’ satisfaction with any document, instrument or other matter).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which must be approved by, or which must be satisfactory to, Administrative Agent or the Required Lenders or Lenders,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order to induce the Lenders to enter into this Agreement and to make the Loans, and issue (or participate in) the Letters of Credit as provided herein, each Credit Party makes the following representations and warranties as of the Incremental Amendment No. 3 and Fifth Amendment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Corporate Status</w:t>
      </w:r>
      <w:r>
        <w:rPr>
          <w:rFonts w:ascii="Times New Roman" w:cs="Times New Roman" w:eastAsia="Times New Roman" w:hAnsi="Times New Roman"/>
          <w:sz w:val="20"/>
          <w:szCs w:val="20"/>
          <w:color w:val="auto"/>
        </w:rPr>
        <w:t>.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conduct of its business requires such qualification, except in the case of clauses (a) (as to good standing), (b) and (c), where such failures in the aggregate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ectPr>
          <w:pgSz w:w="11900" w:h="16838" w:orient="portrait"/>
          <w:cols w:equalWidth="0" w:num="1">
            <w:col w:w="11240"/>
          </w:cols>
          <w:pgMar w:left="320" w:top="1413" w:right="339" w:bottom="1440" w:gutter="0" w:footer="0" w:header="0"/>
        </w:sectPr>
      </w:pPr>
    </w:p>
    <w:bookmarkStart w:id="295" w:name="page296"/>
    <w:bookmarkEnd w:id="29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Corporate Power and Authority</w:t>
      </w:r>
      <w:r>
        <w:rPr>
          <w:rFonts w:ascii="Times New Roman" w:cs="Times New Roman" w:eastAsia="Times New Roman" w:hAnsi="Times New Roman"/>
          <w:sz w:val="20"/>
          <w:szCs w:val="20"/>
          <w:color w:val="auto"/>
        </w:rPr>
        <w:t>.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 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conflict with or result in any breach of any material Contractual Obligation or other material instrument binding upon such Credit Party, or result in the creation or imposition of (or the obligation to create or impose) any Lien (except pursuant to the Security Documents or Permitted Liens) upon any of the property or assets of any Credit Party pursuant to the terms of any Contractual Obligation to which any Credit Party is a party or by which it or any of its property or assets is bound, or violate any provision of any Organic Document of any Credit Party, except, in each case, for any contravention, conflict, breach, default or violation that would not reasonably be expected to have a Material Adverse Effect.</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Governmental and Other Approvals</w:t>
      </w:r>
      <w:r>
        <w:rPr>
          <w:rFonts w:ascii="Times New Roman" w:cs="Times New Roman" w:eastAsia="Times New Roman" w:hAnsi="Times New Roman"/>
          <w:sz w:val="20"/>
          <w:szCs w:val="20"/>
          <w:color w:val="auto"/>
        </w:rPr>
        <w:t>. Except for filings necessary to create or perfect security interests in the Collateral, except as have been obtained, waived or made prior to the Incremental Amendment No. 3 and Fifth Amendment Effective Date, and except any such failure that would not reasonably be expected to have a Material Adverse Effect, no material order, consent, approval, license, authorization or validation of, or filing, recording or registration with (except as have been obtained or made on or prior to the Incremental Amendment No. 3 and Fifth Amendment Effective Date and except for any reports required to be filed by any Credit Party with the SEC), or exemption by, any Governmental Authority, is required to authorize, or is required in connection with, (i) the execution and delivery of any Loan Document or the performance of the obligations thereunder or (ii) the legality, validity, binding effect or enforceability of any such Loan Document.</w:t>
      </w:r>
    </w:p>
    <w:p>
      <w:pPr>
        <w:spacing w:after="0" w:line="19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Financial Statements; Financial Condition; Undisclosed Liabilities Projections; Etc.</w:t>
      </w:r>
    </w:p>
    <w:p>
      <w:pPr>
        <w:spacing w:after="0" w:line="216" w:lineRule="exact"/>
        <w:rPr>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consolidated balance sheets of Crown Holdings and its consolidated Subsidiaries and the related statements of income, cash flows and shareholders’ equity of Crown Holdings for December 31, 2016, fairly present in all material respects the consolidated financial condition and results of operation and cash flows of Crown Holdings and its consolidated Subsidiaries as of such date and for such period. Copies of such statements have been furnished to the Lenders prior to the Effective Date and, in the case of the December 31, 2016 statements, have been reported on by Pricewaterhouse Coopers LLP, independent certified public accountants.</w:t>
      </w:r>
    </w:p>
    <w:p>
      <w:pPr>
        <w:spacing w:after="0" w:line="192" w:lineRule="exact"/>
        <w:rPr>
          <w:sz w:val="20"/>
          <w:szCs w:val="20"/>
          <w:color w:val="auto"/>
        </w:rPr>
      </w:pPr>
    </w:p>
    <w:p>
      <w:pPr>
        <w:jc w:val="both"/>
        <w:ind w:firstLine="579"/>
        <w:spacing w:after="0" w:line="261" w:lineRule="auto"/>
        <w:rPr>
          <w:sz w:val="20"/>
          <w:szCs w:val="20"/>
          <w:color w:val="auto"/>
        </w:rPr>
      </w:pPr>
      <w:r>
        <w:rPr>
          <w:rFonts w:ascii="Times New Roman" w:cs="Times New Roman" w:eastAsia="Times New Roman" w:hAnsi="Times New Roman"/>
          <w:sz w:val="20"/>
          <w:szCs w:val="20"/>
          <w:color w:val="auto"/>
        </w:rPr>
        <w:t>On and as of the Effective Date, immediately following the making of each Loan and after giving effect to the application of the proceeds of such Loans, (I) (a) the sum of the assets of Crown Holdings and its Subsidiaries (taken as a whole), at a fair valuation, will exceed its debts; (b) the present fair saleable value of the property of Crown Holdings and its Subsidiaries (taken as a whole)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1240"/>
          </w:cols>
          <w:pgMar w:left="320" w:top="1413" w:right="339" w:bottom="1440" w:gutter="0" w:footer="0" w:header="0"/>
        </w:sectPr>
      </w:pPr>
    </w:p>
    <w:bookmarkStart w:id="296" w:name="page297"/>
    <w:bookmarkEnd w:id="296"/>
    <w:p>
      <w:pPr>
        <w:jc w:val="both"/>
        <w:spacing w:after="0" w:line="248" w:lineRule="auto"/>
        <w:rPr>
          <w:sz w:val="20"/>
          <w:szCs w:val="20"/>
          <w:color w:val="auto"/>
        </w:rPr>
      </w:pPr>
      <w:r>
        <w:rPr>
          <w:rFonts w:ascii="Times New Roman" w:cs="Times New Roman" w:eastAsia="Times New Roman" w:hAnsi="Times New Roman"/>
          <w:sz w:val="20"/>
          <w:szCs w:val="20"/>
          <w:color w:val="auto"/>
        </w:rPr>
        <w:t>greater than the amount that will be required to pay the probable liability of its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overindebted within the meaning of the German proper accounting standards (</w:t>
      </w:r>
      <w:r>
        <w:rPr>
          <w:rFonts w:ascii="Times New Roman" w:cs="Times New Roman" w:eastAsia="Times New Roman" w:hAnsi="Times New Roman"/>
          <w:sz w:val="20"/>
          <w:szCs w:val="20"/>
          <w:i w:val="1"/>
          <w:iCs w:val="1"/>
          <w:color w:val="auto"/>
        </w:rPr>
        <w:t>Grundsätze ordentlicher Buchführung</w:t>
      </w:r>
      <w:r>
        <w:rPr>
          <w:rFonts w:ascii="Times New Roman" w:cs="Times New Roman" w:eastAsia="Times New Roman" w:hAnsi="Times New Roman"/>
          <w:sz w:val="20"/>
          <w:szCs w:val="20"/>
          <w:color w:val="auto"/>
        </w:rPr>
        <w:t xml:space="preserve">); (c) Crown Holdings and its Subsidiaries (taken as a whole) will be able to pay its debts and liabilities, 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Times New Roman" w:cs="Times New Roman" w:eastAsia="Times New Roman" w:hAnsi="Times New Roman"/>
          <w:sz w:val="20"/>
          <w:szCs w:val="20"/>
          <w:i w:val="1"/>
          <w:iCs w:val="1"/>
          <w:color w:val="auto"/>
        </w:rPr>
        <w:t>redressement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judiciaire</w:t>
      </w:r>
      <w:r>
        <w:rPr>
          <w:rFonts w:ascii="Times New Roman" w:cs="Times New Roman" w:eastAsia="Times New Roman" w:hAnsi="Times New Roman"/>
          <w:sz w:val="20"/>
          <w:szCs w:val="20"/>
          <w:color w:val="auto"/>
        </w:rPr>
        <w:t>), or will be subject to a plan for the transfer of the whole or part of its business, or is or will be subject to liquidation (with respect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a Credit Party organized under the laws of France, </w:t>
      </w:r>
      <w:r>
        <w:rPr>
          <w:rFonts w:ascii="Times New Roman" w:cs="Times New Roman" w:eastAsia="Times New Roman" w:hAnsi="Times New Roman"/>
          <w:sz w:val="20"/>
          <w:szCs w:val="20"/>
          <w:i w:val="1"/>
          <w:iCs w:val="1"/>
          <w:color w:val="auto"/>
        </w:rPr>
        <w:t>liquidation judiciaire</w:t>
      </w:r>
      <w:r>
        <w:rPr>
          <w:rFonts w:ascii="Times New Roman" w:cs="Times New Roman" w:eastAsia="Times New Roman" w:hAnsi="Times New Roman"/>
          <w:sz w:val="20"/>
          <w:szCs w:val="20"/>
          <w:color w:val="auto"/>
        </w:rPr>
        <w:t>) and no claim has been made requesting implementation of such proceedings; (ii) no Credit Party will be subject to the administration of a court appointed mediator (</w:t>
      </w:r>
      <w:r>
        <w:rPr>
          <w:rFonts w:ascii="Times New Roman" w:cs="Times New Roman" w:eastAsia="Times New Roman" w:hAnsi="Times New Roman"/>
          <w:sz w:val="20"/>
          <w:szCs w:val="20"/>
          <w:i w:val="1"/>
          <w:iCs w:val="1"/>
          <w:color w:val="auto"/>
        </w:rPr>
        <w:t>conciliateur</w:t>
      </w:r>
      <w:r>
        <w:rPr>
          <w:rFonts w:ascii="Times New Roman" w:cs="Times New Roman" w:eastAsia="Times New Roman" w:hAnsi="Times New Roman"/>
          <w:sz w:val="20"/>
          <w:szCs w:val="20"/>
          <w:color w:val="auto"/>
        </w:rPr>
        <w:t>), judicial condition, compulsory manager, receiver (</w:t>
      </w:r>
      <w:r>
        <w:rPr>
          <w:rFonts w:ascii="Times New Roman" w:cs="Times New Roman" w:eastAsia="Times New Roman" w:hAnsi="Times New Roman"/>
          <w:sz w:val="20"/>
          <w:szCs w:val="20"/>
          <w:i w:val="1"/>
          <w:iCs w:val="1"/>
          <w:color w:val="auto"/>
        </w:rPr>
        <w:t>administrateur judiciaire</w:t>
      </w:r>
      <w:r>
        <w:rPr>
          <w:rFonts w:ascii="Times New Roman" w:cs="Times New Roman" w:eastAsia="Times New Roman" w:hAnsi="Times New Roman"/>
          <w:sz w:val="20"/>
          <w:szCs w:val="20"/>
          <w:color w:val="auto"/>
        </w:rPr>
        <w:t>), administrator, liquidator (</w:t>
      </w:r>
      <w:r>
        <w:rPr>
          <w:rFonts w:ascii="Times New Roman" w:cs="Times New Roman" w:eastAsia="Times New Roman" w:hAnsi="Times New Roman"/>
          <w:sz w:val="20"/>
          <w:szCs w:val="20"/>
          <w:i w:val="1"/>
          <w:iCs w:val="1"/>
          <w:color w:val="auto"/>
        </w:rPr>
        <w:t>liquidateur judiciaire</w:t>
      </w:r>
      <w:r>
        <w:rPr>
          <w:rFonts w:ascii="Times New Roman" w:cs="Times New Roman" w:eastAsia="Times New Roman" w:hAnsi="Times New Roman"/>
          <w:sz w:val="20"/>
          <w:szCs w:val="20"/>
          <w:color w:val="auto"/>
        </w:rPr>
        <w:t xml:space="preserve">) or other similar office (with respect to a Credit Party organized under the laws of France,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Times New Roman" w:cs="Times New Roman" w:eastAsia="Times New Roman" w:hAnsi="Times New Roman"/>
          <w:sz w:val="20"/>
          <w:szCs w:val="20"/>
          <w:i w:val="1"/>
          <w:iCs w:val="1"/>
          <w:color w:val="auto"/>
        </w:rPr>
        <w:t>en état de cessation des paiements</w:t>
      </w:r>
      <w:r>
        <w:rPr>
          <w:rFonts w:ascii="Times New Roman" w:cs="Times New Roman" w:eastAsia="Times New Roman" w:hAnsi="Times New Roman"/>
          <w:sz w:val="20"/>
          <w:szCs w:val="20"/>
          <w:color w:val="auto"/>
        </w:rPr>
        <w:t xml:space="preserve"> within the meaning of article L 631-1 of the French Commercial Code) or will have admitted in writing its inability to pay its debts as they fall due; (iv) no Credit Party organized under the laws of France will be subject to safeguard proceedings (</w:t>
      </w:r>
      <w:r>
        <w:rPr>
          <w:rFonts w:ascii="Times New Roman" w:cs="Times New Roman" w:eastAsia="Times New Roman" w:hAnsi="Times New Roman"/>
          <w:sz w:val="20"/>
          <w:szCs w:val="20"/>
          <w:i w:val="1"/>
          <w:iCs w:val="1"/>
          <w:color w:val="auto"/>
        </w:rPr>
        <w:t>procédure de sauvegarde</w:t>
      </w:r>
      <w:r>
        <w:rPr>
          <w:rFonts w:ascii="Times New Roman" w:cs="Times New Roman" w:eastAsia="Times New Roman" w:hAnsi="Times New Roman"/>
          <w:sz w:val="20"/>
          <w:szCs w:val="20"/>
          <w:color w:val="auto"/>
        </w:rPr>
        <w:t xml:space="preserve">), within the meaning of Article L. 620-1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of the French Commercial Code (which shall include, for the avoidance of doubt, </w:t>
      </w:r>
      <w:r>
        <w:rPr>
          <w:rFonts w:ascii="Times New Roman" w:cs="Times New Roman" w:eastAsia="Times New Roman" w:hAnsi="Times New Roman"/>
          <w:sz w:val="20"/>
          <w:szCs w:val="20"/>
          <w:i w:val="1"/>
          <w:iCs w:val="1"/>
          <w:color w:val="auto"/>
        </w:rPr>
        <w:t>sauvegarde accélérée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sauvegarde financière accélérée</w:t>
      </w:r>
      <w:r>
        <w:rPr>
          <w:rFonts w:ascii="Times New Roman" w:cs="Times New Roman" w:eastAsia="Times New Roman" w:hAnsi="Times New Roman"/>
          <w:sz w:val="20"/>
          <w:szCs w:val="20"/>
          <w:color w:val="auto"/>
        </w:rPr>
        <w:t xml:space="preserve">); and (v) no Credit Party will have commenced negotiations with any of its creditors with a view to the general readjustment or 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Times New Roman" w:cs="Times New Roman" w:eastAsia="Times New Roman" w:hAnsi="Times New Roman"/>
          <w:sz w:val="20"/>
          <w:szCs w:val="20"/>
          <w:i w:val="1"/>
          <w:iCs w:val="1"/>
          <w:color w:val="auto"/>
        </w:rPr>
        <w:t>accord de conciliation</w:t>
      </w:r>
      <w:r>
        <w:rPr>
          <w:rFonts w:ascii="Times New Roman" w:cs="Times New Roman" w:eastAsia="Times New Roman" w:hAnsi="Times New Roman"/>
          <w:sz w:val="20"/>
          <w:szCs w:val="20"/>
          <w:color w:val="auto"/>
        </w:rPr>
        <w:t>), or will have stopped or suspended payment of all or substantially all of its debts or will have announced an intention to do so, or will have a moratorium declared in respect of any of its indebtedness.</w:t>
      </w:r>
    </w:p>
    <w:p>
      <w:pPr>
        <w:spacing w:after="0" w:line="215" w:lineRule="exact"/>
        <w:rPr>
          <w:sz w:val="20"/>
          <w:szCs w:val="20"/>
          <w:color w:val="auto"/>
        </w:rPr>
      </w:pPr>
    </w:p>
    <w:p>
      <w:pPr>
        <w:jc w:val="both"/>
        <w:ind w:firstLine="656"/>
        <w:spacing w:after="0" w:line="263" w:lineRule="auto"/>
        <w:tabs>
          <w:tab w:leader="none" w:pos="1284"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Set forth on (i) </w:t>
      </w:r>
      <w:r>
        <w:rPr>
          <w:rFonts w:ascii="Times New Roman" w:cs="Times New Roman" w:eastAsia="Times New Roman" w:hAnsi="Times New Roman"/>
          <w:sz w:val="19"/>
          <w:szCs w:val="19"/>
          <w:u w:val="single" w:color="auto"/>
          <w:color w:val="auto"/>
        </w:rPr>
        <w:t>Schedule 6.5(b)(i)</w:t>
      </w:r>
      <w:r>
        <w:rPr>
          <w:rFonts w:ascii="Times New Roman" w:cs="Times New Roman" w:eastAsia="Times New Roman" w:hAnsi="Times New Roman"/>
          <w:sz w:val="19"/>
          <w:szCs w:val="19"/>
          <w:color w:val="auto"/>
        </w:rPr>
        <w:t xml:space="preserve"> hereto is a list and description of all Indebtedness of the Credit Parties and their respective Subsidiaries (other than the Loans), in each case, with an aggregate outstanding principal amount in excess of $5,000,000 that will be outstanding as of the Incremental Amendment No. 3 and Fifth Amendment Effective Date; (ii) </w:t>
      </w:r>
      <w:r>
        <w:rPr>
          <w:rFonts w:ascii="Times New Roman" w:cs="Times New Roman" w:eastAsia="Times New Roman" w:hAnsi="Times New Roman"/>
          <w:sz w:val="19"/>
          <w:szCs w:val="19"/>
          <w:u w:val="single" w:color="auto"/>
          <w:color w:val="auto"/>
        </w:rPr>
        <w:t>Schedule 6.5(b)(ii)</w:t>
      </w:r>
      <w:r>
        <w:rPr>
          <w:rFonts w:ascii="Times New Roman" w:cs="Times New Roman" w:eastAsia="Times New Roman" w:hAnsi="Times New Roman"/>
          <w:sz w:val="19"/>
          <w:szCs w:val="19"/>
          <w:color w:val="auto"/>
        </w:rPr>
        <w:t xml:space="preserve"> hereto is a list and description of the Existing Non-U.S. Facilities and the obligations of any Subsidiary of Crown Holdings that has any Guarantee Obligations with respect to, is an obligor under or provides credit support in respect of such Existing Non-U.S. Facilities, in each case, with an aggregate outstanding principal amount in excess of $5,000,000, as of the Incremental Amendment No. 3 and Fifth Amendment Effective Date; and</w:t>
      </w:r>
    </w:p>
    <w:p>
      <w:pPr>
        <w:spacing w:after="0" w:line="3" w:lineRule="exact"/>
        <w:rPr>
          <w:rFonts w:ascii="Times New Roman" w:cs="Times New Roman" w:eastAsia="Times New Roman" w:hAnsi="Times New Roman"/>
          <w:sz w:val="19"/>
          <w:szCs w:val="19"/>
          <w:color w:val="auto"/>
        </w:rPr>
      </w:pPr>
    </w:p>
    <w:p>
      <w:pPr>
        <w:ind w:left="400" w:hanging="392"/>
        <w:spacing w:after="0"/>
        <w:tabs>
          <w:tab w:leader="none" w:pos="4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6.5(b)(iii)</w:t>
      </w:r>
      <w:r>
        <w:rPr>
          <w:rFonts w:ascii="Times New Roman" w:cs="Times New Roman" w:eastAsia="Times New Roman" w:hAnsi="Times New Roman"/>
          <w:sz w:val="20"/>
          <w:szCs w:val="20"/>
          <w:color w:val="auto"/>
        </w:rPr>
        <w:t xml:space="preserve"> hereto is a list and description of the Existing Factoring Facilities of the Credit Parties and their respective</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Subsidiaries and the obligations of any Subsidiary of Crown Holdings that has any Guarantee Obligations with respect to, is an obligor under or provides credit support in respect of such Existing Factoring Facilities, in each case, with an aggregate outstanding principal amount in excess of $5,000,000, as of the Incremental Amendment No. 3 and Fifth Amendment Effective Date (collectively, including such Indebtedness described in this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 xml:space="preserve"> and not required to be scheduled, the “</w:t>
      </w:r>
      <w:r>
        <w:rPr>
          <w:rFonts w:ascii="Times New Roman" w:cs="Times New Roman" w:eastAsia="Times New Roman" w:hAnsi="Times New Roman"/>
          <w:sz w:val="20"/>
          <w:szCs w:val="20"/>
          <w:u w:val="single" w:color="auto"/>
          <w:color w:val="auto"/>
        </w:rPr>
        <w:t>Indebtedness to Remain Outstanding</w:t>
      </w:r>
      <w:r>
        <w:rPr>
          <w:rFonts w:ascii="Times New Roman" w:cs="Times New Roman" w:eastAsia="Times New Roman" w:hAnsi="Times New Roman"/>
          <w:sz w:val="20"/>
          <w:szCs w:val="20"/>
          <w:color w:val="auto"/>
        </w:rPr>
        <w:t>”), in each case showing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ectPr>
          <w:pgSz w:w="11900" w:h="16838" w:orient="portrait"/>
          <w:cols w:equalWidth="0" w:num="1">
            <w:col w:w="11240"/>
          </w:cols>
          <w:pgMar w:left="320" w:top="1413" w:right="339" w:bottom="1440" w:gutter="0" w:footer="0" w:header="0"/>
        </w:sectPr>
      </w:pPr>
    </w:p>
    <w:bookmarkStart w:id="297" w:name="page298"/>
    <w:bookmarkEnd w:id="29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aggregate principal amount thereof (and the aggregate 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Times New Roman" w:cs="Times New Roman" w:eastAsia="Times New Roman" w:hAnsi="Times New Roman"/>
          <w:sz w:val="20"/>
          <w:szCs w:val="20"/>
          <w:u w:val="single" w:color="auto"/>
          <w:color w:val="auto"/>
        </w:rPr>
        <w:t>Schedule 6.5(b)(i)</w:t>
      </w:r>
      <w:r>
        <w:rPr>
          <w:rFonts w:ascii="Times New Roman" w:cs="Times New Roman" w:eastAsia="Times New Roman" w:hAnsi="Times New Roman"/>
          <w:sz w:val="20"/>
          <w:szCs w:val="20"/>
          <w:color w:val="auto"/>
        </w:rPr>
        <w:t xml:space="preserve"> and of each material agreement or instrument pursuant to which such Indebtedness for money borrowed was issued.</w:t>
      </w:r>
    </w:p>
    <w:p>
      <w:pPr>
        <w:spacing w:after="0" w:line="192" w:lineRule="exact"/>
        <w:rPr>
          <w:sz w:val="20"/>
          <w:szCs w:val="20"/>
          <w:color w:val="auto"/>
        </w:rPr>
      </w:pPr>
    </w:p>
    <w:p>
      <w:pPr>
        <w:jc w:val="both"/>
        <w:ind w:firstLine="656"/>
        <w:spacing w:after="0" w:line="251" w:lineRule="auto"/>
        <w:tabs>
          <w:tab w:leader="none" w:pos="128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On and as of the Effective Date, the financial projections previously delivered to Administrative Agent for further distribution to the Lenders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and each of the budgets and projections delivered after the Effective Date pursuant to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Since December 31, 2016, there has been no material adverse change in the financial condition of Crown Holdings and its Subsidiaries, taken as a whole.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or proceedings pending or, to the knowledge of any of the Credit Parties, threatened in writing against any Credit Party (i) that would reasonably be expected to have a Material Adverse Effect, or (ii) which purports to affect the legality, validity or enforceability of this Agreement, any Loan Document or the transactions contemplated hereby or thereby.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True and Complete Disclosure</w:t>
      </w:r>
      <w:r>
        <w:rPr>
          <w:rFonts w:ascii="Times New Roman" w:cs="Times New Roman" w:eastAsia="Times New Roman" w:hAnsi="Times New Roman"/>
          <w:sz w:val="20"/>
          <w:szCs w:val="20"/>
          <w:color w:val="auto"/>
        </w:rPr>
        <w:t xml:space="preserve">. To Crown Holding’s knowledge, all written information (taken as a whole) heretofore or contemporaneously furnished by or on behalf of any Credit Party in writing to any Lender (including, without limitation, all information contained in the Loan Documents) (other than the Projections, as to which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xml:space="preserve"> applies, and any forecast, estimates, pro forma information, projections and statements as to anticipated future performance or conditions and other than information of a general economic or industry specific nature or financial information) for purposes of or in connection with this Agreement or any transaction contemplated herein is, as modified or supplemented by other information (taken as a whole) so furnished from time to time, when taken as a whole, do not contain as of the date furnished (or, if such information expressly related to a specific date, as of such specific date) any untrue statement of material fact or omit to state a material fact necessary in order to make the statements contained herein or therein, in light of the circumstances under which they were made, not materially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this or any such document, certificate or statement was based upon or constitutes a forecast estimate, pro forma information or projection, statement as to anticipated future performance or conditions or general economic, industry specific or financial information, it is understood that such document, certificate or statement is not to be viewed as fact, that actual results during the period or periods covered by such document, certificate or statement may differ from such document, certificate or statement and the differences may be material, and that no assurance can be given that the results set forth in such document, certificate or statement will actually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ectPr>
          <w:pgSz w:w="11900" w:h="16838" w:orient="portrait"/>
          <w:cols w:equalWidth="0" w:num="1">
            <w:col w:w="11240"/>
          </w:cols>
          <w:pgMar w:left="320" w:top="1413" w:right="339" w:bottom="1440" w:gutter="0" w:footer="0" w:header="0"/>
        </w:sectPr>
      </w:pPr>
    </w:p>
    <w:bookmarkStart w:id="298" w:name="page299"/>
    <w:bookmarkEnd w:id="298"/>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Use of Proceeds; Margin Regulations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4" w:lineRule="auto"/>
        <w:tabs>
          <w:tab w:leader="none" w:pos="128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Proceeds</w:t>
      </w:r>
      <w:r>
        <w:rPr>
          <w:rFonts w:ascii="Times New Roman" w:cs="Times New Roman" w:eastAsia="Times New Roman" w:hAnsi="Times New Roman"/>
          <w:sz w:val="20"/>
          <w:szCs w:val="20"/>
          <w:color w:val="auto"/>
        </w:rPr>
        <w:t>. The proceeds of (x) the Term Loans and Revolving Loans incurred on the Effective Date hereunder shall be used by the Borrowers (i) to refinance all Indebtedness and other obligations under the Existing Credit Agreement, (ii) to pay transaction costs and expenses in connection with this Agreement and the transactions contemplated hereby and (iii) with regard to any remaining amount, for general corporate purposes.</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Proceeds</w:t>
      </w:r>
      <w:r>
        <w:rPr>
          <w:rFonts w:ascii="Times New Roman" w:cs="Times New Roman" w:eastAsia="Times New Roman" w:hAnsi="Times New Roman"/>
          <w:sz w:val="20"/>
          <w:szCs w:val="20"/>
          <w:color w:val="auto"/>
        </w:rPr>
        <w:t>. All proceeds of the Revolving Loans incurred hereunder shall be used by Crown Holdings and its Subsidiaries for ongoing working capital needs, acquisitions, share repurchases and other general corporate purposes, including, but not limited to, (x) the refinancing in part or in full of the Loans as defined and as outstanding under this Agreement immediately prior to giving effect to the Incremental Amendment No. 2 and Third Amendment and (y) to pay fees and expenses incurred in connection with the Incremental Amendment No. 2 and Third Amendment and any other transactions contemplated by or otherwise permitted under this Agreement.</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No proceeds of any Loan will be used in a violation of any provision of Regulation U or X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 No. 3 and Fifth Amendment Proceeds</w:t>
      </w:r>
      <w:r>
        <w:rPr>
          <w:rFonts w:ascii="Times New Roman" w:cs="Times New Roman" w:eastAsia="Times New Roman" w:hAnsi="Times New Roman"/>
          <w:sz w:val="20"/>
          <w:szCs w:val="20"/>
          <w:color w:val="auto"/>
        </w:rPr>
        <w:t>. The proceeds of the Term A Loans and Term Euro Loans incurred on the Incremental Amendment No. 3 and Fifth Amendment Effective Date shall be used by the U.S. Borrower and European Borrower as set forth in the Incremental Amendment No. 3 and Fifth Amendment.</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Crown Holdings and its Subsidiaries has timely filed all federal income, foreign country income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individually or in the aggregate, would not reasonably be expected to have a Material Adverse Effect.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Compliance With ERISA; Foreign Pension Plans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2" w:lineRule="auto"/>
        <w:tabs>
          <w:tab w:leader="none" w:pos="1286"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 which reasonably might result in the incurrence by Crown Holdings and its Subsidiaries or any ERISA Affiliates of any liability, fine or penalty which would reasonably be expected to have a Material Adverse Effect. Crown Holdings and its Subsidiaries or any ERISA Affiliates have no contingent liability with respect to post-retirement benefits provided by Crown Holdings and its Subsidiaries or any ERISA Affiliates under a Welfare Plan, other than</w:t>
      </w:r>
    </w:p>
    <w:p>
      <w:pPr>
        <w:spacing w:after="0" w:line="6" w:lineRule="exact"/>
        <w:rPr>
          <w:rFonts w:ascii="Times New Roman" w:cs="Times New Roman" w:eastAsia="Times New Roman" w:hAnsi="Times New Roman"/>
          <w:sz w:val="19"/>
          <w:szCs w:val="19"/>
          <w:color w:val="auto"/>
        </w:rPr>
      </w:pPr>
    </w:p>
    <w:p>
      <w:pPr>
        <w:ind w:right="20" w:firstLine="8"/>
        <w:spacing w:after="0" w:line="253" w:lineRule="auto"/>
        <w:tabs>
          <w:tab w:leader="none" w:pos="261"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continuation coverage described in Part 6 of Subtitle B of Title I of ERISA and (ii) liabilities that, individually or in the aggregate,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ectPr>
          <w:pgSz w:w="11900" w:h="16838" w:orient="portrait"/>
          <w:cols w:equalWidth="0" w:num="1">
            <w:col w:w="11240"/>
          </w:cols>
          <w:pgMar w:left="320" w:top="1413" w:right="339" w:bottom="1440" w:gutter="0" w:footer="0" w:header="0"/>
        </w:sectPr>
      </w:pPr>
    </w:p>
    <w:bookmarkStart w:id="299" w:name="page300"/>
    <w:bookmarkEnd w:id="299"/>
    <w:p>
      <w:pPr>
        <w:jc w:val="both"/>
        <w:ind w:firstLine="656"/>
        <w:spacing w:after="0" w:line="252" w:lineRule="auto"/>
        <w:tabs>
          <w:tab w:leader="none" w:pos="128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could reasonably be expected to give rise to any such investigation or claim (other than routine claims for payment of benefits).</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or has otherwise been disclosed to the Canadian Administrative Agent. As of the Effective Date, the wind-up deficiency related to any prior wind-up or partial wind-up of a Canadian Defined Benefit Plan as of the date of the most recently filed actuarial valuation for such plan prior to the Effective Date is set out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or has otherwise been disclosed to the Canadian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no Canadian Pension Termination Event has occurred, (ii) all reports and disclosures relating to the Canadian Defined Benefit Plan required by any applicable laws have been filed or distributed in a timely fashion, except as would not reasonably be expected to have a Material Adverse Effect and (iii) all obligations of any Canadian Credit Party required to be performed in connection with the Canadian Defined Benefit Plans or the funding agreements therefor have been performed in a timely fashion and there are no outstanding disputes concerning the assets held pursuant to any such funding agreement, except as would not reasonably be expected to have a Material Adverse Effect. No Canadian Credit Party contributes to, or has any obligation to contribute to, any Multiple Employer Plan.</w:t>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In the case of the Pledged Securities to the extent represented by certificated securities (the “</w:t>
      </w:r>
      <w:r>
        <w:rPr>
          <w:rFonts w:ascii="Times New Roman" w:cs="Times New Roman" w:eastAsia="Times New Roman" w:hAnsi="Times New Roman"/>
          <w:sz w:val="20"/>
          <w:szCs w:val="20"/>
          <w:u w:val="single" w:color="auto"/>
          <w:color w:val="auto"/>
        </w:rPr>
        <w:t>Certificated Pledged Stock</w:t>
      </w:r>
      <w:r>
        <w:rPr>
          <w:rFonts w:ascii="Times New Roman" w:cs="Times New Roman" w:eastAsia="Times New Roman" w:hAnsi="Times New Roman"/>
          <w:sz w:val="20"/>
          <w:szCs w:val="20"/>
          <w:color w:val="auto"/>
        </w:rPr>
        <w:t>”) described in the U.S. Pledge Agreement, as a result of certificates representing such Certificated Pledged Stock having been delivered to the Collateral Agent, the security interests created by the U.S. Pledge Agreement in such Certificated Pledged Stock constitute a fully perfected Lien (to the extent such Lien can be perfected by possession) having the priority set forth therein (subject to Permitted Liens).</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ectPr>
          <w:pgSz w:w="11900" w:h="16838" w:orient="portrait"/>
          <w:cols w:equalWidth="0" w:num="1">
            <w:col w:w="11240"/>
          </w:cols>
          <w:pgMar w:left="320" w:top="1413" w:right="339" w:bottom="1440" w:gutter="0" w:footer="0" w:header="0"/>
        </w:sectPr>
      </w:pPr>
    </w:p>
    <w:bookmarkStart w:id="300" w:name="page301"/>
    <w:bookmarkEnd w:id="300"/>
    <w:p>
      <w:pPr>
        <w:jc w:val="both"/>
        <w:ind w:firstLine="656"/>
        <w:spacing w:after="0" w:line="251" w:lineRule="auto"/>
        <w:tabs>
          <w:tab w:leader="none" w:pos="128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Security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Security Agreement). As a result of financing statements in appropriate form having been filed with the appropriate offices, the security interest in the Collateral (including registered trademarks and registered patents, but excluding registered copyrights) described in the U.S. Security Agreement constitutes a fully perfected Lien (to the extent such Lien can be perfected by filing, recording or registering under the UCC) on, and security interest in, all right, title and interest of the grantors thereunder in such Collateral (including registered trademarks and registered patents, but excluding registered copyrights), in each case having the priority set forth therein (except Permitted Liens).</w:t>
      </w:r>
    </w:p>
    <w:p>
      <w:pPr>
        <w:spacing w:after="0" w:line="195" w:lineRule="exact"/>
        <w:rPr>
          <w:rFonts w:ascii="Times New Roman" w:cs="Times New Roman" w:eastAsia="Times New Roman" w:hAnsi="Times New Roman"/>
          <w:sz w:val="20"/>
          <w:szCs w:val="20"/>
          <w:color w:val="auto"/>
        </w:rPr>
      </w:pPr>
    </w:p>
    <w:p>
      <w:pPr>
        <w:jc w:val="both"/>
        <w:ind w:firstLine="656"/>
        <w:spacing w:after="0" w:line="269" w:lineRule="auto"/>
        <w:tabs>
          <w:tab w:leader="none" w:pos="1284"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result of security agreements, financing statements and/or analogous documents in appropriate form having been filed with the appropriate offices, including the United States Copyright Office, the security interest in the Collateral described in the U.S. Security Agreement that are registered copyrights constitutes a fully perfected Lien (to the extent such Lien can be perfected by filing, recording or registering in such appropriate offices, including the United States Copyright Office), in each case having the priority set forth therein (except Permitted Liens) (it being understood that subsequent recordings in the United States Copyright Office may be necessary to perfect a Lien on registered copyrights acquired by the Credit Parties after the Incremental Amendment No. 3 and Fifth Amendment Effective Date).</w:t>
      </w:r>
    </w:p>
    <w:p>
      <w:pPr>
        <w:spacing w:after="0" w:line="164" w:lineRule="exact"/>
        <w:rPr>
          <w:rFonts w:ascii="Times New Roman" w:cs="Times New Roman" w:eastAsia="Times New Roman" w:hAnsi="Times New Roman"/>
          <w:sz w:val="19"/>
          <w:szCs w:val="19"/>
          <w:color w:val="auto"/>
        </w:rPr>
      </w:pPr>
    </w:p>
    <w:p>
      <w:pPr>
        <w:jc w:val="both"/>
        <w:ind w:firstLine="656"/>
        <w:spacing w:after="0" w:line="252" w:lineRule="auto"/>
        <w:tabs>
          <w:tab w:leader="none" w:pos="128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agreements entered into by the Canadian Credit Parties are effective (subject to the Legal Reservations)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UCC or by possession or control by the Canadian Administrative Agent, in each case prior and superior in right to any other Person, other than with respect to Permitted Liens.</w:t>
      </w:r>
    </w:p>
    <w:p>
      <w:pPr>
        <w:spacing w:after="0" w:line="177"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1"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filings, amendments, undertakings and other actions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Incremental Amendment No. 2 and Third Amendment, each Euro Security Document is effective (subject to the Legal Reservations) to create in favor of the Euro Collateral Agent, for the benefit of the Secured Creditors named therein, a legal, valid and 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 be perfected only by possession or control (which possession or control shall be given to the Euro Collateral Agent to the extent possession or control by the Euro Collateral Agent is required by any Euro Security Document) and (z) any further action required under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are taken, each Euro Security Document shall constitute a fully perfected Lien on, and security interest in, all right, title and interest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ectPr>
          <w:pgSz w:w="11900" w:h="16838" w:orient="portrait"/>
          <w:cols w:equalWidth="0" w:num="1">
            <w:col w:w="11240"/>
          </w:cols>
          <w:pgMar w:left="320" w:top="1413" w:right="339" w:bottom="1440" w:gutter="0" w:footer="0" w:header="0"/>
        </w:sectPr>
      </w:pPr>
    </w:p>
    <w:bookmarkStart w:id="301" w:name="page302"/>
    <w:bookmarkEnd w:id="301"/>
    <w:p>
      <w:pPr>
        <w:jc w:val="both"/>
        <w:spacing w:after="0" w:line="283" w:lineRule="auto"/>
        <w:rPr>
          <w:sz w:val="20"/>
          <w:szCs w:val="20"/>
          <w:color w:val="auto"/>
        </w:rPr>
      </w:pPr>
      <w:r>
        <w:rPr>
          <w:rFonts w:ascii="Times New Roman" w:cs="Times New Roman" w:eastAsia="Times New Roman" w:hAnsi="Times New Roman"/>
          <w:sz w:val="20"/>
          <w:szCs w:val="20"/>
          <w:color w:val="auto"/>
        </w:rPr>
        <w:t>the grantors thereunder in such Collateral, in each case prior and superior in right to any other Person, other than with respect to Permitted Liens.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Ownership of Property</w:t>
      </w:r>
      <w:r>
        <w:rPr>
          <w:rFonts w:ascii="Times New Roman" w:cs="Times New Roman" w:eastAsia="Times New Roman" w:hAnsi="Times New Roman"/>
          <w:sz w:val="20"/>
          <w:szCs w:val="20"/>
          <w:color w:val="auto"/>
        </w:rPr>
        <w:t>. Crown Holdings and each of its Material Subsidiaries has good and marketable title to, a subsisting leasehold interest in, or right to use, all items of material real and tangible personal property used in its operations, free and clear of all Liens (except as to leasehold interests), except Permitted Liens and except as would not reasonably be expected to have a Material Adverse Effect. Substantially all items of real property owned by, leased to or used by Crown Holdings and each of its Material Subsidiaries are free and clear of any known defects in title except such defects as do not substantially interfere with the continued use thereof in the conduct of normal operations, and except Permitted Real Property Encumbrances except as would reasonably be expected to have a Material Adverse Effect.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Capitalization of Credit Parties</w:t>
      </w:r>
      <w:r>
        <w:rPr>
          <w:rFonts w:ascii="Times New Roman" w:cs="Times New Roman" w:eastAsia="Times New Roman" w:hAnsi="Times New Roman"/>
          <w:sz w:val="20"/>
          <w:szCs w:val="20"/>
          <w:color w:val="auto"/>
        </w:rPr>
        <w:t>.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 Agreement, none of any Credit Party’s Subsidiaries has any outstanding stock or 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6.14</w:t>
      </w:r>
      <w:r>
        <w:rPr>
          <w:rFonts w:ascii="Times New Roman" w:cs="Times New Roman" w:eastAsia="Times New Roman" w:hAnsi="Times New Roman"/>
          <w:sz w:val="20"/>
          <w:szCs w:val="20"/>
          <w:color w:val="auto"/>
        </w:rPr>
        <w:t xml:space="preserve"> hereto sets forth a true, complete and correct list as of the Effective Date of all Subsidiaries of any Credit Party after giving effect to the Transactions and indicates for each such Subsidiary (i) its jurisdiction of organization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Compliance With Laws, Etc.</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Neither Crown Holdings nor any of its Material Subsidiaries is in default under or in violation of any Requirement of Law (other than Taxes, ERISA and Foreign Plans or Environmental Laws, which are covered exclusively by </w:t>
      </w:r>
      <w:r>
        <w:rPr>
          <w:rFonts w:ascii="Times New Roman" w:cs="Times New Roman" w:eastAsia="Times New Roman" w:hAnsi="Times New Roman"/>
          <w:sz w:val="20"/>
          <w:szCs w:val="20"/>
          <w:u w:val="single" w:color="auto"/>
          <w:color w:val="auto"/>
        </w:rPr>
        <w:t>Sections 6.9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6.18</w:t>
      </w:r>
      <w:r>
        <w:rPr>
          <w:rFonts w:ascii="Times New Roman" w:cs="Times New Roman" w:eastAsia="Times New Roman" w:hAnsi="Times New Roman"/>
          <w:sz w:val="20"/>
          <w:szCs w:val="20"/>
          <w:color w:val="auto"/>
        </w:rPr>
        <w:t>, respectively) applicable to any of them or Contractual Obligation applicable to any of them (other than Contractual Obligations related to Indebtedness (other than Material Indebtedness)), as the case may be, in each case the consequences of which default or violation, individually or in the aggregate with all such other deficits and violations,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ectPr>
          <w:pgSz w:w="11900" w:h="16838" w:orient="portrait"/>
          <w:cols w:equalWidth="0" w:num="1">
            <w:col w:w="11240"/>
          </w:cols>
          <w:pgMar w:left="320" w:top="1413" w:right="339" w:bottom="1440" w:gutter="0" w:footer="0" w:header="0"/>
        </w:sectPr>
      </w:pPr>
    </w:p>
    <w:bookmarkStart w:id="302" w:name="page303"/>
    <w:bookmarkEnd w:id="302"/>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None of the Borrowers nor any of their respective Subsidiaries is an “investment company” or a company “controlled” by an “investment company,” within the meaning of the Investment Company Act of 1940, as amended.</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Sustainability-Related Information</w:t>
      </w:r>
      <w:r>
        <w:rPr>
          <w:rFonts w:ascii="Times New Roman" w:cs="Times New Roman" w:eastAsia="Times New Roman" w:hAnsi="Times New Roman"/>
          <w:sz w:val="20"/>
          <w:szCs w:val="20"/>
          <w:color w:val="auto"/>
        </w:rPr>
        <w:t>. Crown Holdings hereby represents and warrants to the Lenders that all information about its sustainability initiatives or strategy, including, without limitation, the KPI Metrics and any targets with respect thereto, which have been or may be provided to the Administrative Agent, the Sustainability Coordinators or any Lender by or on behalf of it, or which have been or may be approved by it (collectively, including the Sustainability Certificate, the “</w:t>
      </w:r>
      <w:r>
        <w:rPr>
          <w:rFonts w:ascii="Times New Roman" w:cs="Times New Roman" w:eastAsia="Times New Roman" w:hAnsi="Times New Roman"/>
          <w:sz w:val="20"/>
          <w:szCs w:val="20"/>
          <w:u w:val="single" w:color="auto"/>
          <w:color w:val="auto"/>
        </w:rPr>
        <w:t>Sustainability-Related Information</w:t>
      </w:r>
      <w:r>
        <w:rPr>
          <w:rFonts w:ascii="Times New Roman" w:cs="Times New Roman" w:eastAsia="Times New Roman" w:hAnsi="Times New Roman"/>
          <w:sz w:val="20"/>
          <w:szCs w:val="20"/>
          <w:color w:val="auto"/>
        </w:rPr>
        <w:t>”), is true and accurate in all material respects as of the date it is provided or approved and as of the date (if any) of which it is stated. These representations and warranties are deemed to be made by Crown Holdings daily by reference to the facts and circumstances then existing commencing on the Seventh Amendment Effective Date and continuing until this Agreement terminates; provided that it is understood and agreed that any breach of this Section 6.17 shall not constitute a Default or Event of Default or otherwise result in the failure of any condition precedent to any advance or the issuance of any Letter of Credit.</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for any matters that, individually or in the aggregate, would not reasonably be expected to have a Material Adverse Effect:</w:t>
      </w:r>
    </w:p>
    <w:p>
      <w:pPr>
        <w:spacing w:after="0" w:line="173" w:lineRule="exact"/>
        <w:rPr>
          <w:sz w:val="20"/>
          <w:szCs w:val="20"/>
          <w:color w:val="auto"/>
        </w:rPr>
      </w:pPr>
    </w:p>
    <w:p>
      <w:pPr>
        <w:ind w:right="20" w:firstLine="656"/>
        <w:spacing w:after="0" w:line="269" w:lineRule="auto"/>
        <w:tabs>
          <w:tab w:leader="none" w:pos="12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facilities and property owned, leased or operated by Crown Holdings or any of its Subsidiaries, and all operations conducted thereon, are in compliance with all Environmental Laws.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threatened written claims, complaints, notices or inquiries received by Crown Holdings or any of its Subsidiaries regarding any Environmental Liability.</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have been no Releases of Hazardous Materials at, on, under or from any property now or, to any Credit Party’s knowledge, previously owned or leased or operated by Crown Holdings or any of its Subsidiaries.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and its Subsidiaries have been issued and are in compliance with all Environmental Permits necessary for their operations, facilities and businesses and each is in full force and effect.</w:t>
      </w:r>
    </w:p>
    <w:p>
      <w:pPr>
        <w:spacing w:after="0" w:line="146"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2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property now or, to any Credit Party’s knowledge, previously owned, leased or operated by Crown Holdings or any of its Subsidiaries is listed or proposed (with respect to owned property only) for listing on the SEMs or on any similar state, provincial or territorial list of sites requiring investigation or clean-up, or on the National Priorities List pursuant to CERCLA.</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Crown Holdings nor any Subsidiary has transported or arranged for the transportation of any Hazardous Material to any location which is listed or proposed for listing on the National Priorities List pursuant to CERCLA, on the SEMs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any Credit Party, there are no past or present actions, activities, conditions or occurrences that would reasonably be expected to prevent Crown Holdings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1900" w:h="16838" w:orient="portrait"/>
          <w:cols w:equalWidth="0" w:num="1">
            <w:col w:w="11240"/>
          </w:cols>
          <w:pgMar w:left="320" w:top="1413"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Subsidiaries from complying with, or to result in the liability of Crown Holdings or any of its Subsidiaries under, any Environmental Law.</w:t>
      </w:r>
    </w:p>
    <w:p>
      <w:pPr>
        <w:spacing w:after="0" w:line="229" w:lineRule="exact"/>
        <w:rPr>
          <w:sz w:val="20"/>
          <w:szCs w:val="20"/>
          <w:color w:val="auto"/>
        </w:rPr>
      </w:pPr>
    </w:p>
    <w:p>
      <w:pPr>
        <w:ind w:firstLine="656"/>
        <w:spacing w:after="0" w:line="269" w:lineRule="auto"/>
        <w:tabs>
          <w:tab w:leader="none" w:pos="129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Environmental Liens have been recorded pursuant to any Environmental Law with respect to any property or other assets owned or leased by Crown Holdings or any of its Subsidiaries that impair the current use or marketability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Intellectual Property, Licenses, Franchises and Formulas</w:t>
      </w:r>
      <w:r>
        <w:rPr>
          <w:rFonts w:ascii="Times New Roman" w:cs="Times New Roman" w:eastAsia="Times New Roman" w:hAnsi="Times New Roman"/>
          <w:sz w:val="20"/>
          <w:szCs w:val="20"/>
          <w:color w:val="auto"/>
        </w:rPr>
        <w:t>. Each of Crown Holdings and its Material Subsidiaries owns or possesses, is licensed or otherwise has the right to use, or could obtain ownership or possession of, on terms not materially adverse to it, all patents, trademarks, service marks, trade names, copyrights, licenses and rights with respect thereto (collectively,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necessary for the present conduct of its business, without any known conflict with the rights of others, except where such conflicts, individually or in the aggregate with all such other conflicts, would not reasonably be expected to have a Material Adverse Effect.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286"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Credit Parties or any of their Subsidiaries or Unrestricted Entities, officers or directors, or to the knowledge of any of the Credit Parties, any of their employees, agents or Affiliates, are in violation of any Anti-Corruption Laws or any laws relating to terrorism or money laundering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including the economic or financial sanctions or trade embargoes imposed, administered or enforced from time to time by (i) the United States Treasury Department’s Office of Foreign Asset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the State Department and the Commerce Department (including Executive Order No. 13224 on Terrorist Financing, effective September 24, 2001 (the “</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and the Uniting and Strengthening America by Providing Appropriate Tools Required to Intercept and Obstruct Terrorism Act of 2001, Public Law 107-56 and (ii) the United Nations Security Council, the European Union or Her Majesty’s Treasury of the United Kingdom (collectively, the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No part of the proceeds of the Loans or Letters of Credit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19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or any of their Subsidiaries or Unrestricted Entities or any of their officers or directors, to the knowledge of any of the Credit Parties, any of their employees, Affiliates or their respective brokers or other agents, is any of the following:</w:t>
      </w:r>
    </w:p>
    <w:p>
      <w:pPr>
        <w:spacing w:after="0" w:line="172" w:lineRule="exact"/>
        <w:rPr>
          <w:rFonts w:ascii="Times New Roman" w:cs="Times New Roman" w:eastAsia="Times New Roman" w:hAnsi="Times New Roman"/>
          <w:sz w:val="20"/>
          <w:szCs w:val="20"/>
          <w:color w:val="auto"/>
        </w:rPr>
      </w:pPr>
    </w:p>
    <w:p>
      <w:pPr>
        <w:ind w:left="660" w:firstLine="903"/>
        <w:spacing w:after="0" w:line="283" w:lineRule="auto"/>
        <w:tabs>
          <w:tab w:leader="none" w:pos="1943"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entity that is listed in the annex to, or is otherwise subject to the prohibitions contained in, the Executive Order or the OFAC regulations;</w:t>
      </w:r>
    </w:p>
    <w:p>
      <w:pPr>
        <w:spacing w:after="0" w:line="146" w:lineRule="exact"/>
        <w:rPr>
          <w:rFonts w:ascii="Times New Roman" w:cs="Times New Roman" w:eastAsia="Times New Roman" w:hAnsi="Times New Roman"/>
          <w:sz w:val="20"/>
          <w:szCs w:val="20"/>
          <w:color w:val="auto"/>
        </w:rPr>
      </w:pPr>
    </w:p>
    <w:p>
      <w:pPr>
        <w:ind w:left="660" w:firstLine="903"/>
        <w:spacing w:after="0" w:line="283" w:lineRule="auto"/>
        <w:tabs>
          <w:tab w:leader="none" w:pos="1944"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entity owned or controlled by, or acting for or on behalf of, any Person or entity that is listed in the annex to, or is otherwise subject to the prohibitions contained in, the Executive Order or the OFAC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1900" w:h="16838" w:orient="portrait"/>
          <w:cols w:equalWidth="0" w:num="1">
            <w:col w:w="11240"/>
          </w:cols>
          <w:pgMar w:left="320" w:top="1413" w:right="339" w:bottom="1440" w:gutter="0" w:footer="0" w:header="0"/>
        </w:sectPr>
      </w:pPr>
    </w:p>
    <w:bookmarkStart w:id="304" w:name="page305"/>
    <w:bookmarkEnd w:id="304"/>
    <w:p>
      <w:pPr>
        <w:ind w:left="660" w:firstLine="903"/>
        <w:spacing w:after="0" w:line="283" w:lineRule="auto"/>
        <w:tabs>
          <w:tab w:leader="none" w:pos="194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entity with which any Lender is prohibited from dealing or otherwise engaging in any transaction by any Anti-Terrorism Law or Sanctions;</w:t>
      </w:r>
    </w:p>
    <w:p>
      <w:pPr>
        <w:spacing w:after="0" w:line="146" w:lineRule="exact"/>
        <w:rPr>
          <w:rFonts w:ascii="Times New Roman" w:cs="Times New Roman" w:eastAsia="Times New Roman" w:hAnsi="Times New Roman"/>
          <w:sz w:val="20"/>
          <w:szCs w:val="20"/>
          <w:color w:val="auto"/>
        </w:rPr>
      </w:pPr>
    </w:p>
    <w:p>
      <w:pPr>
        <w:ind w:left="660" w:firstLine="903"/>
        <w:spacing w:after="0" w:line="283" w:lineRule="auto"/>
        <w:tabs>
          <w:tab w:leader="none" w:pos="1947"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entity that commits, threatens or conspires to commit or supports “terrorism” as defined in the Executive Order or the OFAC regulations;</w:t>
      </w:r>
    </w:p>
    <w:p>
      <w:pPr>
        <w:spacing w:after="0" w:line="146" w:lineRule="exact"/>
        <w:rPr>
          <w:rFonts w:ascii="Times New Roman" w:cs="Times New Roman" w:eastAsia="Times New Roman" w:hAnsi="Times New Roman"/>
          <w:sz w:val="20"/>
          <w:szCs w:val="20"/>
          <w:color w:val="auto"/>
        </w:rPr>
      </w:pPr>
    </w:p>
    <w:p>
      <w:pPr>
        <w:ind w:left="660" w:firstLine="903"/>
        <w:spacing w:after="0" w:line="283" w:lineRule="auto"/>
        <w:tabs>
          <w:tab w:leader="none" w:pos="1946"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entity that is named on the most current list of “Specially Designated Nationals and Blocked Persons” published by OFAC at its official website or any replacement website or other replacement official publication of such list; or</w:t>
      </w:r>
    </w:p>
    <w:p>
      <w:pPr>
        <w:spacing w:after="0" w:line="15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Sanctioned Person.</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are subject to and will remain subject to policies and procedures designed to ensure compliance by the Credit Parties, their respective Subsidiaries and Unrestricted Entities and their respective directors, officers, employees and agents with Anti-Corruption Laws and applicable Sanctions.</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or Subsidiary and Unrestricted Entities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6.22 </w:t>
      </w:r>
      <w:r>
        <w:rPr>
          <w:rFonts w:ascii="Times New Roman" w:cs="Times New Roman" w:eastAsia="Times New Roman" w:hAnsi="Times New Roman"/>
          <w:sz w:val="20"/>
          <w:szCs w:val="20"/>
          <w:u w:val="single" w:color="auto"/>
          <w:color w:val="auto"/>
        </w:rPr>
        <w:t>Patriot Act; Foreign Corrupt Practices Act</w:t>
      </w:r>
      <w:r>
        <w:rPr>
          <w:rFonts w:ascii="Times New Roman" w:cs="Times New Roman" w:eastAsia="Times New Roman" w:hAnsi="Times New Roman"/>
          <w:sz w:val="20"/>
          <w:szCs w:val="20"/>
          <w:color w:val="auto"/>
        </w:rPr>
        <w:t>. To the extent applicable, each of the Borrowers and their respective Subsidiaries and Unrestricted Entities is in compliance, in all material respects, with (a) Sanctions, (b) the USA Patriot Improvement and Reauthorization Act, Title III of Pub. L. 109-177 (signed into law March 9, 2006)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(c) the </w:t>
      </w:r>
      <w:r>
        <w:rPr>
          <w:rFonts w:ascii="Times New Roman" w:cs="Times New Roman" w:eastAsia="Times New Roman" w:hAnsi="Times New Roman"/>
          <w:sz w:val="20"/>
          <w:szCs w:val="20"/>
          <w:i w:val="1"/>
          <w:iCs w:val="1"/>
          <w:color w:val="auto"/>
        </w:rPr>
        <w:t>Proceeds of Crime (Money Laundering)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Terrorist Financing Act </w:t>
      </w:r>
      <w:r>
        <w:rPr>
          <w:rFonts w:ascii="Times New Roman" w:cs="Times New Roman" w:eastAsia="Times New Roman" w:hAnsi="Times New Roman"/>
          <w:sz w:val="20"/>
          <w:szCs w:val="20"/>
          <w:color w:val="auto"/>
        </w:rPr>
        <w:t>(Canada), (d) the Proceeds of Crime Act 2002 (United Kingdom) and (e) Anti-Corruption Laws. No part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 w:cs="Times New Roman" w:eastAsia="Times New Roman" w:hAnsi="Times New Roman"/>
          <w:sz w:val="20"/>
          <w:szCs w:val="20"/>
          <w:i w:val="1"/>
          <w:iCs w:val="1"/>
          <w:color w:val="auto"/>
        </w:rPr>
        <w:t>Corruption of Foreign Public Officials Act</w:t>
      </w:r>
      <w:r>
        <w:rPr>
          <w:rFonts w:ascii="Times New Roman" w:cs="Times New Roman" w:eastAsia="Times New Roman" w:hAnsi="Times New Roman"/>
          <w:sz w:val="20"/>
          <w:szCs w:val="20"/>
          <w:color w:val="auto"/>
        </w:rPr>
        <w:t xml:space="preserve"> (Canada), or Anti-Corruption Laws.</w:t>
      </w:r>
    </w:p>
    <w:p>
      <w:pPr>
        <w:spacing w:after="0" w:line="18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6.23 </w:t>
      </w:r>
      <w:r>
        <w:rPr>
          <w:rFonts w:ascii="Times New Roman" w:cs="Times New Roman" w:eastAsia="Times New Roman" w:hAnsi="Times New Roman"/>
          <w:sz w:val="20"/>
          <w:szCs w:val="20"/>
          <w:u w:val="single" w:color="auto"/>
          <w:color w:val="auto"/>
        </w:rPr>
        <w:t>Insolvency Proceedings</w:t>
      </w:r>
      <w:r>
        <w:rPr>
          <w:rFonts w:ascii="Times New Roman" w:cs="Times New Roman" w:eastAsia="Times New Roman" w:hAnsi="Times New Roman"/>
          <w:sz w:val="20"/>
          <w:szCs w:val="20"/>
          <w:color w:val="auto"/>
        </w:rPr>
        <w:t>. On the Incremental Amendment No. 3 and Fifth Amendment Effective Date, no Insolvency Proceeding has occurred and is continuing.</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6.24 </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As of the Incremental Amendment No. 3 and Fifth Amendment Effective Date, the information included in each Beneficial Ownership Certification, if any, is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1900" w:h="16838" w:orient="portrait"/>
          <w:cols w:equalWidth="0" w:num="1">
            <w:col w:w="11240"/>
          </w:cols>
          <w:pgMar w:left="320" w:top="1413" w:right="339" w:bottom="1440" w:gutter="0" w:footer="0" w:header="0"/>
        </w:sectPr>
      </w:pPr>
    </w:p>
    <w:bookmarkStart w:id="305" w:name="page306"/>
    <w:bookmarkEnd w:id="305"/>
    <w:p>
      <w:pPr>
        <w:ind w:left="532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Crown Holdings will furnish, or cause to be furnished, to the Administrative Agent (for further distribution to each Lender):</w:t>
      </w:r>
    </w:p>
    <w:p>
      <w:pPr>
        <w:spacing w:after="0" w:line="173"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 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filing of Crown Holdings’ Form 10-Q with the SEC, if certified as required in this clause (a), shall satisfy the requirements set forth in this clause when posted to the SEC website;</w:t>
      </w:r>
    </w:p>
    <w:p>
      <w:pPr>
        <w:spacing w:after="0" w:line="196"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4"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right="20" w:firstLine="903"/>
        <w:spacing w:after="0" w:line="283" w:lineRule="auto"/>
        <w:tabs>
          <w:tab w:leader="none" w:pos="194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(or such shorter period for the filing of the Crown Holdings’ Form 10-K as may be required by the SEC) after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ectPr>
          <w:pgSz w:w="11900" w:h="16838" w:orient="portrait"/>
          <w:cols w:equalWidth="0" w:num="1">
            <w:col w:w="11240"/>
          </w:cols>
          <w:pgMar w:left="320" w:top="1395" w:right="339" w:bottom="1440" w:gutter="0" w:footer="0" w:header="0"/>
        </w:sectPr>
      </w:pPr>
    </w:p>
    <w:bookmarkStart w:id="306" w:name="page307"/>
    <w:bookmarkEnd w:id="30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each Fiscal Year of Crown Holdings (commencing with the first Fiscal Year ended after the Effective Date), a copy of the annual audit report for such Fiscal Year for Crown Holdings and its consolidated Subsidiaries, including therein a consolidated balance sheet of Crown Holdings and its Subsidiaries as at the end of such Fiscal Year and consolidated statements of earnings and cash flow of Crown Holdings and its consolidated Subsidiaries for such Fiscal Year (it being understood and agreed that the filing of Crown Holdings’ 10-K with the SEC shall satisfy such delivery requirements in this clause when posted to the SEC website);</w:t>
      </w:r>
    </w:p>
    <w:p>
      <w:pPr>
        <w:spacing w:after="0" w:line="192" w:lineRule="exact"/>
        <w:rPr>
          <w:sz w:val="20"/>
          <w:szCs w:val="20"/>
          <w:color w:val="auto"/>
        </w:rPr>
      </w:pPr>
    </w:p>
    <w:p>
      <w:pPr>
        <w:jc w:val="both"/>
        <w:ind w:left="660" w:firstLine="903"/>
        <w:spacing w:after="0" w:line="269" w:lineRule="auto"/>
        <w:tabs>
          <w:tab w:leader="none" w:pos="1944"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105 days after the end of each Fiscal Year of Crown Holdings (commencing with the first Fiscal Year ended after the Effective Date), an unaudited consolidating balance sheet of Crown Holdings and its consolidated Subsidiaries as of the end of such Fiscal Year and consolidating statements of earnings and cash flow of Crown Holdings and its Subsidiaries for such Fiscal Year,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All such financial statements shall be complete and correct in all material respects and shall be prepared in accordance with GAAP applied consistently (except as approved by the accountants preparing such statements or the Chief Financial Officer, as the case may be, and disclosed therein or otherwise disclosed in writing by Crown Holdings to the Lenders) and, in the case of the consolidated financial statements referred to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17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Crown Holdings will furnish, or will cause to be furnished, to Administrative Agent (for further delivery to each Lender, as applicable):</w:t>
      </w:r>
    </w:p>
    <w:p>
      <w:pPr>
        <w:spacing w:after="0" w:line="160" w:lineRule="exact"/>
        <w:rPr>
          <w:sz w:val="20"/>
          <w:szCs w:val="20"/>
          <w:color w:val="auto"/>
        </w:rPr>
      </w:pPr>
    </w:p>
    <w:p>
      <w:pPr>
        <w:jc w:val="both"/>
        <w:ind w:firstLine="656"/>
        <w:spacing w:after="0" w:line="249" w:lineRule="auto"/>
        <w:tabs>
          <w:tab w:leader="none" w:pos="12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Concurrently with the delivery of the financial statements referred to in </w:t>
      </w:r>
      <w:r>
        <w:rPr>
          <w:rFonts w:ascii="Times New Roman" w:cs="Times New Roman" w:eastAsia="Times New Roman" w:hAnsi="Times New Roman"/>
          <w:sz w:val="20"/>
          <w:szCs w:val="20"/>
          <w:u w:val="single" w:color="auto"/>
          <w:color w:val="auto"/>
        </w:rPr>
        <w:t>Sections 7.1(a)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7.1(b)</w:t>
      </w:r>
      <w:r>
        <w:rPr>
          <w:rFonts w:ascii="Times New Roman" w:cs="Times New Roman" w:eastAsia="Times New Roman" w:hAnsi="Times New Roman"/>
          <w:sz w:val="20"/>
          <w:szCs w:val="20"/>
          <w:color w:val="auto"/>
        </w:rPr>
        <w:t xml:space="preserve">, (A) a certificate from a Responsible Financial Officer of Crown Holdings substantially in the form of </w:t>
      </w:r>
      <w:r>
        <w:rPr>
          <w:rFonts w:ascii="Times New Roman" w:cs="Times New Roman" w:eastAsia="Times New Roman" w:hAnsi="Times New Roman"/>
          <w:sz w:val="20"/>
          <w:szCs w:val="20"/>
          <w:u w:val="single" w:color="auto"/>
          <w:color w:val="auto"/>
        </w:rPr>
        <w:t>Exhibit 7.2(a)</w:t>
      </w:r>
      <w:r>
        <w:rPr>
          <w:rFonts w:ascii="Times New Roman" w:cs="Times New Roman" w:eastAsia="Times New Roman" w:hAnsi="Times New Roman"/>
          <w:sz w:val="20"/>
          <w:szCs w:val="20"/>
          <w:color w:val="auto"/>
        </w:rPr>
        <w:t xml:space="preserve"> (or such other form as mutually agreed by Crown Holdings and the Administrative Agent) (a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stating that, to such officer’s knowledge, (i) such financial statements present fairly, in accordance with GAAP, or, in the case of financial statements of any Non-U.S. Subsidiary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reasonably detailed computations to the extent necessary to establish Crown Holdings’ compliance with the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of this Agreement and (B) if there are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1900" w:h="16838" w:orient="portrait"/>
          <w:cols w:equalWidth="0" w:num="1">
            <w:col w:w="11240"/>
          </w:cols>
          <w:pgMar w:left="320" w:top="1413" w:right="339" w:bottom="1440" w:gutter="0" w:footer="0" w:header="0"/>
        </w:sectPr>
      </w:pPr>
    </w:p>
    <w:bookmarkStart w:id="307" w:name="page308"/>
    <w:bookmarkEnd w:id="30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Unrestricted Entities, (i) 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 </w:t>
      </w:r>
      <w:r>
        <w:rPr>
          <w:rFonts w:ascii="Times New Roman" w:cs="Times New Roman" w:eastAsia="Times New Roman" w:hAnsi="Times New Roman"/>
          <w:sz w:val="20"/>
          <w:szCs w:val="20"/>
          <w:u w:val="single" w:color="auto"/>
          <w:color w:val="auto"/>
        </w:rPr>
        <w:t>Reports; Management Letters</w:t>
      </w:r>
      <w:r>
        <w:rPr>
          <w:rFonts w:ascii="Times New Roman" w:cs="Times New Roman" w:eastAsia="Times New Roman" w:hAnsi="Times New Roman"/>
          <w:sz w:val="20"/>
          <w:szCs w:val="20"/>
          <w:color w:val="auto"/>
        </w:rPr>
        <w:t xml:space="preserve">. Promptly upon receipt thereof, copies of all significant reports submitted to Crown Holdings by independent certified public accountants in connection with each annual, interim or special audit of the books of Crown Holdings and its consolidated Subsidiaries made by such accountants, including any management letters submitted by such accountants to management in connection with their annual audit; </w:t>
      </w:r>
      <w:r>
        <w:rPr>
          <w:rFonts w:ascii="Times New Roman" w:cs="Times New Roman" w:eastAsia="Times New Roman" w:hAnsi="Times New Roman"/>
          <w:sz w:val="20"/>
          <w:szCs w:val="20"/>
          <w:u w:val="single" w:color="auto"/>
          <w:color w:val="auto"/>
        </w:rPr>
        <w:t>Budgets</w:t>
      </w:r>
      <w:r>
        <w:rPr>
          <w:rFonts w:ascii="Times New Roman" w:cs="Times New Roman" w:eastAsia="Times New Roman" w:hAnsi="Times New Roman"/>
          <w:sz w:val="20"/>
          <w:szCs w:val="20"/>
          <w:color w:val="auto"/>
        </w:rPr>
        <w:t xml:space="preserve">. Within sixty (60) days following the first day of each Fiscal Year of Crown Holdings (commencing with the first Fiscal Year ended after the Effective Date) an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 </w:t>
      </w:r>
      <w:r>
        <w:rPr>
          <w:rFonts w:ascii="Times New Roman" w:cs="Times New Roman" w:eastAsia="Times New Roman" w:hAnsi="Times New Roman"/>
          <w:sz w:val="20"/>
          <w:szCs w:val="20"/>
          <w:u w:val="single" w:color="auto"/>
          <w:color w:val="auto"/>
        </w:rPr>
        <w:t>Securityholder Communications</w:t>
      </w:r>
      <w:r>
        <w:rPr>
          <w:rFonts w:ascii="Times New Roman" w:cs="Times New Roman" w:eastAsia="Times New Roman" w:hAnsi="Times New Roman"/>
          <w:sz w:val="20"/>
          <w:szCs w:val="20"/>
          <w:color w:val="auto"/>
        </w:rPr>
        <w:t xml:space="preserve">.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materials filed with the SEC shall be deemed delivered when posted to the SEC website; and </w:t>
      </w:r>
      <w:r>
        <w:rPr>
          <w:rFonts w:ascii="Times New Roman" w:cs="Times New Roman" w:eastAsia="Times New Roman" w:hAnsi="Times New Roman"/>
          <w:sz w:val="20"/>
          <w:szCs w:val="20"/>
          <w:u w:val="single" w:color="auto"/>
          <w:color w:val="auto"/>
        </w:rPr>
        <w:t>Other Requested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Such information and documentation reasonably requested by the Administrative Agent or any Lender necessary for compliance with applicable “know your customer” requirements under the PATRIOT Act or other applicable anti-money laundering laws and such other information respecting the condition or operations, financial or otherwise, of Crown Holdings, any Borrower, or any of their Subsidiaries that any Lender through Administrative Agent may from time to time reasonably request.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56"/>
        <w:spacing w:after="0" w:line="253" w:lineRule="auto"/>
        <w:tabs>
          <w:tab w:leader="none" w:pos="1286"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 of Default or Unmatured Event of Default</w:t>
      </w:r>
      <w:r>
        <w:rPr>
          <w:rFonts w:ascii="Times New Roman" w:cs="Times New Roman" w:eastAsia="Times New Roman" w:hAnsi="Times New Roman"/>
          <w:sz w:val="20"/>
          <w:szCs w:val="20"/>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 and Related Matters</w:t>
      </w:r>
      <w:r>
        <w:rPr>
          <w:rFonts w:ascii="Times New Roman" w:cs="Times New Roman" w:eastAsia="Times New Roman" w:hAnsi="Times New Roman"/>
          <w:sz w:val="20"/>
          <w:szCs w:val="20"/>
          <w:color w:val="auto"/>
        </w:rPr>
        <w:t>.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in writing against or involving Crown Holdings or any of its Material Subsidiaries before any arbitrator or Governmental Authority, or purport to affect the legality, validity or enforcement of this Agreement or any other Loan Document or the transactions contemplated hereby or thereby, which, individually or in the aggregate with any other action, suit, proceeding or investigation,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ectPr>
          <w:pgSz w:w="11900" w:h="16838" w:orient="portrait"/>
          <w:cols w:equalWidth="0" w:num="1">
            <w:col w:w="11240"/>
          </w:cols>
          <w:pgMar w:left="320" w:top="1413" w:right="339" w:bottom="1440" w:gutter="0" w:footer="0" w:header="0"/>
        </w:sectPr>
      </w:pPr>
    </w:p>
    <w:bookmarkStart w:id="308" w:name="page309"/>
    <w:bookmarkEnd w:id="308"/>
    <w:p>
      <w:pPr>
        <w:ind w:right="20" w:firstLine="656"/>
        <w:spacing w:after="0" w:line="283" w:lineRule="auto"/>
        <w:tabs>
          <w:tab w:leader="none" w:pos="1286"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As soon as possible, Crown Holdings will give notice to Administrative Agent of any other development that would reasonably be expected to have a Material Adverse Effect.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Sustainability Rating</w:t>
      </w:r>
      <w:r>
        <w:rPr>
          <w:rFonts w:ascii="Times New Roman" w:cs="Times New Roman" w:eastAsia="Times New Roman" w:hAnsi="Times New Roman"/>
          <w:sz w:val="20"/>
          <w:szCs w:val="20"/>
          <w:color w:val="auto"/>
        </w:rPr>
        <w:t>. Crown Holdings will give prompt notice to the Administrative Agent (which the Administrative Agent shall promptly provide to the Lenders) of any material adverse change in or discontinuation of the Sustainability Rating.</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Conduct of Business and Maintenance of Existence</w:t>
      </w:r>
      <w:r>
        <w:rPr>
          <w:rFonts w:ascii="Times New Roman" w:cs="Times New Roman" w:eastAsia="Times New Roman" w:hAnsi="Times New Roman"/>
          <w:sz w:val="20"/>
          <w:szCs w:val="20"/>
          <w:color w:val="auto"/>
        </w:rPr>
        <w:t xml:space="preserve">. Each Credit Party will do or cause to be done all things necessary to preserve, renew and keep in full force and effect its organizational existence and take all reasonable action to maintain the rights, licenses, permits, privileges, franchises and Intellectual Property material to the conduct of its business, except, in each case, as (a) would not reasonably be expected to have a Material Adverse Effect and (b) permitted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Compliance with Laws, etc.</w:t>
      </w:r>
      <w:r>
        <w:rPr>
          <w:rFonts w:ascii="Times New Roman" w:cs="Times New Roman" w:eastAsia="Times New Roman" w:hAnsi="Times New Roman"/>
          <w:sz w:val="20"/>
          <w:szCs w:val="20"/>
          <w:color w:val="auto"/>
        </w:rPr>
        <w:t xml:space="preserve"> 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xml:space="preserve">. Each Credit Party will, and will cause each of its Material Subsidiaries to, maintain, preserve, protect and keep its material tangible properties and assets in good repair, working order and condition (ordinary wear and tear, condemnation and damage by casualty and transactions permitted under </w:t>
      </w:r>
      <w:r>
        <w:rPr>
          <w:rFonts w:ascii="Times New Roman" w:cs="Times New Roman" w:eastAsia="Times New Roman" w:hAnsi="Times New Roman"/>
          <w:sz w:val="20"/>
          <w:szCs w:val="20"/>
          <w:u w:val="single" w:color="auto"/>
          <w:color w:val="auto"/>
        </w:rPr>
        <w:t>Sections 8.3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excluded), and make necessary and proper repairs, renewals and replacements so that its business carried on in connection therewith may be properly conducted at all times, except, in each case, as would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prevent any Credit Party from discontinuing the operation and maintenance of any of its properties or any of those of its Material Subsidiaries if such discontinuance is, in the judgment of such Credit Party, desirable in the conduct of its or their business and, in the aggregate, would not reasonably be expected to have a Material Adverse Effect.</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Sustainability-Related 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28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agrees to furnish the Administrative Agent, the Sustainability Coordinators and the Lenders with all relevant Sustainability-Related Information to the KPI Metric and to provide such access to the directors, officers, employees and advisers of Crown Holdings and its Affiliates (together “Representatives”), in each case as the Administrative Agent, the Sustainability Coordinators or any Lender may reasonably request in relation to the KPI Metric. In addition, Crown Holdings shall ensure that the Representatives are available, upon the Administrative Agent’s, any Sustainability Coordinator’s or any Lender’s reasonable request, to discuss the Sustainability-Related Information. Crown Holdings acknowledges and agrees that the Administrative Agent, the Sustainability Coordinators and the Lenders may rely, without independent verification, upon the accuracy, adequacy and completeness of the Sustainability-Related Information (x) furnished by Crown Holdings or its Affiliates to the Administrative Agent, the Sustainability Coordinators or any Lender or approved by Crown Holdings for use in connection with this Agreement and that neither the Administrative Agent, the Sustainability Coordinators, nor any Lender assumes any responsibility or has any liability therefor or has an obligation to conduct any appraisal of any Sustainability-Related Information.</w:t>
      </w:r>
    </w:p>
    <w:p>
      <w:pPr>
        <w:spacing w:after="0" w:line="18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ectPr>
          <w:pgSz w:w="11900" w:h="16838" w:orient="portrait"/>
          <w:cols w:equalWidth="0" w:num="1">
            <w:col w:w="11240"/>
          </w:cols>
          <w:pgMar w:left="320" w:top="1413" w:right="339" w:bottom="1440" w:gutter="0" w:footer="0" w:header="0"/>
        </w:sectPr>
      </w:pPr>
    </w:p>
    <w:bookmarkStart w:id="309" w:name="page310"/>
    <w:bookmarkEnd w:id="309"/>
    <w:p>
      <w:pPr>
        <w:ind w:left="660" w:firstLine="903"/>
        <w:spacing w:after="0" w:line="283" w:lineRule="auto"/>
        <w:tabs>
          <w:tab w:leader="none" w:pos="1943"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Business Days after Crown Holdings’ determination that there was a Sustainability Certificate Inaccuracy, deliver written notice to the Administrative Agent thereof;</w:t>
      </w:r>
    </w:p>
    <w:p>
      <w:pPr>
        <w:spacing w:after="0" w:line="146" w:lineRule="exact"/>
        <w:rPr>
          <w:rFonts w:ascii="Times New Roman" w:cs="Times New Roman" w:eastAsia="Times New Roman" w:hAnsi="Times New Roman"/>
          <w:sz w:val="20"/>
          <w:szCs w:val="20"/>
          <w:color w:val="auto"/>
        </w:rPr>
      </w:pPr>
    </w:p>
    <w:p>
      <w:pPr>
        <w:jc w:val="both"/>
        <w:ind w:left="660" w:firstLine="903"/>
        <w:spacing w:after="0" w:line="253" w:lineRule="auto"/>
        <w:tabs>
          <w:tab w:leader="none" w:pos="19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the Administrative Agent, the Sustainability Coordinators and the Lenders of (A) any change in Crown Holdings’ sustainability strategy or initiatives or its internal policies related to each of the Greenhouse Gas Footprint, Total Water Usage and Total Recordable Incident Rate, including any relevant comments or changes from a third party opinion provider, consultant or auditor, (B) if any Sustainability-Related Information furnished by Crown Holdings or any of its Affiliates to the Administrative Agent, the Sustainability Coordinators or any Lender or approved by Crown Holdings or its Affiliates is or becomes inaccurate, untrue, incomplete or misleading and (C) the appointment of any successor Sustainability Metric Auditor; and</w:t>
      </w:r>
    </w:p>
    <w:p>
      <w:pPr>
        <w:spacing w:after="0" w:line="19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5"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 the Sustainability-Related Information promptly from time to time to ensure that the representations and warranties made under Section 6.17 are true, correct and complete as of the date when such Sustainability-Related Information is supplemented and/or the representations and warranties are deemed to be made;</w:t>
      </w:r>
    </w:p>
    <w:p>
      <w:pPr>
        <w:spacing w:after="0" w:line="181"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20"/>
          <w:szCs w:val="20"/>
          <w:color w:val="auto"/>
        </w:rPr>
        <w:t>provided that it is understood and agreed that any breach of this Section 7.7(b) shall not constitute a Default or Event of Default or otherwise result in the failure of any condition precedent to any advance or the issuance of any Letter of Credit.</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Inspection of Property, Books and Records</w:t>
      </w:r>
      <w:r>
        <w:rPr>
          <w:rFonts w:ascii="Times New Roman" w:cs="Times New Roman" w:eastAsia="Times New Roman" w:hAnsi="Times New Roman"/>
          <w:sz w:val="20"/>
          <w:szCs w:val="20"/>
          <w:color w:val="auto"/>
        </w:rPr>
        <w:t xml:space="preserve">. Each Credit Party will, and will cause each of its Subsidiaries to, keep books and records which accurately reflect all of its business affairs and material transactions and permit the Administrative Agent or any of its representatives, at reasonable times and intervals during normal business hours, but no more frequently than once annually if no Event of Default exists, at the reasonable request of the Administrative Agent made to Borrowers, and at the Administrative Agent’s expense and upon reasonable notice, to visit all of its offices, to discuss its financial matters with its principal officers and to examine any of its books or other corporate or partnership records and, if an Event of Default exists and is continuing, permit, and cause each of its Subsidiaries to 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w:t>
      </w:r>
      <w:r>
        <w:rPr>
          <w:rFonts w:ascii="Times New Roman" w:cs="Times New Roman" w:eastAsia="Times New Roman" w:hAnsi="Times New Roman"/>
          <w:sz w:val="20"/>
          <w:szCs w:val="20"/>
          <w:u w:val="single" w:color="auto"/>
          <w:color w:val="auto"/>
        </w:rPr>
        <w:t>Section 12.16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1900" w:h="16838" w:orient="portrait"/>
          <w:cols w:equalWidth="0" w:num="1">
            <w:col w:w="11240"/>
          </w:cols>
          <w:pgMar w:left="320" w:top="1413" w:right="339" w:bottom="1440" w:gutter="0" w:footer="0" w:header="0"/>
        </w:sectPr>
      </w:pPr>
    </w:p>
    <w:bookmarkStart w:id="310" w:name="page311"/>
    <w:bookmarkEnd w:id="310"/>
    <w:p>
      <w:pPr>
        <w:jc w:val="both"/>
        <w:spacing w:after="0" w:line="253" w:lineRule="auto"/>
        <w:rPr>
          <w:sz w:val="20"/>
          <w:szCs w:val="20"/>
          <w:color w:val="auto"/>
        </w:rPr>
      </w:pPr>
      <w:r>
        <w:rPr>
          <w:rFonts w:ascii="Times New Roman" w:cs="Times New Roman" w:eastAsia="Times New Roman" w:hAnsi="Times New Roman"/>
          <w:sz w:val="20"/>
          <w:szCs w:val="20"/>
          <w:color w:val="auto"/>
        </w:rPr>
        <w:t>advisors, will be required to disclose, permit the inspection, examination or making of copies or extracts of, or permit discussions of, any documents, information or other matter that (i) 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ERISA; Foreign Pension Plan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6" w:lineRule="auto"/>
        <w:tabs>
          <w:tab w:leader="none" w:pos="1286"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Crown Holdings will furnish, or will cause to be furnished, to each Lender and the Administrative Agent notice thereof and copies of all documentation relating thereto, immediately upon becoming aware of any of the following events: (i) the taking of any specific actions by Crown Holdings or any other Person to terminate any Pension Plan (other than a termination pursuant to Section 4041(b) of ERISA which can be completed without Crown Holdings or any ERISA Affiliate having to provide more than $25,000,000 in addition to the normal contribution required for the plan year in which termination occurs to make such Pension Plan sufficient), (ii) the occurrence of a Termination Event which could result in a Lien or in the incurrence by a Credit Party of any liability, fine or penalty which would reasonably be expected to have a Material Adverse Effect, or (iii) any increase in the contingent liability of a Credit Party with respect to any post-retirement Welfare Plan benefit if the increase in such contingent liability would reasonably be expected to have a Material Adverse Effect.</w:t>
      </w:r>
    </w:p>
    <w:p>
      <w:pPr>
        <w:spacing w:after="0" w:line="168"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4"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 payments when due in accordance with its terms and all applicable laws), except for failures to comply which, in the aggregate, would not reasonably be expected to have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with respect to any Canadian Defined Benefit Plan, promptly after receipt.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Canadian Credit Party will promptly notify the Canadian Administrative Agent and each Lender on becoming aware of</w:t>
      </w:r>
    </w:p>
    <w:p>
      <w:pPr>
        <w:spacing w:after="0" w:line="39" w:lineRule="exact"/>
        <w:rPr>
          <w:rFonts w:ascii="Times New Roman" w:cs="Times New Roman" w:eastAsia="Times New Roman" w:hAnsi="Times New Roman"/>
          <w:sz w:val="19"/>
          <w:szCs w:val="19"/>
          <w:color w:val="auto"/>
        </w:rPr>
      </w:pPr>
    </w:p>
    <w:p>
      <w:pPr>
        <w:ind w:firstLine="8"/>
        <w:spacing w:after="0" w:line="267" w:lineRule="auto"/>
        <w:tabs>
          <w:tab w:leader="none" w:pos="25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Canadian Pension Termination Event, (ii) the failure to make a required contribution or payment under any Canadian Defined Benefit Plan when due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1900" w:h="16838" w:orient="portrait"/>
          <w:cols w:equalWidth="0" w:num="1">
            <w:col w:w="11240"/>
          </w:cols>
          <w:pgMar w:left="320" w:top="1413" w:right="339" w:bottom="1440" w:gutter="0" w:footer="0" w:header="0"/>
        </w:sectPr>
      </w:pPr>
    </w:p>
    <w:bookmarkStart w:id="311" w:name="page312"/>
    <w:bookmarkEnd w:id="311"/>
    <w:p>
      <w:pPr>
        <w:jc w:val="both"/>
        <w:spacing w:after="0" w:line="251" w:lineRule="auto"/>
        <w:rPr>
          <w:sz w:val="20"/>
          <w:szCs w:val="20"/>
          <w:color w:val="auto"/>
        </w:rPr>
      </w:pPr>
      <w:r>
        <w:rPr>
          <w:rFonts w:ascii="Times New Roman" w:cs="Times New Roman" w:eastAsia="Times New Roman" w:hAnsi="Times New Roman"/>
          <w:sz w:val="20"/>
          <w:szCs w:val="20"/>
          <w:color w:val="auto"/>
        </w:rPr>
        <w:t>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3" w:lineRule="auto"/>
        <w:tabs>
          <w:tab w:leader="none" w:pos="128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Credit Party will maintain or cause to be maintained, and shall cause each of its Material Subsidiaries to maintain or cause to be maintained, with insurers such Credit Party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adequate reserves therefor, in accordance with GAAP, are maintained,</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policies or certificates (or certified copies thereof) with respect to such insurance issued by third parties:</w:t>
      </w:r>
    </w:p>
    <w:p>
      <w:pPr>
        <w:spacing w:after="0" w:line="229" w:lineRule="exact"/>
        <w:rPr>
          <w:rFonts w:ascii="Times New Roman" w:cs="Times New Roman" w:eastAsia="Times New Roman" w:hAnsi="Times New Roman"/>
          <w:sz w:val="20"/>
          <w:szCs w:val="20"/>
          <w:color w:val="auto"/>
        </w:rPr>
      </w:pPr>
    </w:p>
    <w:p>
      <w:pPr>
        <w:ind w:left="660" w:firstLine="903"/>
        <w:spacing w:after="0" w:line="269" w:lineRule="auto"/>
        <w:tabs>
          <w:tab w:leader="none" w:pos="1943"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provide that Collateral Agent is a loss payee for all property and casualty policies and additional insured for all liability policies; and</w:t>
      </w:r>
    </w:p>
    <w:p>
      <w:pPr>
        <w:spacing w:after="0" w:line="172" w:lineRule="exact"/>
        <w:rPr>
          <w:rFonts w:ascii="Times New Roman" w:cs="Times New Roman" w:eastAsia="Times New Roman" w:hAnsi="Times New Roman"/>
          <w:sz w:val="20"/>
          <w:szCs w:val="20"/>
          <w:color w:val="auto"/>
        </w:rPr>
      </w:pPr>
    </w:p>
    <w:p>
      <w:pPr>
        <w:ind w:left="660" w:right="20" w:firstLine="903"/>
        <w:spacing w:after="0" w:line="269" w:lineRule="auto"/>
        <w:tabs>
          <w:tab w:leader="none" w:pos="1944"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state that such insurance policy shall not be canceled or revised without thirty days’ (or ten days’, with respect to cancellation in connection with nonpayment) prior to written notice thereof by the insurer to the Collateral Agent.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Each Credit Party will, and will cause each of its Subsidiaries to:</w:t>
      </w:r>
    </w:p>
    <w:p>
      <w:pPr>
        <w:spacing w:after="0" w:line="229" w:lineRule="exact"/>
        <w:rPr>
          <w:sz w:val="20"/>
          <w:szCs w:val="20"/>
          <w:color w:val="auto"/>
        </w:rPr>
      </w:pPr>
    </w:p>
    <w:p>
      <w:pPr>
        <w:jc w:val="both"/>
        <w:ind w:firstLine="656"/>
        <w:spacing w:after="0" w:line="251" w:lineRule="auto"/>
        <w:tabs>
          <w:tab w:leader="none" w:pos="128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individually or in the aggregate, would not reasonably be expected to have a Material Adverse Effect; 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 provide such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1900" w:h="16838" w:orient="portrait"/>
          <w:cols w:equalWidth="0" w:num="1">
            <w:col w:w="11240"/>
          </w:cols>
          <w:pgMar w:left="320" w:top="1413"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0"/>
          <w:szCs w:val="20"/>
          <w:color w:val="auto"/>
        </w:rPr>
        <w:t xml:space="preserve">certifications which Administrative Agent may reasonably request from time to time to evidence compliance with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Borrowers will use all proceeds of the Loans as provided in</w:t>
      </w:r>
      <w:r>
        <w:rPr>
          <w:rFonts w:ascii="Times New Roman" w:cs="Times New Roman" w:eastAsia="Times New Roman" w:hAnsi="Times New Roman"/>
          <w:sz w:val="19"/>
          <w:szCs w:val="19"/>
          <w:u w:val="single" w:color="auto"/>
          <w:color w:val="auto"/>
        </w:rPr>
        <w:t xml:space="preserve"> Sections 6.8</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6.21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u w:val="single" w:color="auto"/>
          <w:color w:val="auto"/>
        </w:rPr>
        <w:t xml:space="preserve"> 6.22</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Guarantees; Pledge of Additional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Agreed Guaranty and Security Principles, in the event that any U.S. Subsidiary of Crown Holdings existing on the Incremental Amendment No. 3 and Fifth Amendment Effective Date (other than any Excluded Subsidiary and other than a U.S. Subsidiary that executes a U.S. Borrower Joinder Agreement) has not previously executed the U.S. Guarantee Agreement or in the event that any Person becomes a U.S. Material Subsidiary (other than any Excluded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Security Agreement and the U.S. Pledge Agreement and to take all such further actions and execute all such further documents and instruments (including actions, documents and certificates comparable to those described in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pacing w:after="0" w:line="20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Agreed Guaranty and Security Principles, in any event within 60 days (or within such longer period of time that the U.S. Collateral Agent may agree in its sole discretion) after the acquisition of assets of the type that would have constituted U.S. Collateral on the Original Closing Date pursuant to the U.S. Security Agreement or the U.S. Pledge Agreement (the “</w:t>
      </w:r>
      <w:r>
        <w:rPr>
          <w:rFonts w:ascii="Times New Roman" w:cs="Times New Roman" w:eastAsia="Times New Roman" w:hAnsi="Times New Roman"/>
          <w:sz w:val="20"/>
          <w:szCs w:val="20"/>
          <w:u w:val="single" w:color="auto"/>
          <w:color w:val="auto"/>
        </w:rPr>
        <w:t>Additional 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the U.S. Security Agreement or the U.S. Pledge Agreement, to grant to U.S. Collateral Agent for its benefit and the benefit of the Secured Creditors a perfected Lien (having the priority set forth in the U.S. Security Agreement or the U.S. Pledge Agreement, as applicable) on such Additional U.S. Collateral pursuant to and to the full extent required by the U.S. Security Agreement or the U.S. Pledge Agreement and this Agreement (including, without limitation, to the extent requested by the U.S. Collateral Agent, satisfaction of the conditions set forth in subsections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provisos set forth below in this section and the Agreed Guaranty and Security Principles, in the event that any Non-U.S. Guarantee Subsidiary existing on the Incremental Amendment No. 3 and Fifth Amendment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 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ectPr>
          <w:pgSz w:w="11900" w:h="16838" w:orient="portrait"/>
          <w:cols w:equalWidth="0" w:num="1">
            <w:col w:w="11240"/>
          </w:cols>
          <w:pgMar w:left="320" w:top="1413" w:right="339" w:bottom="1440" w:gutter="0" w:footer="0" w:header="0"/>
        </w:sectPr>
      </w:pPr>
    </w:p>
    <w:bookmarkStart w:id="313" w:name="page314"/>
    <w:bookmarkEnd w:id="31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(including actions, documents and instruments comparable to those referred to in </w:t>
      </w:r>
      <w:r>
        <w:rPr>
          <w:rFonts w:ascii="Times New Roman" w:cs="Times New Roman" w:eastAsia="Times New Roman" w:hAnsi="Times New Roman"/>
          <w:sz w:val="20"/>
          <w:szCs w:val="20"/>
          <w:u w:val="single" w:color="auto"/>
          <w:color w:val="auto"/>
        </w:rPr>
        <w:t>Section 5.1(b)(v)</w:t>
      </w:r>
      <w:r>
        <w:rPr>
          <w:rFonts w:ascii="Times New Roman" w:cs="Times New Roman" w:eastAsia="Times New Roman" w:hAnsi="Times New Roman"/>
          <w:sz w:val="20"/>
          <w:szCs w:val="20"/>
          <w:color w:val="auto"/>
        </w:rPr>
        <w:t xml:space="preserve">)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Original Closing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 (2) 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205" w:lineRule="exact"/>
        <w:rPr>
          <w:sz w:val="20"/>
          <w:szCs w:val="20"/>
          <w:color w:val="auto"/>
        </w:rPr>
      </w:pPr>
    </w:p>
    <w:p>
      <w:pPr>
        <w:jc w:val="both"/>
        <w:ind w:firstLine="656"/>
        <w:spacing w:after="0" w:line="250" w:lineRule="auto"/>
        <w:tabs>
          <w:tab w:leader="none" w:pos="128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Agreed Guaranty and Security Principles, in any event within 60 days (or within such longer period of time that the Euro Collateral Agent may agree in its sole discretion) after the acquisition of assets of the type that would have constituted Euro Collateral on the Original Closing Date (other than any intercompany loans or Indebtedness not otherwise required to be pledged under this Agreement) pursuant to any Euro Security Document (the “</w:t>
      </w:r>
      <w:r>
        <w:rPr>
          <w:rFonts w:ascii="Times New Roman" w:cs="Times New Roman" w:eastAsia="Times New Roman" w:hAnsi="Times New Roman"/>
          <w:sz w:val="20"/>
          <w:szCs w:val="20"/>
          <w:u w:val="single" w:color="auto"/>
          <w:color w:val="auto"/>
        </w:rPr>
        <w:t>Additional Euro Collateral</w:t>
      </w:r>
      <w:r>
        <w:rPr>
          <w:rFonts w:ascii="Times New Roman" w:cs="Times New Roman" w:eastAsia="Times New Roman" w:hAnsi="Times New Roman"/>
          <w:sz w:val="20"/>
          <w:szCs w:val="20"/>
          <w:color w:val="auto"/>
        </w:rPr>
        <w:t>” and together with the Additional U.S. Collateral, the “</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xml:space="preserve">”),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Collateral Agent and the Euro Collateral Agent are hereby authorized by each U.S. Credit Party to file one or more financing statements or continuation statements or amendments thereto where such filing is necessary or appropriate to perfect the Lien granted pursuant to the U.S. Pledge Agreement, the Euro Pledge Agreement and/or any foreign security document executed by the U.S. Credit Parties.</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agrees not to effect or permit any change with respect to any U.S. Credit Party (i) in its legal name, (ii) in the location of its chief executive office or jurisdiction of organization, (iii) in its identity or corporate structure or (iv) in its organizational identification number unless all filings have been made under the UCC or otherwise that are required in order for the U.S. Collateral Agent or the Euro Collateral Agent to continue at all times following such change to have a valid, legal and perfected first priority security interest in all the Collateral pledged under the Security Documents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ectPr>
          <w:pgSz w:w="11900" w:h="16838" w:orient="portrait"/>
          <w:cols w:equalWidth="0" w:num="1">
            <w:col w:w="11240"/>
          </w:cols>
          <w:pgMar w:left="320" w:top="1413"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0"/>
          <w:szCs w:val="20"/>
          <w:color w:val="auto"/>
        </w:rPr>
        <w:t>immediately prior to such change for the benefit of the Secured Creditors, subject to no Liens other than Permitted Liens.</w:t>
      </w:r>
    </w:p>
    <w:p>
      <w:pPr>
        <w:spacing w:after="0" w:line="229" w:lineRule="exact"/>
        <w:rPr>
          <w:sz w:val="20"/>
          <w:szCs w:val="20"/>
          <w:color w:val="auto"/>
        </w:rPr>
      </w:pPr>
    </w:p>
    <w:p>
      <w:pPr>
        <w:jc w:val="both"/>
        <w:ind w:firstLine="656"/>
        <w:spacing w:after="0" w:line="253" w:lineRule="auto"/>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after the Original Closing Date, any debt securities of Crown Holdings or any of its Subsidiaries become secured by a Lien on Principal Property, each Credit Party shall, and shall cause each of its Subsidiaries to, take all necessary action so that any limitation on the Lien of the applicable Collateral Agent and the applicable Lenders on such Principal Property is eliminated from the Security Documents and the applicable Collateral Agent and the applicable Secured Creditors enjoy a full and unconditional Lien on all such Principal Property.</w:t>
      </w:r>
    </w:p>
    <w:p>
      <w:pPr>
        <w:spacing w:after="0" w:line="19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 for Additional Security</w:t>
      </w:r>
      <w:r>
        <w:rPr>
          <w:rFonts w:ascii="Times New Roman" w:cs="Times New Roman" w:eastAsia="Times New Roman" w:hAnsi="Times New Roman"/>
          <w:sz w:val="20"/>
          <w:szCs w:val="20"/>
          <w:color w:val="auto"/>
        </w:rPr>
        <w:t xml:space="preserve">. The security interests required to be granted pursuant to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shall be granted pursuant to such security documentation (which shall be subject to the Agreed Guaranty and Security Principles and be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 The Additional Security Documents and other instruments related thereto shall be duly recorded or filed in 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has been complied with.</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 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Notwithstanding anything to the contrary, the provisions in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are subject to the exceptions set forth in </w:t>
      </w:r>
      <w:r>
        <w:rPr>
          <w:rFonts w:ascii="Times New Roman" w:cs="Times New Roman" w:eastAsia="Times New Roman" w:hAnsi="Times New Roman"/>
          <w:sz w:val="20"/>
          <w:szCs w:val="20"/>
          <w:u w:val="single" w:color="auto"/>
          <w:color w:val="auto"/>
        </w:rPr>
        <w:t>Section 7.20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u w:val="single" w:color="auto"/>
          <w:color w:val="auto"/>
        </w:rPr>
        <w:t>End of Fiscal Years; Fiscal Quarters</w:t>
      </w:r>
      <w:r>
        <w:rPr>
          <w:rFonts w:ascii="Times New Roman" w:cs="Times New Roman" w:eastAsia="Times New Roman" w:hAnsi="Times New Roman"/>
          <w:sz w:val="20"/>
          <w:szCs w:val="20"/>
          <w:color w:val="auto"/>
        </w:rPr>
        <w:t>. Except as otherwise (x) required by any Requirement of Law or to qualify for any exemption therefrom or (y) agreed between Crown Holdings and the Administrative Agent (and in the case of clauses (x) and (y), subject to such adjustments to this Agreement as Crown Holdings and the Administrative Agent shall reasonably agree are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ectPr>
          <w:pgSz w:w="11900" w:h="16838" w:orient="portrait"/>
          <w:cols w:equalWidth="0" w:num="1">
            <w:col w:w="11240"/>
          </w:cols>
          <w:pgMar w:left="320" w:top="1413" w:right="339" w:bottom="1440" w:gutter="0" w:footer="0" w:header="0"/>
        </w:sectPr>
      </w:pPr>
    </w:p>
    <w:bookmarkStart w:id="315" w:name="page316"/>
    <w:bookmarkEnd w:id="315"/>
    <w:p>
      <w:pPr>
        <w:jc w:val="both"/>
        <w:spacing w:after="0" w:line="253" w:lineRule="auto"/>
        <w:rPr>
          <w:sz w:val="20"/>
          <w:szCs w:val="20"/>
          <w:color w:val="auto"/>
        </w:rPr>
      </w:pPr>
      <w:r>
        <w:rPr>
          <w:rFonts w:ascii="Times New Roman" w:cs="Times New Roman" w:eastAsia="Times New Roman" w:hAnsi="Times New Roman"/>
          <w:sz w:val="20"/>
          <w:szCs w:val="20"/>
          <w:color w:val="auto"/>
        </w:rPr>
        <w:t>appropriate in connection with such changes (and, notwithstanding anything to the contrary contained herein, the parties hereto hereby authorize Crown Holdings and the Administrative Agent to make any such amendments to this Agreement as they jointly deem necessary or appropriate to give effect to the foregoing)), Crown Holdings will cause each of its and the Borrowers’ annual accounting periods to end on December 31 of each year (each a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with quarterly accounting periods ending on March 31, June 30 and September 30, of each Fiscal Year (each a “</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Information Regarding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8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furnish to Administrative Agent prompt written notice of any change (i) in any Credit Party’s legal name, (ii) in the location of any Credit Party’s chief executive office or (iii) in any Credit Party’s jurisdiction of organization. Each Credit Party agrees not to 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unless not required under the applicable Security Documents. Each Credit Party also agrees promptly to notify Administrative Agent if any material portion of the Collateral is damaged or destroyed.</w:t>
      </w:r>
    </w:p>
    <w:p>
      <w:pPr>
        <w:spacing w:after="0" w:line="1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7.17 </w:t>
      </w:r>
      <w:r>
        <w:rPr>
          <w:rFonts w:ascii="Times New Roman" w:cs="Times New Roman" w:eastAsia="Times New Roman" w:hAnsi="Times New Roman"/>
          <w:sz w:val="20"/>
          <w:szCs w:val="20"/>
          <w:u w:val="single" w:color="auto"/>
          <w:color w:val="auto"/>
        </w:rPr>
        <w:t>Excluded Companies</w:t>
      </w:r>
      <w:r>
        <w:rPr>
          <w:rFonts w:ascii="Times New Roman" w:cs="Times New Roman" w:eastAsia="Times New Roman" w:hAnsi="Times New Roman"/>
          <w:sz w:val="20"/>
          <w:szCs w:val="20"/>
          <w:color w:val="auto"/>
        </w:rPr>
        <w:t>. Notwithstanding anything to the contrary set forth herein, Crown Holdings shall ensure that each Excluded U.K. Company remains (i) a Dormant Company and shall remain a Dormant Company until such time as it is dissolved in accordance with the laws of England or (ii) a trust company which is involved only in the business of holding assets on behalf of beneficiaries in a trustee relationship, as applicable, and shall continue to exist as a Dormant Company until it is dissolved or act in such capacity and in no other capacity until such time as all of the Obligations hereunder are discharged pursuant to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7.18 </w:t>
      </w:r>
      <w:r>
        <w:rPr>
          <w:rFonts w:ascii="Times New Roman" w:cs="Times New Roman" w:eastAsia="Times New Roman" w:hAnsi="Times New Roman"/>
          <w:sz w:val="20"/>
          <w:szCs w:val="20"/>
          <w:u w:val="single" w:color="auto"/>
          <w:color w:val="auto"/>
        </w:rPr>
        <w:t>Facilities Rating</w:t>
      </w:r>
      <w:r>
        <w:rPr>
          <w:rFonts w:ascii="Times New Roman" w:cs="Times New Roman" w:eastAsia="Times New Roman" w:hAnsi="Times New Roman"/>
          <w:sz w:val="20"/>
          <w:szCs w:val="20"/>
          <w:color w:val="auto"/>
        </w:rPr>
        <w:t>. Crown Holdings shall use its commercially reasonable efforts to provide that the Indebtedness under this Agreement remains rated by each of S&amp;P and Moody’s at all times and without regard to the level of such ratings, and to promptly deliver to Administrative Agent written notice of any change in the rating thereof by S&amp;P or Moody’s.</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u w:val="single" w:color="auto"/>
          <w:color w:val="auto"/>
        </w:rPr>
        <w:t>Release and Reinstatement of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any Loan Document, if at any time a Non-Stock Collateral Release Event shall have occurred and be continuing, then all Collateral (other than Pledged Securities) shall be released automatically and the provisions in the Security Documents with respect to such Collateral shall be terminated without any further action and the U.S Security Agreement and Canadian Security Agreement shall automatically terminate; provided that the U.S. Pledge Agreement, the Euro Bank Pledge Agreement, the Canadian Pledge Agreement and each Security Document governed by the laws of each jurisdiction outside of the United States and Canada governing the granting and/or perfection of a security interest in the Pledged Securities shall remain in full force and effect, subject to any amendment, waiver or other modification in forms agreed between the Borrowers and the Administrative Agent that are requested by the Borrowers to evidence the release of all Collateral (other than Pledged Securities). In connection with the foregoing, the Administrative Agent shall, at Crown Holdings’ sole expense and at Crown Holdings’ request, promptly</w:t>
      </w:r>
    </w:p>
    <w:p>
      <w:pPr>
        <w:ind w:left="240" w:hanging="232"/>
        <w:spacing w:after="0"/>
        <w:tabs>
          <w:tab w:leader="none" w:pos="24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file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ectPr>
          <w:pgSz w:w="11900" w:h="16838" w:orient="portrait"/>
          <w:cols w:equalWidth="0" w:num="1">
            <w:col w:w="11240"/>
          </w:cols>
          <w:pgMar w:left="320" w:top="1413"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0"/>
          <w:szCs w:val="20"/>
          <w:color w:val="auto"/>
        </w:rPr>
        <w:t>the appropriate location and deliver to Crown Holdings such termination and release statements or confirmation thereof, as applicable, and</w:t>
      </w:r>
    </w:p>
    <w:p>
      <w:pPr>
        <w:spacing w:after="0" w:line="28" w:lineRule="exact"/>
        <w:rPr>
          <w:sz w:val="20"/>
          <w:szCs w:val="20"/>
          <w:color w:val="auto"/>
        </w:rPr>
      </w:pPr>
    </w:p>
    <w:p>
      <w:pPr>
        <w:ind w:right="20" w:firstLine="8"/>
        <w:spacing w:after="0" w:line="253" w:lineRule="auto"/>
        <w:tabs>
          <w:tab w:leader="none" w:pos="305"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such other things as are reasonably necessary to release the Liens to be released pursuant hereto promptly upon the effectiveness of any such release.</w:t>
      </w:r>
    </w:p>
    <w:p>
      <w:pPr>
        <w:spacing w:after="0" w:line="188"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19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Times New Roman" w:cs="Times New Roman" w:eastAsia="Times New Roman" w:hAnsi="Times New Roman"/>
          <w:sz w:val="20"/>
          <w:szCs w:val="20"/>
          <w:u w:val="single" w:color="auto"/>
          <w:color w:val="auto"/>
        </w:rPr>
        <w:t>Sections 7.14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to the extent applicable to such Collateral) shall be taken within sixty (60) days (or such longer period as agreed to by the Administrative Agent) after such Collateral Reinstatement Event.</w:t>
      </w:r>
    </w:p>
    <w:p>
      <w:pPr>
        <w:spacing w:after="0" w:line="160"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0"/>
          <w:szCs w:val="20"/>
          <w:b w:val="1"/>
          <w:bCs w:val="1"/>
          <w:color w:val="auto"/>
        </w:rPr>
        <w:t>ARTICLE VIII</w:t>
      </w:r>
    </w:p>
    <w:p>
      <w:pPr>
        <w:jc w:val="center"/>
        <w:ind w:left="960"/>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Indebtedness; Certain Equity Securities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56"/>
        <w:spacing w:after="0" w:line="283" w:lineRule="auto"/>
        <w:tabs>
          <w:tab w:leader="none" w:pos="128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will not, and will not permit any Subsidiary to create, incur, assume or permit to exist (including by way of Guarantee Obligations) any Indebtedness, except:</w:t>
      </w:r>
    </w:p>
    <w:p>
      <w:pPr>
        <w:spacing w:after="0" w:line="146" w:lineRule="exact"/>
        <w:rPr>
          <w:rFonts w:ascii="Times New Roman" w:cs="Times New Roman" w:eastAsia="Times New Roman" w:hAnsi="Times New Roman"/>
          <w:sz w:val="20"/>
          <w:szCs w:val="20"/>
          <w:color w:val="auto"/>
        </w:rPr>
      </w:pPr>
    </w:p>
    <w:p>
      <w:pPr>
        <w:jc w:val="both"/>
        <w:ind w:left="660" w:firstLine="903"/>
        <w:spacing w:after="0" w:line="268" w:lineRule="auto"/>
        <w:tabs>
          <w:tab w:leader="none" w:pos="1943"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and outstanding under the Loan Documents, including, without limitation, Obligations incurred under Additional Facilities created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obligations incurred pursuant to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any extension of the Obligations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ectPr>
          <w:pgSz w:w="11900" w:h="16838" w:orient="portrait"/>
          <w:cols w:equalWidth="0" w:num="1">
            <w:col w:w="11240"/>
          </w:cols>
          <w:pgMar w:left="320" w:top="1413" w:right="339" w:bottom="1440" w:gutter="0" w:footer="0" w:header="0"/>
        </w:sectPr>
      </w:pPr>
    </w:p>
    <w:bookmarkStart w:id="317" w:name="page318"/>
    <w:bookmarkEnd w:id="317"/>
    <w:p>
      <w:pPr>
        <w:jc w:val="both"/>
        <w:ind w:left="-460" w:firstLine="903"/>
        <w:spacing w:after="0" w:line="258" w:lineRule="auto"/>
        <w:tabs>
          <w:tab w:leader="none" w:pos="82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pursuant to Uncommitted Short Term Lines of Credit, the principal amount of such Indebtedness not to exceed in the aggregate at any time outstanding the greater of (1) the Dollar Equivalent of $435,000,000 and (2) 3% of the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460" w:firstLine="903"/>
        <w:spacing w:after="0" w:line="283" w:lineRule="auto"/>
        <w:tabs>
          <w:tab w:leader="none" w:pos="825"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evidenced by the Senior Notes, including any Guarantee Obligations in respect thereof, and any Permitted Refinancing Indebtedness thereof;</w:t>
      </w:r>
    </w:p>
    <w:p>
      <w:pPr>
        <w:spacing w:after="0" w:line="159" w:lineRule="exact"/>
        <w:rPr>
          <w:rFonts w:ascii="Times New Roman" w:cs="Times New Roman" w:eastAsia="Times New Roman" w:hAnsi="Times New Roman"/>
          <w:sz w:val="20"/>
          <w:szCs w:val="20"/>
          <w:color w:val="auto"/>
        </w:rPr>
      </w:pPr>
    </w:p>
    <w:p>
      <w:pPr>
        <w:jc w:val="both"/>
        <w:ind w:left="-460" w:firstLine="903"/>
        <w:spacing w:after="0" w:line="254" w:lineRule="auto"/>
        <w:tabs>
          <w:tab w:leader="none" w:pos="82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evidenced by the Debentures, including any Guarantee Obligations in respect thereof, in each case, existing on the Incremental Amendment No. 3 and Fifth Amendment Effective Date or required to be incurred after the Incremental Amendment No. 3 and Fifth Amendment Effective Date pursuant to the terms of the documents governing such Indebtedness, and any Permitted Refinancing Indebtedness thereof;</w:t>
      </w:r>
    </w:p>
    <w:p>
      <w:pPr>
        <w:spacing w:after="0" w:line="187" w:lineRule="exact"/>
        <w:rPr>
          <w:rFonts w:ascii="Times New Roman" w:cs="Times New Roman" w:eastAsia="Times New Roman" w:hAnsi="Times New Roman"/>
          <w:sz w:val="20"/>
          <w:szCs w:val="20"/>
          <w:color w:val="auto"/>
        </w:rPr>
      </w:pPr>
    </w:p>
    <w:p>
      <w:pPr>
        <w:ind w:left="820" w:hanging="377"/>
        <w:spacing w:after="0"/>
        <w:tabs>
          <w:tab w:leader="none" w:pos="82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460" w:firstLine="903"/>
        <w:spacing w:after="0" w:line="261" w:lineRule="auto"/>
        <w:tabs>
          <w:tab w:leader="none" w:pos="82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to Remain Outstanding (other than Indebtedness under </w:t>
      </w:r>
      <w:r>
        <w:rPr>
          <w:rFonts w:ascii="Times New Roman" w:cs="Times New Roman" w:eastAsia="Times New Roman" w:hAnsi="Times New Roman"/>
          <w:sz w:val="20"/>
          <w:szCs w:val="20"/>
          <w:u w:val="single" w:color="auto"/>
          <w:color w:val="auto"/>
        </w:rPr>
        <w:t>Sections 8.1(a)(iii)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in each case up to the amounts set forth on the applicable </w:t>
      </w:r>
      <w:r>
        <w:rPr>
          <w:rFonts w:ascii="Times New Roman" w:cs="Times New Roman" w:eastAsia="Times New Roman" w:hAnsi="Times New Roman"/>
          <w:sz w:val="20"/>
          <w:szCs w:val="20"/>
          <w:u w:val="single" w:color="auto"/>
          <w:color w:val="auto"/>
        </w:rPr>
        <w:t>Schedule 6.5(b)</w:t>
      </w:r>
      <w:r>
        <w:rPr>
          <w:rFonts w:ascii="Times New Roman" w:cs="Times New Roman" w:eastAsia="Times New Roman" w:hAnsi="Times New Roman"/>
          <w:sz w:val="20"/>
          <w:szCs w:val="20"/>
          <w:color w:val="auto"/>
        </w:rPr>
        <w:t xml:space="preserve"> if required to be disclosed pursuant to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 and any Permitted Refinancing Indebtedness thereof;</w:t>
      </w:r>
    </w:p>
    <w:p>
      <w:pPr>
        <w:spacing w:after="0" w:line="167" w:lineRule="exact"/>
        <w:rPr>
          <w:rFonts w:ascii="Times New Roman" w:cs="Times New Roman" w:eastAsia="Times New Roman" w:hAnsi="Times New Roman"/>
          <w:sz w:val="20"/>
          <w:szCs w:val="20"/>
          <w:color w:val="auto"/>
        </w:rPr>
      </w:pPr>
    </w:p>
    <w:p>
      <w:pPr>
        <w:jc w:val="both"/>
        <w:ind w:left="-460" w:firstLine="903"/>
        <w:spacing w:after="0" w:line="268" w:lineRule="auto"/>
        <w:tabs>
          <w:tab w:leader="none" w:pos="82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Indebtedness outstanding and available as of the Incremental Amendment No. 3 and Fifth Amendment Effective Date) under one or more Permitted Receivables or Factoring Financings (other than Indebtedness incurred under 8.1(a)(vi);</w:t>
      </w:r>
    </w:p>
    <w:p>
      <w:pPr>
        <w:spacing w:after="0" w:line="161" w:lineRule="exact"/>
        <w:rPr>
          <w:rFonts w:ascii="Times New Roman" w:cs="Times New Roman" w:eastAsia="Times New Roman" w:hAnsi="Times New Roman"/>
          <w:sz w:val="20"/>
          <w:szCs w:val="20"/>
          <w:color w:val="auto"/>
        </w:rPr>
      </w:pPr>
    </w:p>
    <w:p>
      <w:pPr>
        <w:ind w:left="1480" w:hanging="1037"/>
        <w:spacing w:after="0"/>
        <w:tabs>
          <w:tab w:leader="none" w:pos="14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constituting Permitted Guarantee Obligations;</w:t>
      </w:r>
    </w:p>
    <w:p>
      <w:pPr>
        <w:spacing w:after="0" w:line="229" w:lineRule="exact"/>
        <w:rPr>
          <w:rFonts w:ascii="Times New Roman" w:cs="Times New Roman" w:eastAsia="Times New Roman" w:hAnsi="Times New Roman"/>
          <w:sz w:val="20"/>
          <w:szCs w:val="20"/>
          <w:color w:val="auto"/>
        </w:rPr>
      </w:pPr>
    </w:p>
    <w:p>
      <w:pPr>
        <w:jc w:val="both"/>
        <w:ind w:left="-460" w:firstLine="903"/>
        <w:spacing w:after="0" w:line="261" w:lineRule="auto"/>
        <w:tabs>
          <w:tab w:leader="none" w:pos="82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(1) the financing of insurance premiums, (2) take-or-pay obligations contained in supply arrangements and/or (3) obligations to reacquire assets or inventory in connection with customer financing arrangements, in each case, in the ordinary course of business;</w:t>
      </w:r>
    </w:p>
    <w:p>
      <w:pPr>
        <w:spacing w:after="0" w:line="167" w:lineRule="exact"/>
        <w:rPr>
          <w:rFonts w:ascii="Times New Roman" w:cs="Times New Roman" w:eastAsia="Times New Roman" w:hAnsi="Times New Roman"/>
          <w:sz w:val="20"/>
          <w:szCs w:val="20"/>
          <w:color w:val="auto"/>
        </w:rPr>
      </w:pPr>
    </w:p>
    <w:p>
      <w:pPr>
        <w:jc w:val="both"/>
        <w:ind w:left="-460" w:firstLine="903"/>
        <w:spacing w:after="0" w:line="257" w:lineRule="auto"/>
        <w:tabs>
          <w:tab w:leader="none" w:pos="82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Indebtedness of any Credit Party to any other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owed by a Subsidiary Credit Party of U.S. Borrower or U.S. Borrower to a Subsidiary Credit Party of European Borrower or European Borrower shall be subordinated to the U.S. Obligations (but only to the extent permitted by applicable law) in a manner reasonably acceptable to Administrative Agent; and (b) Indebtedness of any Subsidiary that is not a Credit Party owed to another Subsidiary that is not a Credit Party;</w:t>
      </w:r>
    </w:p>
    <w:p>
      <w:pPr>
        <w:spacing w:after="0" w:line="172" w:lineRule="exact"/>
        <w:rPr>
          <w:rFonts w:ascii="Times New Roman" w:cs="Times New Roman" w:eastAsia="Times New Roman" w:hAnsi="Times New Roman"/>
          <w:sz w:val="20"/>
          <w:szCs w:val="20"/>
          <w:color w:val="auto"/>
        </w:rPr>
      </w:pPr>
    </w:p>
    <w:p>
      <w:pPr>
        <w:jc w:val="both"/>
        <w:ind w:left="-460" w:firstLine="903"/>
        <w:spacing w:after="0" w:line="276" w:lineRule="auto"/>
        <w:tabs>
          <w:tab w:leader="none" w:pos="827"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Intercompany Indebtedness of any Credit Party owing to any Subsidiary and/or of any Subsidiary owing to any Credit Party or any other Subsidiary, to the extent permitted by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169" w:lineRule="exact"/>
        <w:rPr>
          <w:rFonts w:ascii="Times New Roman" w:cs="Times New Roman" w:eastAsia="Times New Roman" w:hAnsi="Times New Roman"/>
          <w:sz w:val="19"/>
          <w:szCs w:val="19"/>
          <w:color w:val="auto"/>
        </w:rPr>
      </w:pPr>
    </w:p>
    <w:p>
      <w:pPr>
        <w:ind w:left="-460" w:firstLine="903"/>
        <w:spacing w:after="0" w:line="269" w:lineRule="auto"/>
        <w:tabs>
          <w:tab w:leader="none" w:pos="82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Hedging Agreements that are incurred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190</w:t>
      </w:r>
    </w:p>
    <w:p>
      <w:pPr>
        <w:sectPr>
          <w:pgSz w:w="11900" w:h="16838" w:orient="portrait"/>
          <w:cols w:equalWidth="0" w:num="1">
            <w:col w:w="10120"/>
          </w:cols>
          <w:pgMar w:left="1440" w:top="1413" w:right="339" w:bottom="1440" w:gutter="0" w:footer="0" w:header="0"/>
        </w:sectPr>
      </w:pPr>
    </w:p>
    <w:bookmarkStart w:id="318" w:name="page319"/>
    <w:bookmarkEnd w:id="318"/>
    <w:p>
      <w:pPr>
        <w:jc w:val="both"/>
        <w:ind w:firstLine="903"/>
        <w:spacing w:after="0" w:line="249" w:lineRule="auto"/>
        <w:tabs>
          <w:tab w:leader="none" w:pos="193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Indebtedness incurred to finance the design, development, acquisition, construction, installation, repair, lease, or improvement of any property (or Indebtedness incurred to finance the design, development, 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Dollar Equivalent of the aggregate outstanding principal amount of such Indebtedness together with the Dollar Equivalent of Indebtedness permitted to be outstanding pursuant to </w:t>
      </w:r>
      <w:r>
        <w:rPr>
          <w:rFonts w:ascii="Times New Roman" w:cs="Times New Roman" w:eastAsia="Times New Roman" w:hAnsi="Times New Roman"/>
          <w:sz w:val="20"/>
          <w:szCs w:val="20"/>
          <w:u w:val="single" w:color="auto"/>
          <w:color w:val="auto"/>
        </w:rPr>
        <w:t>Section 8.1(a)(xiii)(2))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shall not exceed the Debt Basket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Unmatured Event of Default or Event of Default shall 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Capitalized Lease Obligations and any replacement, renewal, refinancing, extension, exchange, defeasance, restructuring, refunding, repayment, amendment, restatement, or supplementation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incurred and outstanding under this </w:t>
      </w:r>
      <w:r>
        <w:rPr>
          <w:rFonts w:ascii="Times New Roman" w:cs="Times New Roman" w:eastAsia="Times New Roman" w:hAnsi="Times New Roman"/>
          <w:sz w:val="20"/>
          <w:szCs w:val="20"/>
          <w:u w:val="single" w:color="auto"/>
          <w:color w:val="auto"/>
        </w:rPr>
        <w:t>clause (xiii)(2)</w:t>
      </w:r>
      <w:r>
        <w:rPr>
          <w:rFonts w:ascii="Times New Roman" w:cs="Times New Roman" w:eastAsia="Times New Roman" w:hAnsi="Times New Roman"/>
          <w:sz w:val="20"/>
          <w:szCs w:val="20"/>
          <w:color w:val="auto"/>
        </w:rPr>
        <w:t xml:space="preserve">, together with Indebtedness incurred and outstanding under </w:t>
      </w:r>
      <w:r>
        <w:rPr>
          <w:rFonts w:ascii="Times New Roman" w:cs="Times New Roman" w:eastAsia="Times New Roman" w:hAnsi="Times New Roman"/>
          <w:sz w:val="20"/>
          <w:szCs w:val="20"/>
          <w:u w:val="single" w:color="auto"/>
          <w:color w:val="auto"/>
        </w:rPr>
        <w:t>clauses (xiii)(1)</w:t>
      </w:r>
      <w:r>
        <w:rPr>
          <w:rFonts w:ascii="Times New Roman" w:cs="Times New Roman" w:eastAsia="Times New Roman" w:hAnsi="Times New Roman"/>
          <w:sz w:val="20"/>
          <w:szCs w:val="20"/>
          <w:color w:val="auto"/>
        </w:rPr>
        <w:t xml:space="preserve">, (xiv)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does not exceed the Debt Basket Amount;</w:t>
      </w:r>
    </w:p>
    <w:p>
      <w:pPr>
        <w:spacing w:after="0" w:line="201"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 xml:space="preserve">(xiv)(1) Indebtedness of any Subsidiary of Crown Holdings assumed in connection with a Permitted Acquisition or other permitted Investment and (2) any Permitted Refinancing Indebtedness thereof, so long as (a) such Indebtedness was not issued or created in contemplation of such acquisition and (b) the aggregate principal amount of Indebtedness incurred and outstanding under this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together with Indebtedness incurred and outstanding under </w:t>
      </w:r>
      <w:r>
        <w:rPr>
          <w:rFonts w:ascii="Times New Roman" w:cs="Times New Roman" w:eastAsia="Times New Roman" w:hAnsi="Times New Roman"/>
          <w:sz w:val="20"/>
          <w:szCs w:val="20"/>
          <w:u w:val="single" w:color="auto"/>
          <w:color w:val="auto"/>
        </w:rPr>
        <w:t>clauses (xiii)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does not exceed the Debt Basket Amount;</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(xv) [reserved];</w:t>
      </w:r>
    </w:p>
    <w:p>
      <w:pPr>
        <w:spacing w:after="0" w:line="216" w:lineRule="exact"/>
        <w:rPr>
          <w:sz w:val="20"/>
          <w:szCs w:val="20"/>
          <w:color w:val="auto"/>
        </w:rPr>
      </w:pPr>
    </w:p>
    <w:p>
      <w:pPr>
        <w:jc w:val="both"/>
        <w:ind w:firstLine="907"/>
        <w:spacing w:after="0" w:line="261" w:lineRule="auto"/>
        <w:rPr>
          <w:sz w:val="20"/>
          <w:szCs w:val="20"/>
          <w:color w:val="auto"/>
        </w:rPr>
      </w:pPr>
      <w:r>
        <w:rPr>
          <w:rFonts w:ascii="Times New Roman" w:cs="Times New Roman" w:eastAsia="Times New Roman" w:hAnsi="Times New Roman"/>
          <w:sz w:val="20"/>
          <w:szCs w:val="20"/>
          <w:color w:val="auto"/>
        </w:rPr>
        <w:t xml:space="preserve">(xvi)Indebtedness in respect of sale and leaseback transactions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provided that the aggregate principal amount of Indebtedness incurred pursuant to this clause (xvi), together with Indebtedness incurred and outstanding under clauses (xiii) and (xiv) of Section 8.1(a) does not exceed the Debt Basket Amount;</w:t>
      </w:r>
    </w:p>
    <w:p>
      <w:pPr>
        <w:spacing w:after="0" w:line="181" w:lineRule="exact"/>
        <w:rPr>
          <w:sz w:val="20"/>
          <w:szCs w:val="20"/>
          <w:color w:val="auto"/>
        </w:rPr>
      </w:pPr>
    </w:p>
    <w:p>
      <w:pPr>
        <w:jc w:val="both"/>
        <w:ind w:firstLine="903"/>
        <w:spacing w:after="0" w:line="258" w:lineRule="auto"/>
        <w:tabs>
          <w:tab w:leader="none" w:pos="194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obligations (including obligations in respect of letters of credit for the benefit) of Crown Holdings or its Subsidiaries in respect of worker’s compensation, other types of social security benefits, pension obligations, vacation pay, unemployment obligations (including premiums related thereto), health, disability or other employee benefits or property, casualty or liability insurance or self-insurance and similar obligations;</w:t>
      </w:r>
    </w:p>
    <w:p>
      <w:pPr>
        <w:spacing w:after="0" w:line="172" w:lineRule="exact"/>
        <w:rPr>
          <w:rFonts w:ascii="Times New Roman" w:cs="Times New Roman" w:eastAsia="Times New Roman" w:hAnsi="Times New Roman"/>
          <w:sz w:val="20"/>
          <w:szCs w:val="20"/>
          <w:color w:val="auto"/>
        </w:rPr>
      </w:pPr>
    </w:p>
    <w:p>
      <w:pPr>
        <w:jc w:val="both"/>
        <w:ind w:firstLine="903"/>
        <w:spacing w:after="0" w:line="268" w:lineRule="auto"/>
        <w:tabs>
          <w:tab w:leader="none" w:pos="1941"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(including obligations in respect of letters of credit for the benefit of) Crown Holdings or its Subsidiaries in respect of (A) bid bonds, appeal bonds and similar obligations and commercial and trade-related letters of credit (including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191</w:t>
      </w:r>
    </w:p>
    <w:p>
      <w:pPr>
        <w:sectPr>
          <w:pgSz w:w="11900" w:h="16838" w:orient="portrait"/>
          <w:cols w:equalWidth="0" w:num="1">
            <w:col w:w="10580"/>
          </w:cols>
          <w:pgMar w:left="980" w:top="1413" w:right="339" w:bottom="1440" w:gutter="0" w:footer="0" w:header="0"/>
        </w:sectPr>
      </w:pPr>
    </w:p>
    <w:bookmarkStart w:id="319" w:name="page320"/>
    <w:bookmarkEnd w:id="319"/>
    <w:p>
      <w:pPr>
        <w:jc w:val="both"/>
        <w:spacing w:after="0" w:line="253" w:lineRule="auto"/>
        <w:rPr>
          <w:sz w:val="20"/>
          <w:szCs w:val="20"/>
          <w:color w:val="auto"/>
        </w:rPr>
      </w:pPr>
      <w:r>
        <w:rPr>
          <w:rFonts w:ascii="Times New Roman" w:cs="Times New Roman" w:eastAsia="Times New Roman" w:hAnsi="Times New Roman"/>
          <w:sz w:val="20"/>
          <w:szCs w:val="20"/>
          <w:color w:val="auto"/>
        </w:rPr>
        <w:t>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 provided in the ordinary course of business, including those incurred to secure health, safety and environmental obligations in the ordinary course of business;</w:t>
      </w:r>
    </w:p>
    <w:p>
      <w:pPr>
        <w:spacing w:after="0" w:line="192" w:lineRule="exact"/>
        <w:rPr>
          <w:sz w:val="20"/>
          <w:szCs w:val="20"/>
          <w:color w:val="auto"/>
        </w:rPr>
      </w:pPr>
    </w:p>
    <w:p>
      <w:pPr>
        <w:jc w:val="both"/>
        <w:ind w:firstLine="907"/>
        <w:spacing w:after="0" w:line="254" w:lineRule="auto"/>
        <w:rPr>
          <w:sz w:val="20"/>
          <w:szCs w:val="20"/>
          <w:color w:val="auto"/>
        </w:rPr>
      </w:pPr>
      <w:r>
        <w:rPr>
          <w:rFonts w:ascii="Times New Roman" w:cs="Times New Roman" w:eastAsia="Times New Roman" w:hAnsi="Times New Roman"/>
          <w:sz w:val="20"/>
          <w:szCs w:val="20"/>
          <w:color w:val="auto"/>
        </w:rPr>
        <w:t>(xix)Indebtedness arising from agreements of Crown Holdings or any of its Subsidiaries providing for indemnification, adjustment of purchase price, holdback obligations, earn-out obligations, seller notes or contingent deferred purchase price obligations, working capital adjustments, non-compete, consulting and other or similar obligations, in each case, incurred or assumed in connection with a Permitted Acquisition, any other Investment or the disposition of any business, assets or a Subsidiary;</w:t>
      </w:r>
    </w:p>
    <w:p>
      <w:pPr>
        <w:spacing w:after="0" w:line="187" w:lineRule="exact"/>
        <w:rPr>
          <w:sz w:val="20"/>
          <w:szCs w:val="20"/>
          <w:color w:val="auto"/>
        </w:rPr>
      </w:pPr>
    </w:p>
    <w:p>
      <w:pPr>
        <w:ind w:right="20" w:firstLine="903"/>
        <w:spacing w:after="0" w:line="283" w:lineRule="auto"/>
        <w:tabs>
          <w:tab w:leader="none" w:pos="1291"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and surety bonds and completion guarantees provided by Crown Holdings and its Subsidiaries in the ordinary course of business;</w:t>
      </w:r>
    </w:p>
    <w:p>
      <w:pPr>
        <w:spacing w:after="0" w:line="146" w:lineRule="exact"/>
        <w:rPr>
          <w:sz w:val="20"/>
          <w:szCs w:val="20"/>
          <w:color w:val="auto"/>
        </w:rPr>
      </w:pPr>
    </w:p>
    <w:p>
      <w:pPr>
        <w:ind w:firstLine="907"/>
        <w:spacing w:after="0" w:line="283" w:lineRule="auto"/>
        <w:rPr>
          <w:sz w:val="20"/>
          <w:szCs w:val="20"/>
          <w:color w:val="auto"/>
        </w:rPr>
      </w:pPr>
      <w:r>
        <w:rPr>
          <w:rFonts w:ascii="Times New Roman" w:cs="Times New Roman" w:eastAsia="Times New Roman" w:hAnsi="Times New Roman"/>
          <w:sz w:val="20"/>
          <w:szCs w:val="20"/>
          <w:color w:val="auto"/>
        </w:rPr>
        <w:t xml:space="preserve">(xxi)Indebtedness arising from the honoring by a bank or other financial institution of a check, draft or similar instrument against insufficient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extinguished within ten Business Days of incurrence;</w:t>
      </w:r>
    </w:p>
    <w:p>
      <w:pPr>
        <w:spacing w:after="0" w:line="146" w:lineRule="exact"/>
        <w:rPr>
          <w:sz w:val="20"/>
          <w:szCs w:val="20"/>
          <w:color w:val="auto"/>
        </w:rPr>
      </w:pPr>
    </w:p>
    <w:p>
      <w:pPr>
        <w:jc w:val="both"/>
        <w:ind w:firstLine="903"/>
        <w:spacing w:after="0" w:line="253" w:lineRule="auto"/>
        <w:tabs>
          <w:tab w:leader="none" w:pos="194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commercial credit cards, stored value cards, purchasing cards, treasury, depositary and cash 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192" w:lineRule="exact"/>
        <w:rPr>
          <w:rFonts w:ascii="Times New Roman" w:cs="Times New Roman" w:eastAsia="Times New Roman" w:hAnsi="Times New Roman"/>
          <w:sz w:val="20"/>
          <w:szCs w:val="20"/>
          <w:color w:val="auto"/>
        </w:rPr>
      </w:pPr>
    </w:p>
    <w:p>
      <w:pPr>
        <w:jc w:val="both"/>
        <w:ind w:firstLine="903"/>
        <w:spacing w:after="0" w:line="261" w:lineRule="auto"/>
        <w:tabs>
          <w:tab w:leader="none" w:pos="1941"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Euro Credit Party to any other Non-U.S. Subsidiary that is not a Credit Party incurred in the ordinary course of business consistent with past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Indebtedness in excess of $250,000,000 is outstanding at any time, Indebtedness representing such excess shall be subordinated to the Euro Obligations;</w:t>
      </w:r>
    </w:p>
    <w:p>
      <w:pPr>
        <w:spacing w:after="0" w:line="181" w:lineRule="exact"/>
        <w:rPr>
          <w:rFonts w:ascii="Times New Roman" w:cs="Times New Roman" w:eastAsia="Times New Roman" w:hAnsi="Times New Roman"/>
          <w:sz w:val="20"/>
          <w:szCs w:val="20"/>
          <w:color w:val="auto"/>
        </w:rPr>
      </w:pPr>
    </w:p>
    <w:p>
      <w:pPr>
        <w:ind w:firstLine="903"/>
        <w:spacing w:after="0" w:line="269" w:lineRule="auto"/>
        <w:tabs>
          <w:tab w:leader="none" w:pos="193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Subsidiaries that are not Credit Parties to Credit Parties issued solely as consideration for asset sales permitted by </w:t>
      </w:r>
      <w:r>
        <w:rPr>
          <w:rFonts w:ascii="Times New Roman" w:cs="Times New Roman" w:eastAsia="Times New Roman" w:hAnsi="Times New Roman"/>
          <w:sz w:val="20"/>
          <w:szCs w:val="20"/>
          <w:u w:val="single" w:color="auto"/>
          <w:color w:val="auto"/>
        </w:rPr>
        <w:t>Section 8.5(k)</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903"/>
        <w:spacing w:after="0" w:line="258" w:lineRule="auto"/>
        <w:tabs>
          <w:tab w:leader="none" w:pos="194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Guarantee Obligations incurred in respect thereof) consisting of unsecured promissory notes issued by any Credit Party to any current or former director, officer, employee, member of management, manager or consultant of Crown Holdings, any Credit Party or any Subsidiary to finance the purchase or redemption of Capital Stock of Crown Holdings permitted by </w:t>
      </w:r>
      <w:r>
        <w:rPr>
          <w:rFonts w:ascii="Times New Roman" w:cs="Times New Roman" w:eastAsia="Times New Roman" w:hAnsi="Times New Roman"/>
          <w:sz w:val="20"/>
          <w:szCs w:val="20"/>
          <w:u w:val="single" w:color="auto"/>
          <w:color w:val="auto"/>
        </w:rPr>
        <w:t>Section 8.8(e)</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903"/>
        <w:spacing w:after="0" w:line="261" w:lineRule="auto"/>
        <w:tabs>
          <w:tab w:leader="none" w:pos="193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Crown Holdings in the form of Disqualified Preferred Stock in an aggregate amount at any time outstanding not to exceed the greater of (1) $290,000,000 and (2) 2% of Consolidated Total Assets as set forth in the financial statements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192</w:t>
      </w:r>
    </w:p>
    <w:p>
      <w:pPr>
        <w:sectPr>
          <w:pgSz w:w="11900" w:h="16838" w:orient="portrait"/>
          <w:cols w:equalWidth="0" w:num="1">
            <w:col w:w="10580"/>
          </w:cols>
          <w:pgMar w:left="980" w:top="1413" w:right="339" w:bottom="1440" w:gutter="0" w:footer="0" w:header="0"/>
        </w:sectPr>
      </w:pPr>
    </w:p>
    <w:bookmarkStart w:id="320" w:name="page321"/>
    <w:bookmarkEnd w:id="320"/>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any replacement, renewal, refinancing, extension, defeasance, restructuring, refunding, repayment, amendment, restatement, supplementation, modification or exchange of such Indebtedness that satisfies the provisions of this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903"/>
        <w:spacing w:after="0" w:line="261" w:lineRule="auto"/>
        <w:tabs>
          <w:tab w:leader="none" w:pos="1931"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European Borrower Debt (including any Permitted Refinancing Indebtedness of such Indebtedness) in an aggregate principal amount not to exceed €500,000,000 at any time, the net proceeds of which are used to finance a Permitted Acquisition (and to pay fees and expenses related thereto);</w:t>
      </w:r>
    </w:p>
    <w:p>
      <w:pPr>
        <w:spacing w:after="0" w:line="181" w:lineRule="exact"/>
        <w:rPr>
          <w:rFonts w:ascii="Times New Roman" w:cs="Times New Roman" w:eastAsia="Times New Roman" w:hAnsi="Times New Roman"/>
          <w:sz w:val="20"/>
          <w:szCs w:val="20"/>
          <w:color w:val="auto"/>
        </w:rPr>
      </w:pPr>
    </w:p>
    <w:p>
      <w:pPr>
        <w:jc w:val="both"/>
        <w:ind w:firstLine="903"/>
        <w:spacing w:after="0" w:line="253" w:lineRule="auto"/>
        <w:tabs>
          <w:tab w:leader="none" w:pos="193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evidenced by one or more letter of credit facilities and/or one or more bank guarantees (and reimbursement obligations in connection with such letter of credit facilities and/or bank guarantees) in an aggregate undrawn face amount and any unreimbursed obligations in respect thereof at any time outstanding not to exceed the greater of (1) $290,000,000 and (2) 2%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903"/>
        <w:spacing w:after="0" w:line="249" w:lineRule="auto"/>
        <w:tabs>
          <w:tab w:leader="none" w:pos="193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Ratio Debt (including any Permitted Refinancing Indebtedness of such Indebtedness)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Indebtedness is incurred or created and after giving effect to the incurrence of such Permitted Ratio Debt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Permitted Ratio Debt is incurred or created, (i) no Event of Default would exist hereunder and (ii) the Total Leverage Ratio shall not be greater than (x) prior to December 31, 2023, 5.00 to 1.00 (or 5.50 to 1.00 during any Increase Period prior to December 31, 2023) and (y) thereafter, 4.50 to 1.00 (or 5.00 to 1.00 during any Increase Period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Indebtedness incurred by Subsidiaries that are not Credit Parties pursuant to this clause (xxix) and clause (xxx) below shall not exceed the greater of (1) $725,000,000 and (2) 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or equal to 3.50 to 1.00 at the time of incurrence, the greater of (A) $935,000,000 and (B)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at any time outstanding);</w:t>
      </w:r>
    </w:p>
    <w:p>
      <w:pPr>
        <w:spacing w:after="0" w:line="201" w:lineRule="exact"/>
        <w:rPr>
          <w:rFonts w:ascii="Times New Roman" w:cs="Times New Roman" w:eastAsia="Times New Roman" w:hAnsi="Times New Roman"/>
          <w:sz w:val="20"/>
          <w:szCs w:val="20"/>
          <w:color w:val="auto"/>
        </w:rPr>
      </w:pPr>
    </w:p>
    <w:p>
      <w:pPr>
        <w:jc w:val="both"/>
        <w:ind w:firstLine="903"/>
        <w:spacing w:after="0" w:line="250" w:lineRule="auto"/>
        <w:tabs>
          <w:tab w:leader="none" w:pos="1943"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(including any Permitted Refinancing Indebtedness of such Indebtedness) of Crown Holdings or any of its Subsidiaries incurred after the Incremental Amendment No. 3 and Fifth Amendment Effective Date in an aggregate principal amount not exceeding the greater of (1) $935,000,000 and (2)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or equal to 3.50 to 1.00, the greater of (x) $1,150,000,000 and (y) 8%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Indebtedness incurred by Subsidiaries that are not Credit Parties pursuant to this clause (xxx) and clause (xxix) above shall not exceed the greater of (A) $725,000,000 and (B) 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3.50 to 1.00 at the time of incurrence, the greater of (I) $935,000,000 and (II)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193</w:t>
      </w:r>
    </w:p>
    <w:p>
      <w:pPr>
        <w:sectPr>
          <w:pgSz w:w="11900" w:h="16838" w:orient="portrait"/>
          <w:cols w:equalWidth="0" w:num="1">
            <w:col w:w="10580"/>
          </w:cols>
          <w:pgMar w:left="980" w:top="1413" w:right="339" w:bottom="1440" w:gutter="0" w:footer="0" w:header="0"/>
        </w:sectPr>
      </w:pPr>
    </w:p>
    <w:bookmarkStart w:id="321" w:name="page322"/>
    <w:bookmarkEnd w:id="321"/>
    <w:p>
      <w:pPr>
        <w:ind w:left="660" w:firstLine="903"/>
        <w:spacing w:after="0" w:line="283" w:lineRule="auto"/>
        <w:tabs>
          <w:tab w:leader="none" w:pos="259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as a result of the endorsement in the ordinary course of business of negotiable instruments in the course of collection;</w:t>
      </w:r>
    </w:p>
    <w:p>
      <w:pPr>
        <w:spacing w:after="0" w:line="146" w:lineRule="exact"/>
        <w:rPr>
          <w:rFonts w:ascii="Times New Roman" w:cs="Times New Roman" w:eastAsia="Times New Roman" w:hAnsi="Times New Roman"/>
          <w:sz w:val="20"/>
          <w:szCs w:val="20"/>
          <w:color w:val="auto"/>
        </w:rPr>
      </w:pPr>
    </w:p>
    <w:p>
      <w:pPr>
        <w:ind w:left="2580" w:hanging="1017"/>
        <w:spacing w:after="0"/>
        <w:tabs>
          <w:tab w:leader="none" w:pos="258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2592"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181"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259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167" w:lineRule="exact"/>
        <w:rPr>
          <w:rFonts w:ascii="Times New Roman" w:cs="Times New Roman" w:eastAsia="Times New Roman" w:hAnsi="Times New Roman"/>
          <w:sz w:val="20"/>
          <w:szCs w:val="20"/>
          <w:color w:val="auto"/>
        </w:rPr>
      </w:pPr>
    </w:p>
    <w:p>
      <w:pPr>
        <w:jc w:val="both"/>
        <w:ind w:left="660" w:firstLine="903"/>
        <w:spacing w:after="0" w:line="268" w:lineRule="auto"/>
        <w:tabs>
          <w:tab w:leader="none" w:pos="259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161" w:lineRule="exact"/>
        <w:rPr>
          <w:rFonts w:ascii="Times New Roman" w:cs="Times New Roman" w:eastAsia="Times New Roman" w:hAnsi="Times New Roman"/>
          <w:sz w:val="20"/>
          <w:szCs w:val="20"/>
          <w:color w:val="auto"/>
        </w:rPr>
      </w:pPr>
    </w:p>
    <w:p>
      <w:pPr>
        <w:jc w:val="both"/>
        <w:ind w:left="660" w:firstLine="903"/>
        <w:spacing w:after="0" w:line="276" w:lineRule="auto"/>
        <w:tabs>
          <w:tab w:leader="none" w:pos="2595"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 incurred as a result of a redesignation pursuant to </w:t>
      </w:r>
      <w:r>
        <w:rPr>
          <w:rFonts w:ascii="Times New Roman" w:cs="Times New Roman" w:eastAsia="Times New Roman" w:hAnsi="Times New Roman"/>
          <w:sz w:val="19"/>
          <w:szCs w:val="19"/>
          <w:u w:val="single" w:color="auto"/>
          <w:color w:val="auto"/>
        </w:rPr>
        <w:t>Section 12.21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(ii) any Permitted Refinancing Indebtedness in respect thereof;</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if all or any portion of any item of Indebtedness would be permitted to be incurred, created or assumed pursuant to clause (xxix) above, such item of Indebtedness (or the relevant portion thereof) shall be deemed to have been incurred, created or assumed in reliance on clause (xxix) above prior and without giving effect to the other clauses, and any substantially concurrent incurrence or series of related incurrences of Indebtedness incurred pursuant to any clause other than clause (xxix) (other than any Indebtedness incurred in reliance on a Total First Lien Leverage Ratio, Total Leverage Ratio or Total Secured Leverage Ratio) above shall not be given pro forma e</w:t>
      </w:r>
      <w:r>
        <w:rPr>
          <w:rFonts w:ascii="Arial" w:cs="Arial" w:eastAsia="Arial" w:hAnsi="Arial"/>
          <w:sz w:val="19"/>
          <w:szCs w:val="19"/>
          <w:color w:val="auto"/>
        </w:rPr>
        <w:t>ﬀ</w:t>
      </w:r>
      <w:r>
        <w:rPr>
          <w:rFonts w:ascii="Times New Roman" w:cs="Times New Roman" w:eastAsia="Times New Roman" w:hAnsi="Times New Roman"/>
          <w:sz w:val="19"/>
          <w:szCs w:val="19"/>
          <w:color w:val="auto"/>
        </w:rPr>
        <w:t xml:space="preserve">ect for purposes of determining the Total Leverage Ratio with respect to any incurrence under clause (xxix). Without limiting the foregoing, in the event that an item of proposed Indebtedness meets the criteria of more than one of the categories of permitted Indebtedness described in clauses (i) through (xxxvi) above, Crown Holdings, in its sole discretion, will be permitted to classify such item of Indebtedness on the date of its incurrence, creation or assumption or later reclassify such item of Indebtedness, in any manner that complies with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so long as such Indebtedness (or any portion thereof) is permitted to be incurred, created or assumed pursuant to such provision at the time of reclassification. Notwithstanding the foregoing, Indebtedness incurred, created or assumed</w:t>
      </w:r>
    </w:p>
    <w:p>
      <w:pPr>
        <w:spacing w:after="0" w:line="6" w:lineRule="exact"/>
        <w:rPr>
          <w:sz w:val="20"/>
          <w:szCs w:val="20"/>
          <w:color w:val="auto"/>
        </w:rPr>
      </w:pPr>
    </w:p>
    <w:p>
      <w:pPr>
        <w:jc w:val="both"/>
        <w:ind w:firstLine="8"/>
        <w:spacing w:after="0" w:line="250" w:lineRule="auto"/>
        <w:tabs>
          <w:tab w:leader="none" w:pos="31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under the Loan Documents (including in respect of any Additional Facility, Replacement Revolving Commitments, Replacement Revolving Loans, Replacement Term Commitments and Replacement Term Loans and any other Obligations incurred, created or assumed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any extension thereof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only be classified as incurred, created or assumed under </w:t>
      </w:r>
      <w:r>
        <w:rPr>
          <w:rFonts w:ascii="Times New Roman" w:cs="Times New Roman" w:eastAsia="Times New Roman" w:hAnsi="Times New Roman"/>
          <w:sz w:val="20"/>
          <w:szCs w:val="20"/>
          <w:u w:val="single" w:color="auto"/>
          <w:color w:val="auto"/>
        </w:rPr>
        <w:t>Section 8.1(a)(i)</w:t>
      </w:r>
      <w:r>
        <w:rPr>
          <w:rFonts w:ascii="Times New Roman" w:cs="Times New Roman" w:eastAsia="Times New Roman" w:hAnsi="Times New Roman"/>
          <w:sz w:val="20"/>
          <w:szCs w:val="20"/>
          <w:color w:val="auto"/>
        </w:rPr>
        <w:t xml:space="preserve">, (b) pursuant to </w:t>
      </w:r>
      <w:r>
        <w:rPr>
          <w:rFonts w:ascii="Times New Roman" w:cs="Times New Roman" w:eastAsia="Times New Roman" w:hAnsi="Times New Roman"/>
          <w:sz w:val="20"/>
          <w:szCs w:val="20"/>
          <w:u w:val="single" w:color="auto"/>
          <w:color w:val="auto"/>
        </w:rPr>
        <w:t>Section 6.5(b)(i)</w:t>
      </w:r>
      <w:r>
        <w:rPr>
          <w:rFonts w:ascii="Times New Roman" w:cs="Times New Roman" w:eastAsia="Times New Roman" w:hAnsi="Times New Roman"/>
          <w:sz w:val="20"/>
          <w:szCs w:val="20"/>
          <w:color w:val="auto"/>
        </w:rPr>
        <w:t xml:space="preserve"> and any Permitted Refinancing Indebtedness thereof shall only be classified as incurred, created or assumed under </w:t>
      </w:r>
      <w:r>
        <w:rPr>
          <w:rFonts w:ascii="Times New Roman" w:cs="Times New Roman" w:eastAsia="Times New Roman" w:hAnsi="Times New Roman"/>
          <w:sz w:val="20"/>
          <w:szCs w:val="20"/>
          <w:u w:val="single" w:color="auto"/>
          <w:color w:val="auto"/>
        </w:rPr>
        <w:t>Section 8.1(a)(vi)</w:t>
      </w:r>
      <w:r>
        <w:rPr>
          <w:rFonts w:ascii="Times New Roman" w:cs="Times New Roman" w:eastAsia="Times New Roman" w:hAnsi="Times New Roman"/>
          <w:sz w:val="20"/>
          <w:szCs w:val="20"/>
          <w:color w:val="auto"/>
        </w:rPr>
        <w:t xml:space="preserve"> (other than Indebtedness under </w:t>
      </w:r>
      <w:r>
        <w:rPr>
          <w:rFonts w:ascii="Times New Roman" w:cs="Times New Roman" w:eastAsia="Times New Roman" w:hAnsi="Times New Roman"/>
          <w:sz w:val="20"/>
          <w:szCs w:val="20"/>
          <w:u w:val="single" w:color="auto"/>
          <w:color w:val="auto"/>
        </w:rPr>
        <w:t>Section 8.1(a)(iii)</w:t>
      </w:r>
      <w:r>
        <w:rPr>
          <w:rFonts w:ascii="Times New Roman" w:cs="Times New Roman" w:eastAsia="Times New Roman" w:hAnsi="Times New Roman"/>
          <w:sz w:val="20"/>
          <w:szCs w:val="20"/>
          <w:color w:val="auto"/>
        </w:rPr>
        <w:t>) and (c) under the Senior Notes, Debentures and any Permitted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ectPr>
          <w:pgSz w:w="11900" w:h="16838" w:orient="portrait"/>
          <w:cols w:equalWidth="0" w:num="1">
            <w:col w:w="11240"/>
          </w:cols>
          <w:pgMar w:left="320" w:top="1413"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0"/>
          <w:szCs w:val="20"/>
          <w:color w:val="auto"/>
        </w:rPr>
        <w:t xml:space="preserve">Indebtedness in respect thereof shall only be classified as incurred, created or assumed under </w:t>
      </w:r>
      <w:r>
        <w:rPr>
          <w:rFonts w:ascii="Times New Roman" w:cs="Times New Roman" w:eastAsia="Times New Roman" w:hAnsi="Times New Roman"/>
          <w:sz w:val="20"/>
          <w:szCs w:val="20"/>
          <w:u w:val="single" w:color="auto"/>
          <w:color w:val="auto"/>
        </w:rPr>
        <w:t>Section 8.1(a)(iii)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The maximum amount of Indebtedness that Crown Holdings or any Subsidiary may incur pursuant to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shall not be deemed to be exceeded solely as the result of fluctuations in the exchange rates of currencies.</w:t>
      </w:r>
    </w:p>
    <w:p>
      <w:pPr>
        <w:spacing w:after="0" w:line="173" w:lineRule="exact"/>
        <w:rPr>
          <w:sz w:val="20"/>
          <w:szCs w:val="20"/>
          <w:color w:val="auto"/>
        </w:rPr>
      </w:pPr>
    </w:p>
    <w:p>
      <w:pPr>
        <w:ind w:right="20" w:firstLine="656"/>
        <w:spacing w:after="0" w:line="269" w:lineRule="auto"/>
        <w:tabs>
          <w:tab w:leader="none" w:pos="128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permitted to be incurred under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 the Credit Parties will not, nor will they permit any of their Subsidiaries to issue any preferred stock or other preferred Capital Stock other than Permitted Preferred Stock.</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Credit Parties will not, and will not permit any of their Subsidiaries to create, incur, assume or permit to exist any Lien on any property or asset now owned or hereafter acquired by it, except the following (herein collectively referred to as “</w:t>
      </w:r>
      <w:r>
        <w:rPr>
          <w:rFonts w:ascii="Times New Roman" w:cs="Times New Roman" w:eastAsia="Times New Roman" w:hAnsi="Times New Roman"/>
          <w:sz w:val="20"/>
          <w:szCs w:val="20"/>
          <w:u w:val="single" w:color="auto"/>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56"/>
        <w:spacing w:after="0" w:line="251" w:lineRule="auto"/>
        <w:tabs>
          <w:tab w:leader="none" w:pos="128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created under the Loan 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cash, cash deposits or other credit support securing Hedging Agreements shall not exceed in the aggregate at any time the greater of (x) the Dollar Equivalent of $290,000,000 and (y) 2% of Consolidated Total Assets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(iv) Liens on cash, cash deposits or other credit support securing Hedging Agreements entered into on behalf of any customer of Crown Holdings or a Subsidiary;</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Indebtedness incurred under </w:t>
      </w:r>
      <w:r>
        <w:rPr>
          <w:rFonts w:ascii="Times New Roman" w:cs="Times New Roman" w:eastAsia="Times New Roman" w:hAnsi="Times New Roman"/>
          <w:sz w:val="20"/>
          <w:szCs w:val="20"/>
          <w:u w:val="single" w:color="auto"/>
          <w:color w:val="auto"/>
        </w:rPr>
        <w:t>Section 8.1(a)(xxviii)</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Incremental Amendment No. 3 and Fifth Amendment Effective Date and listed on </w:t>
      </w:r>
      <w:r>
        <w:rPr>
          <w:rFonts w:ascii="Times New Roman" w:cs="Times New Roman" w:eastAsia="Times New Roman" w:hAnsi="Times New Roman"/>
          <w:sz w:val="20"/>
          <w:szCs w:val="20"/>
          <w:u w:val="single" w:color="auto"/>
          <w:color w:val="auto"/>
        </w:rPr>
        <w:t>Schedule 8.2(c)</w:t>
      </w:r>
      <w:r>
        <w:rPr>
          <w:rFonts w:ascii="Times New Roman" w:cs="Times New Roman" w:eastAsia="Times New Roman" w:hAnsi="Times New Roman"/>
          <w:sz w:val="20"/>
          <w:szCs w:val="20"/>
          <w:color w:val="auto"/>
        </w:rPr>
        <w:t>, and Liens in 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of any Person existing at the time of acquisition of such assets by any Credit Party or Subsidiary or at the time such Person becomes a Credit Party or is merged, amalgamated or consolidated with a Credit Party (plus any modifications, refinancings, refundings, renewals, replacements and extensions of any such Liens);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were not incurred in connection with, or in contemplation of, such acquisition and do not extend to any assets of such Credit Party other than the specific assets so acquired and the Indebtedness secured thereby is permitted to be incurred pursuant to </w:t>
      </w:r>
      <w:r>
        <w:rPr>
          <w:rFonts w:ascii="Times New Roman" w:cs="Times New Roman" w:eastAsia="Times New Roman" w:hAnsi="Times New Roman"/>
          <w:sz w:val="20"/>
          <w:szCs w:val="20"/>
          <w:u w:val="single" w:color="auto"/>
          <w:color w:val="auto"/>
        </w:rPr>
        <w:t>Section 8.1(a)(xiv)</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Liens to secure the performance of statutory obligations (excluding any Lien imposed pursuant to applicable Canadian federal or provincial pension benefit standards legislation other than inchoate liens for amounts required to be remitted but not yet due), surety, indemnity, customs and release or appeal bonds or performance bonds, guarantees, landlords’, carriers’, warehousemen’s, mechanics’, suppliers’, processor’s, workmen’s, repairmen’s, materialmen’s, attorney’s or other like liens, in any case incurred in the ordinary course of business and with respect to amounts not yet delinquent for a period more than 60 days or being contested in good faith) and (2) bank guarantees, letters of credit and/or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ectPr>
          <w:pgSz w:w="11900" w:h="16838" w:orient="portrait"/>
          <w:cols w:equalWidth="0" w:num="1">
            <w:col w:w="11240"/>
          </w:cols>
          <w:pgMar w:left="320" w:top="1413" w:right="339" w:bottom="1440" w:gutter="0" w:footer="0" w:header="0"/>
        </w:sectPr>
      </w:pPr>
    </w:p>
    <w:bookmarkStart w:id="323" w:name="page324"/>
    <w:bookmarkEnd w:id="323"/>
    <w:p>
      <w:pPr>
        <w:jc w:val="both"/>
        <w:spacing w:after="0" w:line="261" w:lineRule="auto"/>
        <w:rPr>
          <w:sz w:val="20"/>
          <w:szCs w:val="20"/>
          <w:color w:val="auto"/>
        </w:rPr>
      </w:pPr>
      <w:r>
        <w:rPr>
          <w:rFonts w:ascii="Times New Roman" w:cs="Times New Roman" w:eastAsia="Times New Roman" w:hAnsi="Times New Roman"/>
          <w:sz w:val="20"/>
          <w:szCs w:val="20"/>
          <w:color w:val="auto"/>
        </w:rPr>
        <w:t>Cash Equivalents and other deposits securing bank guarantees or letters of credit (and reimbursement obligations in respect of the foregoing), in each case securing or otherwise supporting the obligations described in clause (1) above, or otherwise securing or supporting the obligations described in this clause (2);</w:t>
      </w:r>
    </w:p>
    <w:p>
      <w:pPr>
        <w:spacing w:after="0" w:line="181" w:lineRule="exact"/>
        <w:rPr>
          <w:sz w:val="20"/>
          <w:szCs w:val="20"/>
          <w:color w:val="auto"/>
        </w:rPr>
      </w:pPr>
    </w:p>
    <w:p>
      <w:pPr>
        <w:jc w:val="both"/>
        <w:ind w:firstLine="656"/>
        <w:spacing w:after="0" w:line="261" w:lineRule="auto"/>
        <w:tabs>
          <w:tab w:leader="none" w:pos="1291"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the filing of precautionary UCC financing statements relating to Operating Leases or other obligations not constituting Indebtedness or relating to Capitalized Lease Obligations or Attributable Debt (to the extent that such Capital Lease Obligations or Attributable Debt would be permitted to be secured by Liens under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2 without regard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or claims or other like statutory Liens (A) that are not required to be discharged pursuant to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not overdue for a period of more than 60 days or (C) that are being contested in good faith for which any reserve or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appropriate provision to the extent required by GAAP shall have been made therefor;</w:t>
      </w:r>
    </w:p>
    <w:p>
      <w:pPr>
        <w:spacing w:after="0" w:line="200" w:lineRule="exact"/>
        <w:rPr>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Reservations, limitations, provisos and conditions expressed in any original grants from Her Majesty the Queen in Right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Canada;</w:t>
      </w:r>
    </w:p>
    <w:p>
      <w:pPr>
        <w:spacing w:after="0" w:line="21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(i) Capitalized Lease Obligations permitted under Sections 8.1(a)(xiii)(2)) and (ii) 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36"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(ii), such Lien either exists on the Incremental Amendment No. 3 and Fifth Amendment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1"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assets that are the subject of a sale and leaseback transaction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ectPr>
          <w:pgSz w:w="11900" w:h="16838" w:orient="portrait"/>
          <w:cols w:equalWidth="0" w:num="1">
            <w:col w:w="11240"/>
          </w:cols>
          <w:pgMar w:left="320" w:top="1413" w:right="339" w:bottom="1440" w:gutter="0" w:footer="0" w:header="0"/>
        </w:sectPr>
      </w:pPr>
    </w:p>
    <w:bookmarkStart w:id="324" w:name="page325"/>
    <w:bookmarkEnd w:id="324"/>
    <w:p>
      <w:pPr>
        <w:ind w:right="20" w:firstLine="656"/>
        <w:spacing w:after="0" w:line="283" w:lineRule="auto"/>
        <w:tabs>
          <w:tab w:leader="none" w:pos="128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assets of a Subsidiary that is not a Credit Party, so long as such assets are not otherwise Collateral, which Liens secure such Subsidiary’s obligations under Indebtedness incurred pursuant to </w:t>
      </w:r>
      <w:r>
        <w:rPr>
          <w:rFonts w:ascii="Times New Roman" w:cs="Times New Roman" w:eastAsia="Times New Roman" w:hAnsi="Times New Roman"/>
          <w:sz w:val="20"/>
          <w:szCs w:val="20"/>
          <w:u w:val="single" w:color="auto"/>
          <w:color w:val="auto"/>
        </w:rPr>
        <w:t>Section 8.1(a)(xxx)</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to refinance Indebtedness secured by the Liens of the type described in clauses (c), (d), (i), (j) and (s) of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not extend to or cover any assets, or class of assets in respect of inventory and receivables, not securing the Indebtedness so refinanced;</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Real Property Encumbrances;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the form of pledges or deposits securing bids, tenders, contracts (other than contracts for the payment of money) or leases to which any Credit Party or any Subsidiary is a party, in each case, made in the ordinary course of business;</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resulting from operation of law with respect to any attachments, writs, warrants of attachment, judgments, awards, orders or other similar Liens, which do not cause or constitute an Event of Default under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the form of licenses, leases, sublicenses or subleases (or other grants of rights to use) granted or created by any Credit Party or any Subsidiary, which (A) do not interfere, individually or in the aggregate, in any material respect with the business of the Credit Parties and their Subsidiaries, taken as a whole, or (B) are between or among Crown Holdings and/or its Subsidiaries;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licensor, sublessor or sublicensor under leases or licenses not prohibited by this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91"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old age pensions and other social security laws or regulations and deposits securing liability to insurance carriers under insurance or self-insurance arrangements or Liens created by pension standards legislation,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Receivables Assets that are the subject of Permitted Receivables or Factoring Financings;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Liens in favor of customs and revenue authorities to secure payment of customs duties in connection with the importation of goods in 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ectPr>
          <w:pgSz w:w="11900" w:h="16838" w:orient="portrait"/>
          <w:cols w:equalWidth="0" w:num="1">
            <w:col w:w="11240"/>
          </w:cols>
          <w:pgMar w:left="320" w:top="1413" w:right="339" w:bottom="1440" w:gutter="0" w:footer="0" w:header="0"/>
        </w:sectPr>
      </w:pPr>
    </w:p>
    <w:bookmarkStart w:id="325" w:name="page326"/>
    <w:bookmarkEnd w:id="325"/>
    <w:p>
      <w:pPr>
        <w:jc w:val="both"/>
        <w:spacing w:after="0" w:line="253" w:lineRule="auto"/>
        <w:rPr>
          <w:sz w:val="20"/>
          <w:szCs w:val="20"/>
          <w:color w:val="auto"/>
        </w:rPr>
      </w:pPr>
      <w:r>
        <w:rPr>
          <w:rFonts w:ascii="Times New Roman" w:cs="Times New Roman" w:eastAsia="Times New Roman" w:hAnsi="Times New Roman"/>
          <w:sz w:val="20"/>
          <w:szCs w:val="20"/>
          <w:color w:val="auto"/>
        </w:rPr>
        <w:t>constituting a Lien, Liens consisting of an option or agreement to sell, transfer, convey, lease or otherwise dispose of any asset or 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 (4) 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and</w:t>
      </w:r>
    </w:p>
    <w:p>
      <w:pPr>
        <w:spacing w:after="0" w:line="192" w:lineRule="exact"/>
        <w:rPr>
          <w:sz w:val="20"/>
          <w:szCs w:val="20"/>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(subject, to the extent applicable and required hereunder, to an appropriate intercreditor agreement) securing (A) Credit Agreement Refinancing Indebtedness and (B) Incremental Equivalent Debt;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respect of Indebtedness permitted under </w:t>
      </w:r>
      <w:r>
        <w:rPr>
          <w:rFonts w:ascii="Times New Roman" w:cs="Times New Roman" w:eastAsia="Times New Roman" w:hAnsi="Times New Roman"/>
          <w:sz w:val="20"/>
          <w:szCs w:val="20"/>
          <w:u w:val="single" w:color="auto"/>
          <w:color w:val="auto"/>
        </w:rPr>
        <w:t>Section 8.1(a)(xxxvi)</w:t>
      </w:r>
      <w:r>
        <w:rPr>
          <w:rFonts w:ascii="Times New Roman" w:cs="Times New Roman" w:eastAsia="Times New Roman" w:hAnsi="Times New Roman"/>
          <w:sz w:val="20"/>
          <w:szCs w:val="20"/>
          <w:color w:val="auto"/>
        </w:rPr>
        <w:t xml:space="preserve"> to the extent such Lien exists at the time of redesignation of the applicable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property covered thereby is not changed in category or scope after such acquisition or after such Person becoming a Subsidiary and (y) the Lien would comply with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Crown Holdings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Lien is granted by a Credit Party in favor of a Subsidiary that is not a Credit Party, the amount of Indebtedness secured by such Lien cannot exceed the amount permitted as an Investment under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300" w:hanging="644"/>
        <w:spacing w:after="0"/>
        <w:tabs>
          <w:tab w:leader="none" w:pos="130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financing of insurance premiums permitted under </w:t>
      </w:r>
      <w:r>
        <w:rPr>
          <w:rFonts w:ascii="Times New Roman" w:cs="Times New Roman" w:eastAsia="Times New Roman" w:hAnsi="Times New Roman"/>
          <w:sz w:val="20"/>
          <w:szCs w:val="20"/>
          <w:u w:val="single" w:color="auto"/>
          <w:color w:val="auto"/>
        </w:rPr>
        <w:t>Section 8.1(a)(ix)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(ab) Liens, pursuant to one or more cash collateral arrangements, escrow arrangements or other funding arrangements pursuant to which funds will be segregated to pay 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 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(ac) (A) 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 Owned Subsidiaries;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(ad) Liens securing Indebtedness incurred pursuant to </w:t>
      </w:r>
      <w:r>
        <w:rPr>
          <w:rFonts w:ascii="Times New Roman" w:cs="Times New Roman" w:eastAsia="Times New Roman" w:hAnsi="Times New Roman"/>
          <w:sz w:val="20"/>
          <w:szCs w:val="20"/>
          <w:u w:val="single" w:color="auto"/>
          <w:color w:val="auto"/>
        </w:rPr>
        <w:t>Section 8.1(a)(viii)</w:t>
      </w:r>
      <w:r>
        <w:rPr>
          <w:rFonts w:ascii="Times New Roman" w:cs="Times New Roman" w:eastAsia="Times New Roman" w:hAnsi="Times New Roman"/>
          <w:sz w:val="20"/>
          <w:szCs w:val="20"/>
          <w:color w:val="auto"/>
        </w:rPr>
        <w:t xml:space="preserve"> (to the extent the underlying Indebtedness or other obligations being guaranteed are permitted to be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ectPr>
          <w:pgSz w:w="11900" w:h="16838" w:orient="portrait"/>
          <w:cols w:equalWidth="0" w:num="1">
            <w:col w:w="11240"/>
          </w:cols>
          <w:pgMar w:left="320" w:top="1413" w:right="339" w:bottom="1440" w:gutter="0" w:footer="0" w:header="0"/>
        </w:sectPr>
      </w:pPr>
    </w:p>
    <w:bookmarkStart w:id="326" w:name="page327"/>
    <w:bookmarkEnd w:id="32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(ae) 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 Liens in respect of Indebtedness permitted under </w:t>
      </w:r>
      <w:r>
        <w:rPr>
          <w:rFonts w:ascii="Times New Roman" w:cs="Times New Roman" w:eastAsia="Times New Roman" w:hAnsi="Times New Roman"/>
          <w:sz w:val="20"/>
          <w:szCs w:val="20"/>
          <w:u w:val="single" w:color="auto"/>
          <w:color w:val="auto"/>
        </w:rPr>
        <w:t>Section 8.1(a)(xxix)</w:t>
      </w:r>
      <w:r>
        <w:rPr>
          <w:rFonts w:ascii="Times New Roman" w:cs="Times New Roman" w:eastAsia="Times New Roman" w:hAnsi="Times New Roman"/>
          <w:sz w:val="20"/>
          <w:szCs w:val="20"/>
          <w:color w:val="auto"/>
        </w:rPr>
        <w:t xml:space="preserve"> but only to the extent that at the time such Indebtedness is incurred, and immediately after giving effect to such incurrence thereof on a Pro Forma Basis, the Total Secured Leverage Ratio shall not exceed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expressly subordinated to the Liens on the Collateral securing the Obligations of the Credit Parties pursuant to intercreditor arrangements reasonably acceptable to the Administrative Agent; and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(ag) other Liens incurred after the Incremental Amendment No. 3 and Fifth Amendment Effective Date so long as, without duplication, the value of the property subject to such Liens at the time such Lien is incurred and the Indebtedness (including any refinancings of such Indebtedness) and other obligations secured thereby do not exceed the greater of (1) $750,000,000 and (2) 7.5% of Consolidated Tangible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Liens (other than Liens under clauses (a), (b), (c), (d), (e), (g), (m), (n), (o) and (p)) shall extend to any Principal Property or Restricted Securities;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during a Collateral Release Period or after a Non-Stock Collateral Release Event, as applicable, none of the foregoing provisions of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permit any Lien to exist on assets that constituted or would constitute Collateral immediately prior to the applicable Collateral Release Event or Non-Stock Collateral Release Event, except to the extent that such Liens were expressly permitted on such assets prior to giving effect to such Collateral Release Event or Non-Stock Collateral Release Event.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in the event that a proposed Lien meets the criteria of more than one of the categories of permitted Liens described in clauses (a) through (gg) above, Crown Holdings, in its sole discretion, will be permitted to classify such Lien on the date of its incurrence, or later reclassify such Lien, in any manner that complies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so long as such Lien (or any portion thereof) is permitted to be incurred pursuant to such provision at the time of reclassification. Notwithstanding the foregoing, Liens incurred (a) under the Loan Documents or otherwise securing the obligations shall only be classified as incurred under </w:t>
      </w:r>
      <w:r>
        <w:rPr>
          <w:rFonts w:ascii="Times New Roman" w:cs="Times New Roman" w:eastAsia="Times New Roman" w:hAnsi="Times New Roman"/>
          <w:sz w:val="20"/>
          <w:szCs w:val="20"/>
          <w:u w:val="single" w:color="auto"/>
          <w:color w:val="auto"/>
        </w:rPr>
        <w:t>Section 8.2(a)(i)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(b) pursuant to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 xml:space="preserve"> on the Incremental Amendment No. 3 and Fifth Amendment Effective Date shall only be classified as incurred under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maximum amount of Liens that Crown Holdings or any Subsidiary may incur pursuant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not be deemed to be exceeded solely as the result of fluctuations in the exchange rates of currencies.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28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any Investment permitted under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 and any asset sale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199</w:t>
      </w:r>
    </w:p>
    <w:p>
      <w:pPr>
        <w:sectPr>
          <w:pgSz w:w="11900" w:h="16838" w:orient="portrait"/>
          <w:cols w:equalWidth="0" w:num="1">
            <w:col w:w="11240"/>
          </w:cols>
          <w:pgMar w:left="320" w:top="1413" w:right="339" w:bottom="1440" w:gutter="0" w:footer="0" w:header="0"/>
        </w:sectPr>
      </w:pPr>
    </w:p>
    <w:bookmarkStart w:id="327" w:name="page328"/>
    <w:bookmarkEnd w:id="327"/>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8.5(j)</w:t>
      </w:r>
      <w:r>
        <w:rPr>
          <w:rFonts w:ascii="Times New Roman" w:cs="Times New Roman" w:eastAsia="Times New Roman" w:hAnsi="Times New Roman"/>
          <w:sz w:val="19"/>
          <w:szCs w:val="19"/>
          <w:color w:val="auto"/>
        </w:rPr>
        <w:t xml:space="preserve">)), except that, (i) any Wholly-Owned Subsidiary of a Borrower may merge into, amalgamate with or consolidate with 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and if any party to such merger is a Subsidiary Credit Party, the surviving entity shall be (or shall simultaneously with or promptly following such merger become) a Subsidiary Credit Party, (iii) the Credit Parties and their Subsidiaries may engage in Permitted Holding Company Transactions and Permitted Cross Chain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connection with the foregoing, the appropriate Credit Parties shall take all actions necessary or reasonably requested by U.S. Collateral Agent or Euro 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on the terms set forth therein and to the extent applicable, (iv) any Subsidiary may liquidate or dissolve;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such liquidation or dissolution would not reasonably be expected to have a Material Adverse Effect and (y) such Subsidiary, if it is a Borrower, shall have either paid in full (other than Unasserted Contingent Obligations)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and (v) any Subsidiary that is not a Credit Party may merge, amalgamate or consolidate with or into any other Subsidiary that is not a Credit Party. No Unrestricted Entity shall enter into any merger or consolidation into or with Crown Holdings, any Credit Party or any Subsidiary except that an Unrestricted Entity may (1) merge or consolidate with Crown Holdings, any Credit Party or any Subsidiary in a transaction in which the surviving entity is Crown Holdings, such Credit Party or such Subsidiary, (2) merge or consolidate with a Credit Party (other than Crown Holdings 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 Agreement and the other Loan Documents to which the such Subsidiary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w:t>
      </w:r>
    </w:p>
    <w:p>
      <w:pPr>
        <w:spacing w:after="0" w:line="231" w:lineRule="exact"/>
        <w:rPr>
          <w:sz w:val="20"/>
          <w:szCs w:val="20"/>
          <w:color w:val="auto"/>
        </w:rPr>
      </w:pPr>
    </w:p>
    <w:p>
      <w:pPr>
        <w:ind w:firstLine="8"/>
        <w:spacing w:after="0" w:line="253" w:lineRule="auto"/>
        <w:tabs>
          <w:tab w:leader="none" w:pos="331"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Person shall comply with the requirements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substantially concurrently with such merger or consolidation (for this purpose only, without giving effect to the grace periods for delivery of a guaranty or security provided for therein).</w:t>
      </w:r>
    </w:p>
    <w:p>
      <w:pPr>
        <w:spacing w:after="0" w:line="18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any Subsidiary of U.S. Borrower, the Canadian Borrower or European Borrower may dispose of any or all of its assets (upon voluntary liquidation or otherwise) to U.S. Borrower, the Canadian Borrower or European Borrower or any other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the foregoing, the appropriate Credit Parties shall take all actions necessary or reasonably requested by the Collateral Agents to maintain the perfection of or perfect, as the case may be, protect and preserve the Liens on the Collateral granted to the Collateral Agents pursuant to the Security Documents and otherwise comply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on the terms set forth therein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200</w:t>
      </w:r>
    </w:p>
    <w:p>
      <w:pPr>
        <w:sectPr>
          <w:pgSz w:w="11900" w:h="16838" w:orient="portrait"/>
          <w:cols w:equalWidth="0" w:num="1">
            <w:col w:w="11240"/>
          </w:cols>
          <w:pgMar w:left="320" w:top="1413" w:right="339" w:bottom="1440" w:gutter="0" w:footer="0" w:header="0"/>
        </w:sectPr>
      </w:pPr>
    </w:p>
    <w:bookmarkStart w:id="328" w:name="page329"/>
    <w:bookmarkEnd w:id="328"/>
    <w:p>
      <w:pPr>
        <w:spacing w:after="0" w:line="283" w:lineRule="auto"/>
        <w:rPr>
          <w:sz w:val="20"/>
          <w:szCs w:val="20"/>
          <w:color w:val="auto"/>
        </w:rPr>
      </w:pPr>
      <w:r>
        <w:rPr>
          <w:rFonts w:ascii="Times New Roman" w:cs="Times New Roman" w:eastAsia="Times New Roman" w:hAnsi="Times New Roman"/>
          <w:sz w:val="20"/>
          <w:szCs w:val="20"/>
          <w:color w:val="auto"/>
        </w:rPr>
        <w:t>applicable), and any Subsidiary which is not a Subsidiary Credit Party may dispose of assets to any other Subsidiary which is not a Subsidiary Credit Party.</w:t>
      </w:r>
    </w:p>
    <w:p>
      <w:pPr>
        <w:spacing w:after="0" w:line="146" w:lineRule="exact"/>
        <w:rPr>
          <w:sz w:val="20"/>
          <w:szCs w:val="20"/>
          <w:color w:val="auto"/>
        </w:rPr>
      </w:pPr>
    </w:p>
    <w:p>
      <w:pPr>
        <w:jc w:val="both"/>
        <w:ind w:right="20" w:firstLine="656"/>
        <w:spacing w:after="0" w:line="261" w:lineRule="auto"/>
        <w:tabs>
          <w:tab w:leader="none" w:pos="128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will not, and will not permit any of their Subsidiaries to engage to any material extent in any business other than businesses of the type conducted by Crown Holdings and its Subsidiaries on the Original Closing Date and businesses which are extensions thereof or otherwise incidental, reasonably related, ancillary, complementary or incidental thereto.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Investments, Loans, Advances, Guarantee Obligations and Acquisitions</w:t>
      </w:r>
      <w:r>
        <w:rPr>
          <w:rFonts w:ascii="Times New Roman" w:cs="Times New Roman" w:eastAsia="Times New Roman" w:hAnsi="Times New Roman"/>
          <w:sz w:val="20"/>
          <w:szCs w:val="20"/>
          <w:color w:val="auto"/>
        </w:rPr>
        <w:t>. The Credit Parties will not, and will not permit any of their Subsidiaries to purchase, hold, acquire (including pursuant to any merger or amalgamation with any Person that was not a Wholly-Owned Subsidiary prior to such merger or amalgamation), permit to exist or make any Investment, except:</w:t>
      </w:r>
    </w:p>
    <w:p>
      <w:pPr>
        <w:spacing w:after="0" w:line="181" w:lineRule="exact"/>
        <w:rPr>
          <w:sz w:val="20"/>
          <w:szCs w:val="20"/>
          <w:color w:val="auto"/>
        </w:rPr>
      </w:pPr>
    </w:p>
    <w:p>
      <w:pPr>
        <w:ind w:left="1300" w:hanging="644"/>
        <w:spacing w:after="0"/>
        <w:tabs>
          <w:tab w:leader="none" w:pos="13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Incremental Amendment No. 3 and Fifth Amendment Effective Date and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and any Investment that extends, replaces, refinances or refunds any such Investment and any investment that extends, replaces, refinances or refunds any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(x) by the Parent Guarantors, the Borrowers and the Subsidiaries in Subsidiary Credit Parties and by the Parent Guarantors in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Investment (other than Intercompany Indebtedness held by a Non-U.S. Subsidiary which shall be pledged only if and to the extent required by this Agreement) held by a Credit Party shall be pledged pursuant to the applicable Security Document, (y) by a Subsidiary Credit Party in a Parent Guarantor or a Borrower in the form of Intercompany Indebtedness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 shall be pledged pursuant to the applicable Security Document if and to the extent required by this Agreement or (z) held by such Person at the time such Person becomes a Subsidiary;</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incurred after the Incremental Amendment No. 3 and Fifth Amendment Effective Date by (A) the Credit Parties in Subsidiaries that are not Credit Parties and (B) Subsidiaries that are not Credit Parties in other Subsidiaries that are not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are made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applicable, the requirements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7.14</w:t>
      </w:r>
      <w:r>
        <w:rPr>
          <w:rFonts w:ascii="Times New Roman" w:cs="Times New Roman" w:eastAsia="Times New Roman" w:hAnsi="Times New Roman"/>
          <w:sz w:val="20"/>
          <w:szCs w:val="20"/>
          <w:color w:val="auto"/>
        </w:rPr>
        <w:t xml:space="preserve"> are satisfied;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Indebtedness permitted by </w:t>
      </w:r>
      <w:r>
        <w:rPr>
          <w:rFonts w:ascii="Times New Roman" w:cs="Times New Roman" w:eastAsia="Times New Roman" w:hAnsi="Times New Roman"/>
          <w:sz w:val="20"/>
          <w:szCs w:val="20"/>
          <w:u w:val="single" w:color="auto"/>
          <w:color w:val="auto"/>
        </w:rPr>
        <w:t>Section 8.1(a)(x)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(xiii)</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Permitted Guarantee Obligations;</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Capital Stock) received (x) in connection with the bankruptcy or reorganization of, or settlement (including settlements of litigation) of delinquent accounts and disputes with, customers, suppliers and other account debtors, in each case arising in the ordinary course of business, (y) upon the foreclosure with respect to any secured Investment or other transfer of title with respect to any secured Investment or (z) upon the settlement, compromise, resolution of litigation, arbitration or other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ectPr>
          <w:pgSz w:w="11900" w:h="16838" w:orient="portrait"/>
          <w:cols w:equalWidth="0" w:num="1">
            <w:col w:w="11240"/>
          </w:cols>
          <w:pgMar w:left="320" w:top="1413" w:right="339" w:bottom="1440" w:gutter="0" w:footer="0" w:header="0"/>
        </w:sectPr>
      </w:pPr>
    </w:p>
    <w:bookmarkStart w:id="329" w:name="page330"/>
    <w:bookmarkEnd w:id="329"/>
    <w:p>
      <w:pPr>
        <w:jc w:val="both"/>
        <w:ind w:firstLine="656"/>
        <w:spacing w:after="0" w:line="253" w:lineRule="auto"/>
        <w:tabs>
          <w:tab w:leader="none" w:pos="128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directors, employees, managers, consultants, independent contractors and officers (or equivalent thereof) of Crown Holdings or its Subsidiaries (x) in the ordinary course of business (including, without limitation, for payroll, travel, entertainment and relocation expenses), (y) in connection with such Person’s purchase of Capital Stock of Crown Holdings and (z) for purposes not described in the foregoing clauses (x) and (y), in an aggregate principal amount outstanding at any time not to exceed $50,000,000;</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the consideration paid by Crown Holdings and its Subsidiaries is common stock of Crown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w:t>
      </w:r>
    </w:p>
    <w:p>
      <w:pPr>
        <w:spacing w:after="0" w:line="200" w:lineRule="exact"/>
        <w:rPr>
          <w:rFonts w:ascii="Times New Roman" w:cs="Times New Roman" w:eastAsia="Times New Roman" w:hAnsi="Times New Roman"/>
          <w:sz w:val="20"/>
          <w:szCs w:val="20"/>
          <w:color w:val="auto"/>
        </w:rPr>
      </w:pPr>
    </w:p>
    <w:p>
      <w:pPr>
        <w:ind w:right="20" w:firstLine="656"/>
        <w:spacing w:after="0" w:line="283" w:lineRule="auto"/>
        <w:tabs>
          <w:tab w:leader="none" w:pos="129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representing consideration (including by way of capital contribution) for or otherwise received in connection with asset sales and dispositions permitted by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29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by the Credit Parties from and after the Incremental Amendment No. 3 and Fifth Amendment Effective Date in an aggregate amount not to exceed the Available Amount;</w:t>
      </w:r>
    </w:p>
    <w:p>
      <w:pPr>
        <w:spacing w:after="0" w:line="146"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5"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addition to those Investments identified on </w:t>
      </w:r>
      <w:r>
        <w:rPr>
          <w:rFonts w:ascii="Times New Roman" w:cs="Times New Roman" w:eastAsia="Times New Roman" w:hAnsi="Times New Roman"/>
          <w:sz w:val="20"/>
          <w:szCs w:val="20"/>
          <w:u w:val="single" w:color="auto"/>
          <w:color w:val="auto"/>
        </w:rPr>
        <w:t>Schedule 8.4</w:t>
      </w:r>
      <w:r>
        <w:rPr>
          <w:rFonts w:ascii="Times New Roman" w:cs="Times New Roman" w:eastAsia="Times New Roman" w:hAnsi="Times New Roman"/>
          <w:sz w:val="20"/>
          <w:szCs w:val="20"/>
          <w:color w:val="auto"/>
        </w:rPr>
        <w:t xml:space="preserve">, in any Unrestricted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Incremental Amendment No. 3 and Fifth Amendment Effective Date, shall not exceed the Dollar Equivalent of the greater of (1) $435,000,000 and (2) 3%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 in the aggregate at any time outstanding;</w:t>
      </w:r>
    </w:p>
    <w:p>
      <w:pPr>
        <w:spacing w:after="0" w:line="19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required pursuant to the terms of any Permitted Receivables or Factoring Facility;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Crown Holdings and its Subsidiaries may enter into Hedging Agreements in compliance with </w:t>
      </w:r>
      <w:r>
        <w:rPr>
          <w:rFonts w:ascii="Times New Roman" w:cs="Times New Roman" w:eastAsia="Times New Roman" w:hAnsi="Times New Roman"/>
          <w:sz w:val="20"/>
          <w:szCs w:val="20"/>
          <w:u w:val="single" w:color="auto"/>
          <w:color w:val="auto"/>
        </w:rPr>
        <w:t>Section 8.1(a)(xii)</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pledges or deposits made in the ordinary course of business (including cash collateral and other credit support to secure obligations under letters of credit permitted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(w) trade credit, including extensions of credit in the nature of accounts receivable or notes receivable, and accommodation guarantees, accounts receivable and prepaid expenses, (x) constituting deposits, prepayments and/or other credits to suppliers, (y) made in connection with obtaining, maintaining or renewing client and customer contracts and/or (z) in the form of advances made to distributors, suppliers, licensors and licensees, in each case, in the ordinary course of business;</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w:t>
      </w:r>
    </w:p>
    <w:p>
      <w:pPr>
        <w:sectPr>
          <w:pgSz w:w="11900" w:h="16838" w:orient="portrait"/>
          <w:cols w:equalWidth="0" w:num="1">
            <w:col w:w="11240"/>
          </w:cols>
          <w:pgMar w:left="320" w:top="1413" w:right="339" w:bottom="1440" w:gutter="0" w:footer="0" w:header="0"/>
        </w:sectPr>
      </w:pPr>
    </w:p>
    <w:bookmarkStart w:id="330" w:name="page331"/>
    <w:bookmarkEnd w:id="330"/>
    <w:p>
      <w:pPr>
        <w:ind w:left="1300" w:hanging="644"/>
        <w:spacing w:after="0"/>
        <w:tabs>
          <w:tab w:leader="none" w:pos="130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Crown Holdings or any Subsidiary may endorse negotiable instruments held for collection in the ordinary course of business;</w:t>
      </w:r>
    </w:p>
    <w:p>
      <w:pPr>
        <w:spacing w:after="0" w:line="240" w:lineRule="exact"/>
        <w:rPr>
          <w:rFonts w:ascii="Times New Roman" w:cs="Times New Roman" w:eastAsia="Times New Roman" w:hAnsi="Times New Roman"/>
          <w:sz w:val="19"/>
          <w:szCs w:val="19"/>
          <w:color w:val="auto"/>
        </w:rPr>
      </w:pPr>
    </w:p>
    <w:p>
      <w:pPr>
        <w:ind w:right="20" w:firstLine="656"/>
        <w:spacing w:after="0" w:line="269" w:lineRule="auto"/>
        <w:tabs>
          <w:tab w:leader="none" w:pos="1294"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Subsidiary in connection with intercompany cash management arrangements, pooling agreements or related activities arising in the ordinary course of business;</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(other than in respect of Indebtedness for borrowed money) owing to the Borrower or any Restricted Subsidiary, if created or acquired in the ordinary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18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Indebtedness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(other than clause (xi) thereof), Liens permitted by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(other than clause (z) thereof), mergers, consolidations, amalgamations, liquidations, windings up, dissolutions or Dispositions made pursuant to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(other than clause (b) and clause (j) thereof), Restricted Payments and Repayments made pursuant to </w:t>
      </w:r>
      <w:r>
        <w:rPr>
          <w:rFonts w:ascii="Times New Roman" w:cs="Times New Roman" w:eastAsia="Times New Roman" w:hAnsi="Times New Roman"/>
          <w:sz w:val="20"/>
          <w:szCs w:val="20"/>
          <w:u w:val="single" w:color="auto"/>
          <w:color w:val="auto"/>
        </w:rPr>
        <w:t>Sections 8.8</w:t>
      </w:r>
      <w:r>
        <w:rPr>
          <w:rFonts w:ascii="Times New Roman" w:cs="Times New Roman" w:eastAsia="Times New Roman" w:hAnsi="Times New Roman"/>
          <w:sz w:val="20"/>
          <w:szCs w:val="20"/>
          <w:color w:val="auto"/>
        </w:rPr>
        <w:t xml:space="preserve"> (other than clause (l) thereof) and </w:t>
      </w:r>
      <w:r>
        <w:rPr>
          <w:rFonts w:ascii="Times New Roman" w:cs="Times New Roman" w:eastAsia="Times New Roman" w:hAnsi="Times New Roman"/>
          <w:sz w:val="20"/>
          <w:szCs w:val="20"/>
          <w:u w:val="single" w:color="auto"/>
          <w:color w:val="auto"/>
        </w:rPr>
        <w:t>8.11</w:t>
      </w:r>
      <w:r>
        <w:rPr>
          <w:rFonts w:ascii="Times New Roman" w:cs="Times New Roman" w:eastAsia="Times New Roman" w:hAnsi="Times New Roman"/>
          <w:sz w:val="20"/>
          <w:szCs w:val="20"/>
          <w:color w:val="auto"/>
        </w:rPr>
        <w:t xml:space="preserve"> and transactions with Affiliates entered into pursuant to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xml:space="preserve"> (other than clauses</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(e) thereof);</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(y)</w:t>
      </w:r>
      <w:r>
        <w:rPr>
          <w:sz w:val="20"/>
          <w:szCs w:val="20"/>
          <w:color w:val="auto"/>
        </w:rPr>
        <w:tab/>
      </w:r>
      <w:r>
        <w:rPr>
          <w:rFonts w:ascii="Times New Roman" w:cs="Times New Roman" w:eastAsia="Times New Roman" w:hAnsi="Times New Roman"/>
          <w:sz w:val="20"/>
          <w:szCs w:val="20"/>
          <w:color w:val="auto"/>
        </w:rPr>
        <w:t>(i) Guarantees of leases (other than Capitalized Leases) or of other obligations not constituting Indebtedness and</w:t>
      </w:r>
    </w:p>
    <w:p>
      <w:pPr>
        <w:spacing w:after="0" w:line="28" w:lineRule="exact"/>
        <w:rPr>
          <w:sz w:val="20"/>
          <w:szCs w:val="20"/>
          <w:color w:val="auto"/>
        </w:rPr>
      </w:pPr>
    </w:p>
    <w:p>
      <w:pPr>
        <w:ind w:firstLine="8"/>
        <w:spacing w:after="0" w:line="253" w:lineRule="auto"/>
        <w:tabs>
          <w:tab w:leader="none" w:pos="295"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lease obligations of suppliers, customers, franchisees and licensees of Crown Holdings or any Subsidiary, in each case, in the ordinary course of business;</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53" w:lineRule="auto"/>
        <w:tabs>
          <w:tab w:leader="none" w:pos="1286"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Investments are made and after giving effect to the making of such Investments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Investment is made, (i) no Event of Default would exist hereunder and (ii) the Total Leverage Ratio shall not be greater than (x) prior to December 31, 2023, 5.00 to 1.00 and (y) thereafter, 4.50 to 1.00; and</w:t>
      </w:r>
    </w:p>
    <w:p>
      <w:pPr>
        <w:spacing w:after="0" w:line="192" w:lineRule="exact"/>
        <w:rPr>
          <w:sz w:val="20"/>
          <w:szCs w:val="20"/>
          <w:color w:val="auto"/>
        </w:rPr>
      </w:pPr>
    </w:p>
    <w:p>
      <w:pPr>
        <w:jc w:val="both"/>
        <w:ind w:firstLine="656"/>
        <w:spacing w:after="0" w:line="261" w:lineRule="auto"/>
        <w:tabs>
          <w:tab w:leader="none" w:pos="1293"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made after the Incremental Amendment No. 3 and Fifth Amendment Effective Date not in excess of the greater of (1) $1,150,000,000 and (2) 8%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w:t>
      </w:r>
    </w:p>
    <w:p>
      <w:pPr>
        <w:spacing w:after="0" w:line="1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The Credit Parties will not, and will not permit any of their Subsidiaries to sell, transfer, lease or otherwise dispose of any asset, including any Capital Stock owned by it, nor will Crown Holdings permit any Subsidiary to issue any additional Capital Stock in any Subsidiary, except:</w:t>
      </w:r>
    </w:p>
    <w:p>
      <w:pPr>
        <w:spacing w:after="0" w:line="161" w:lineRule="exact"/>
        <w:rPr>
          <w:sz w:val="20"/>
          <w:szCs w:val="20"/>
          <w:color w:val="auto"/>
        </w:rPr>
      </w:pPr>
    </w:p>
    <w:p>
      <w:pPr>
        <w:ind w:right="20" w:firstLine="656"/>
        <w:spacing w:after="0" w:line="283" w:lineRule="auto"/>
        <w:tabs>
          <w:tab w:leader="none" w:pos="1286"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inventory or equipment and other property that is obsolete, uneconomical, damaged, excess, worn out, unmerchantable, unsaleable, replaced, retired, surplus or no longer used or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203</w:t>
      </w:r>
    </w:p>
    <w:p>
      <w:pPr>
        <w:sectPr>
          <w:pgSz w:w="11900" w:h="16838" w:orient="portrait"/>
          <w:cols w:equalWidth="0" w:num="1">
            <w:col w:w="11240"/>
          </w:cols>
          <w:pgMar w:left="320" w:top="1413" w:right="339" w:bottom="1440" w:gutter="0" w:footer="0" w:header="0"/>
        </w:sectPr>
      </w:pPr>
    </w:p>
    <w:bookmarkStart w:id="331" w:name="page332"/>
    <w:bookmarkEnd w:id="331"/>
    <w:p>
      <w:pPr>
        <w:jc w:val="both"/>
        <w:ind w:firstLine="656"/>
        <w:spacing w:after="0" w:line="266" w:lineRule="auto"/>
        <w:tabs>
          <w:tab w:leader="none" w:pos="1284"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sales or transfers set forth on </w:t>
      </w:r>
      <w:r>
        <w:rPr>
          <w:rFonts w:ascii="Times New Roman" w:cs="Times New Roman" w:eastAsia="Times New Roman" w:hAnsi="Times New Roman"/>
          <w:sz w:val="19"/>
          <w:szCs w:val="19"/>
          <w:u w:val="single" w:color="auto"/>
          <w:color w:val="auto"/>
        </w:rPr>
        <w:t>Schedule 8.5(b)(i)</w:t>
      </w:r>
      <w:r>
        <w:rPr>
          <w:rFonts w:ascii="Times New Roman" w:cs="Times New Roman" w:eastAsia="Times New Roman" w:hAnsi="Times New Roman"/>
          <w:sz w:val="19"/>
          <w:szCs w:val="19"/>
          <w:color w:val="auto"/>
        </w:rPr>
        <w:t xml:space="preserve"> and (ii) sales, transfers and dispositions and issuances to the Borrowers or any Subsidiary of U.S. Borrower, Canadian Borrower or European Borrower, including Permitted Cross Chain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connection with the foregoing, (x) if the transferor in such a transaction is a Credit Party, then (i) the transferee must be (or must substantially concurrently become) a Credit Party and (ii) to the extent constituting a disposition to a Subsidiary that is not a Credit Party, such disposition shall be permitted pursuant to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and (y) the appropriate Credit Parties shall take all actions necessary or reasonably requested by U.S. Collateral Agent or Euro Collateral Agent, as applicable, to maintain the perfection of or perfect, as the case may be, protect and preserve the Liens on the Collateral granted to U.S. Collateral Agent or the Euro Collateral Agent, as applicable, pursuant to the Security Documents (including, without limitation, all items required by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“Permitted Cross Chain Transactions”) and otherwise comply with the provisions of </w:t>
      </w:r>
      <w:r>
        <w:rPr>
          <w:rFonts w:ascii="Times New Roman" w:cs="Times New Roman" w:eastAsia="Times New Roman" w:hAnsi="Times New Roman"/>
          <w:sz w:val="19"/>
          <w:szCs w:val="19"/>
          <w:u w:val="single" w:color="auto"/>
          <w:color w:val="auto"/>
        </w:rPr>
        <w:t>Sections 7.14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12.2</w:t>
      </w:r>
      <w:r>
        <w:rPr>
          <w:rFonts w:ascii="Times New Roman" w:cs="Times New Roman" w:eastAsia="Times New Roman" w:hAnsi="Times New Roman"/>
          <w:sz w:val="19"/>
          <w:szCs w:val="19"/>
          <w:color w:val="auto"/>
        </w:rPr>
        <w:t>, on the terms set forth therein and to the extent applicable;</w:t>
      </w:r>
    </w:p>
    <w:p>
      <w:pPr>
        <w:spacing w:after="0" w:line="169"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transfers of Cash and Cash Equivalents;</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transfers and other dispositions (including by way of capital contribution) of Receivables Assets pursuant to any Permitted Receivables or Factoring Financing or otherwise as permitted under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or sublease of Real Property or personal property in the ordinary course of business not constituting a sale and leaseback transaction;</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9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transfer or disposition of any (a) business or controlling or majority Capital Stock in any Person engaged in a line of business, (b) Minority Interest or (c) property or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such case, such business, Capital Stock, Minority Interest or property is promptly replaced with a similar business, Capital Stock, Minority Interest or property or assets, as applicable, used or useful in a line of business in which Crown Holdings or any of its Subsidiaries is engaged or which are complementary, reasonably related, ancillary or useful to such line of business in which Crown Holdings or any of its Subsidiaries is then engaged;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Holding Company Transactions;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or transfers identified in </w:t>
      </w:r>
      <w:r>
        <w:rPr>
          <w:rFonts w:ascii="Times New Roman" w:cs="Times New Roman" w:eastAsia="Times New Roman" w:hAnsi="Times New Roman"/>
          <w:sz w:val="20"/>
          <w:szCs w:val="20"/>
          <w:u w:val="single" w:color="auto"/>
          <w:color w:val="auto"/>
        </w:rPr>
        <w:t>Schedule 8.5(h)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transfers and dispositions of assets not otherwise permitted under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assets sold, transferred or otherwise disposed of in reliance upon this clause (i) shall not, in the aggregate in any Fiscal Year, exceed the greater of (1) $2,100,000,000 and (2) 15% of Consolidated Total Assets as set forth in the financial statements most recently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that the Net Proceeds of any such sale, transfer or other disposition that are not required to be used to prepay the Loans pursuant to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are used to purchase assets used or useful in one or more of the businesses referred to in </w:t>
      </w:r>
      <w:r>
        <w:rPr>
          <w:rFonts w:ascii="Times New Roman" w:cs="Times New Roman" w:eastAsia="Times New Roman" w:hAnsi="Times New Roman"/>
          <w:sz w:val="20"/>
          <w:szCs w:val="20"/>
          <w:u w:val="single" w:color="auto"/>
          <w:color w:val="auto"/>
        </w:rPr>
        <w:t>Section 8.3(c)</w:t>
      </w:r>
      <w:r>
        <w:rPr>
          <w:rFonts w:ascii="Times New Roman" w:cs="Times New Roman" w:eastAsia="Times New Roman" w:hAnsi="Times New Roman"/>
          <w:sz w:val="20"/>
          <w:szCs w:val="20"/>
          <w:color w:val="auto"/>
        </w:rPr>
        <w:t xml:space="preserve"> in the time period prescribed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and if such Credit Party or such Subsidiary has complied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with respect to any assets purchased with such reinvested proceeds, such sale, transfer or other disposition shall be disregarded for purposes of calculations pursuant to this </w:t>
      </w:r>
      <w:r>
        <w:rPr>
          <w:rFonts w:ascii="Times New Roman" w:cs="Times New Roman" w:eastAsia="Times New Roman" w:hAnsi="Times New Roman"/>
          <w:sz w:val="20"/>
          <w:szCs w:val="20"/>
          <w:u w:val="single" w:color="auto"/>
          <w:color w:val="auto"/>
        </w:rPr>
        <w:t>Section 8.5(i)</w:t>
      </w:r>
      <w:r>
        <w:rPr>
          <w:rFonts w:ascii="Times New Roman" w:cs="Times New Roman" w:eastAsia="Times New Roman" w:hAnsi="Times New Roman"/>
          <w:sz w:val="20"/>
          <w:szCs w:val="20"/>
          <w:color w:val="auto"/>
        </w:rPr>
        <w:t xml:space="preserve"> (and shall otherwise be deemed to be permitted under this </w:t>
      </w:r>
      <w:r>
        <w:rPr>
          <w:rFonts w:ascii="Times New Roman" w:cs="Times New Roman" w:eastAsia="Times New Roman" w:hAnsi="Times New Roman"/>
          <w:sz w:val="20"/>
          <w:szCs w:val="20"/>
          <w:u w:val="single" w:color="auto"/>
          <w:color w:val="auto"/>
        </w:rPr>
        <w:t>Section 8.5(i)</w:t>
      </w:r>
      <w:r>
        <w:rPr>
          <w:rFonts w:ascii="Times New Roman" w:cs="Times New Roman" w:eastAsia="Times New Roman" w:hAnsi="Times New Roman"/>
          <w:sz w:val="20"/>
          <w:szCs w:val="20"/>
          <w:color w:val="auto"/>
        </w:rPr>
        <w:t xml:space="preserve">) to the extent of the reinvested proceeds, from and after the time of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7.14</w:t>
      </w:r>
      <w:r>
        <w:rPr>
          <w:rFonts w:ascii="Times New Roman" w:cs="Times New Roman" w:eastAsia="Times New Roman" w:hAnsi="Times New Roman"/>
          <w:sz w:val="20"/>
          <w:szCs w:val="20"/>
          <w:color w:val="auto"/>
        </w:rPr>
        <w:t xml:space="preserve"> with respect to the acquisition of such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204</w:t>
      </w:r>
    </w:p>
    <w:p>
      <w:pPr>
        <w:sectPr>
          <w:pgSz w:w="11900" w:h="16838" w:orient="portrait"/>
          <w:cols w:equalWidth="0" w:num="1">
            <w:col w:w="11240"/>
          </w:cols>
          <w:pgMar w:left="320" w:top="1413" w:right="339" w:bottom="1440" w:gutter="0" w:footer="0" w:header="0"/>
        </w:sectPr>
      </w:pPr>
    </w:p>
    <w:bookmarkStart w:id="332" w:name="page333"/>
    <w:bookmarkEnd w:id="332"/>
    <w:p>
      <w:pPr>
        <w:jc w:val="both"/>
        <w:ind w:firstLine="656"/>
        <w:spacing w:after="0" w:line="258" w:lineRule="auto"/>
        <w:tabs>
          <w:tab w:leader="none" w:pos="129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and their Subsidiaries may grant liens permitted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make dispositions consisting of transactions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make any Investments otherwise permitted by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 xml:space="preserve">), conduct sale and leaseback transactions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make any Restricted Payments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make prepayments permitted by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and undertake transactions with Affiliates permitted by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enter into consignment arrangements (as consignor or as consignee) or similar arrangements for the sale of goods in the ordinary course of business;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5"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Crown Holdings may sell, convey or otherwise dispose of its Capital Stock that is held by Crown Holdings as treasury stock and (2) the Credit Parties and their Subsidiaries may sell, convey or otherwise dispose of any Capital Stock of an Unrestricted Entity;</w:t>
      </w:r>
    </w:p>
    <w:p>
      <w:pPr>
        <w:spacing w:after="0" w:line="146"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Crown Holdings and its Subsidiaries may issue, sell, assign, or dispose of any shares of Capital Stock of any Subsidiary of Crown Holdings (i) to Crown Holdings, (ii) to another Wholly-Owned Subsidiary of Crown Holdings, (iii) to qualify directors if required by any Requirement of Law, (iv) assignments pursuant to the Loan Documents, (v) pursuant to employee stock ownership or employee benefit plans in effect on the Incremental Amendment No. 3 and Fifth Amendment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Incremental Amendment No. 3 and Fifth Amendment Effective Date) or (vi) so long as (x) after giving effect to such issuance, sale, assignment or disposal,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and (y) no Borrower shall cease to be a Wholly-Owned Subsidiary in connection with such issuance, sale, assignment or disposal;</w:t>
      </w:r>
    </w:p>
    <w:p>
      <w:pPr>
        <w:spacing w:after="0" w:line="196"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4" w:val="left"/>
        </w:tabs>
        <w:numPr>
          <w:ilvl w:val="1"/>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Parties and their Subsidiaries (1) may enter into licenses or sublicenses (or other grants of rights to use) granted or created by any Credit Party or any Subsidiary, which (A) do not interfere, individually or in the aggregate, in any material respect with the business of the Credit Parties and their Subsidiaries, taken as a whole, (B) are between or among Crown Holdings and/or its Subsidiaries or</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make dispositions of owned or leased vehicles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07"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make dispositions resulting from any foreclosure, casualty or other insured damage to, or any taking under power of eminent domain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205</w:t>
      </w:r>
    </w:p>
    <w:p>
      <w:pPr>
        <w:sectPr>
          <w:pgSz w:w="11900" w:h="16838" w:orient="portrait"/>
          <w:cols w:equalWidth="0" w:num="1">
            <w:col w:w="11240"/>
          </w:cols>
          <w:pgMar w:left="320" w:top="1413"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20"/>
          <w:szCs w:val="20"/>
          <w:color w:val="auto"/>
        </w:rPr>
        <w:t>condemnation or similar proceeding of, any property or asset of any Credit Party or any of its Subsidiaries;</w:t>
      </w:r>
    </w:p>
    <w:p>
      <w:pPr>
        <w:spacing w:after="0" w:line="229" w:lineRule="exact"/>
        <w:rPr>
          <w:sz w:val="20"/>
          <w:szCs w:val="20"/>
          <w:color w:val="auto"/>
        </w:rPr>
      </w:pPr>
    </w:p>
    <w:p>
      <w:pPr>
        <w:ind w:left="1300" w:hanging="644"/>
        <w:spacing w:after="0"/>
        <w:tabs>
          <w:tab w:leader="none" w:pos="130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(i) permit to expire any option agreement in respect of personal property and</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surrender or waive contractual rights or settle, release or surrender any contract, tort or litigation claim in the ordinary course of business;</w:t>
      </w:r>
    </w:p>
    <w:p>
      <w:pPr>
        <w:spacing w:after="0" w:line="218"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9"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dispose of non-core assets (including real estate assets) acquired in connection with any acquisition or other Investment permitted hereunder and consummated after the Incremental No. 2 and Third Amendment Effective Date;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terminations or unwinds of Hedging Agreements;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made to comply with any order or any agency of the U.S. federal government, any state, authority or other regulatory body or any applicable Requirement of Law;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exchanges or swaps, including transactions covered by Section 1031 of the Code (or any comparable provision of any foreign jurisdiction), of like property or assets.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the event the Required Lenders waive the provisions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with respect to the sale of any Collateral, or any Collateral is sold as permitted by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such Collateral shall be sold free and 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The Credit Parties will not, and will not permit any of their Subsidiaries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to the extent the Attributable Debt associated therewith is permitted by Section 8.1(a)(xvi).</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u w:val="single" w:color="auto"/>
          <w:color w:val="auto"/>
        </w:rPr>
        <w:t>Sale or Discount of Receivables</w:t>
      </w:r>
      <w:r>
        <w:rPr>
          <w:rFonts w:ascii="Times New Roman" w:cs="Times New Roman" w:eastAsia="Times New Roman" w:hAnsi="Times New Roman"/>
          <w:sz w:val="20"/>
          <w:szCs w:val="20"/>
          <w:color w:val="auto"/>
        </w:rPr>
        <w:t>. The Credit Parties will not, and will not permit any of their Subsidiaries to sell, with or without recourse, or discount or otherwise sell or transfer for less than the face value thereof, notes or accounts receivable, other than (a) in connection with a Permitted Receivables or Factoring Financing or (b) (i) sales and/or discounts, in each case without recourse (except</w:t>
      </w:r>
    </w:p>
    <w:p>
      <w:pPr>
        <w:spacing w:after="0" w:line="2" w:lineRule="exact"/>
        <w:rPr>
          <w:sz w:val="20"/>
          <w:szCs w:val="20"/>
          <w:color w:val="auto"/>
        </w:rPr>
      </w:pPr>
    </w:p>
    <w:p>
      <w:pPr>
        <w:jc w:val="both"/>
        <w:ind w:firstLine="8"/>
        <w:spacing w:after="0" w:line="264" w:lineRule="auto"/>
        <w:tabs>
          <w:tab w:leader="none" w:pos="329"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customary representations, warranties, covenants and indemnities made in connection therewith, or (B) as is otherwise customary (as determined by Crown Holdings in good faith) for similar transactions in the applicable jurisdictions)) and in the ordinary course of business, any accounts receivable arising in the ordinary course of business (x) which are 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206</w:t>
      </w:r>
    </w:p>
    <w:p>
      <w:pPr>
        <w:sectPr>
          <w:pgSz w:w="11900" w:h="16838" w:orient="portrait"/>
          <w:cols w:equalWidth="0" w:num="1">
            <w:col w:w="11240"/>
          </w:cols>
          <w:pgMar w:left="320" w:top="1413" w:right="339" w:bottom="1440" w:gutter="0" w:footer="0" w:header="0"/>
        </w:sectPr>
      </w:pPr>
    </w:p>
    <w:bookmarkStart w:id="334" w:name="page335"/>
    <w:bookmarkEnd w:id="334"/>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any supply chain or similar arrangements), in each case without recourse (except (A) for customary representations, warranties, covenants and indemnities made in connection therewith, or (B) as is otherwise customary (as determined by Crown Holdings in good faith) for similar transactions in the applicable jurisdictions)), any receivables arising in the ordinary course of business; provided that (x) such sale, discount, contribution or other transfer does not otherwise meet the requirements set forth in the definition of “Permitted Receivables or Factoring Financing” and (y) all Receivables Net Investments shall not exceed the amount set forth in clause (iv) of the definition of “Permitted Receivables or Factoring Financing”.</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The Credit Parties will not, and will not permit any of their Subsidiaries to, declare or make, or agree to pay or make, directly or indirectly, any Restricted Payment, or incur any obligation (contingent or otherwise) to do so, except:</w:t>
      </w:r>
    </w:p>
    <w:p>
      <w:pPr>
        <w:spacing w:after="0" w:line="173" w:lineRule="exact"/>
        <w:rPr>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 may declare and pay dividends ratably with respect to their Capital Stock and repurchase their Capital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ratably;</w:t>
      </w:r>
    </w:p>
    <w:p>
      <w:pPr>
        <w:spacing w:after="0" w:line="207" w:lineRule="exact"/>
        <w:rPr>
          <w:sz w:val="20"/>
          <w:szCs w:val="20"/>
          <w:color w:val="auto"/>
        </w:rPr>
      </w:pPr>
    </w:p>
    <w:p>
      <w:pPr>
        <w:ind w:left="1300" w:hanging="644"/>
        <w:spacing w:after="0"/>
        <w:tabs>
          <w:tab w:leader="none" w:pos="13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may pay dividends consisting solely of shares of its common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of Capital Stock of non-Wholly-Owned Subsidiaries as permitted by </w:t>
      </w:r>
      <w:r>
        <w:rPr>
          <w:rFonts w:ascii="Times New Roman" w:cs="Times New Roman" w:eastAsia="Times New Roman" w:hAnsi="Times New Roman"/>
          <w:sz w:val="20"/>
          <w:szCs w:val="20"/>
          <w:u w:val="single" w:color="auto"/>
          <w:color w:val="auto"/>
        </w:rPr>
        <w:t>Section 8.4(m)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redemption or other acquisition or retirement for value of any Capital Stock (or any options or warrants or stock appreciation rights issued with respect to any of such Capital Stock) of Crown Holdings held (x) by current or former employees, officers, managers or directors (or any spouse, former spouse, successor, executor, administrator, heir, legatee or distributee of any of the foregoing) of Crown Holdings or any of its Subsidiaries upon the death, disability, retirement or termination of employment or services of such Person or otherwise in accordance with any management equity subscription agreement, stock option agreement or similar agreement or plan or (y) for matching contributions to otherwise meet the needs of its employee stock purchase, deferred compensation, 401(k) and other employee benefit plans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price paid (net of employee contributions) for all such purchased, redeemed, acquired or retired Capital Stock shall not exceed the sum of $25,000,000 in any Fiscal Year;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such permitted amount of purchased, redeemed, acquired or retired Capital Stock may be increased in any Fiscal Year by carrying forward any unused amount from the immediately preceding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Fiscal Year, such permitted amount shall be deemed to be made first with respect to the applicable limitation for such Fiscal Year and then with respect to any carry forward (such carry forward to be limited solely to the immediately preceding Fiscal Year) to the extent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Restricted Payment that would cause or result in a “</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as defined in any Public Debt Document shall not be permitted under this clause (e);</w:t>
      </w:r>
    </w:p>
    <w:p>
      <w:pPr>
        <w:spacing w:after="0" w:line="19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1"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or any Subsidiary may make repurchases of Capital Stock by Crown Holdings or any Subsidiary deemed to occur upon the withholding of a portion of the Capital Stock granted or awarded to a current or former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207</w:t>
      </w:r>
    </w:p>
    <w:p>
      <w:pPr>
        <w:sectPr>
          <w:pgSz w:w="11900" w:h="16838" w:orient="portrait"/>
          <w:cols w:equalWidth="0" w:num="1">
            <w:col w:w="11240"/>
          </w:cols>
          <w:pgMar w:left="320" w:top="1413" w:right="339" w:bottom="1440" w:gutter="0" w:footer="0" w:header="0"/>
        </w:sectPr>
      </w:pPr>
    </w:p>
    <w:bookmarkStart w:id="335" w:name="page336"/>
    <w:bookmarkEnd w:id="335"/>
    <w:p>
      <w:pPr>
        <w:ind w:left="1300" w:hanging="644"/>
        <w:spacing w:after="0"/>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or any Subsidiary may (i) pay cash in lieu of fractional Capital Stock in connection with any dividend and</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honor any conversion request by a holder of convertible Indebtedness or securities convertible into or exchangeable for Capital Stock and</w:t>
      </w:r>
    </w:p>
    <w:p>
      <w:pPr>
        <w:spacing w:after="0" w:line="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0"/>
          <w:szCs w:val="20"/>
          <w:color w:val="auto"/>
        </w:rPr>
        <w:t>make cash payments in lieu of fractional shares in connection with any such conversion and may make payments on convertible Indebtedness or securities convertible into or exchangeable for Capital Stock in accordance with its terms;</w:t>
      </w:r>
    </w:p>
    <w:p>
      <w:pPr>
        <w:spacing w:after="0" w:line="161" w:lineRule="exact"/>
        <w:rPr>
          <w:sz w:val="20"/>
          <w:szCs w:val="20"/>
          <w:color w:val="auto"/>
        </w:rPr>
      </w:pPr>
    </w:p>
    <w:p>
      <w:pPr>
        <w:jc w:val="both"/>
        <w:ind w:firstLine="656"/>
        <w:spacing w:after="0" w:line="261" w:lineRule="auto"/>
        <w:tabs>
          <w:tab w:leader="none" w:pos="129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or Unmatured Event of Default has occurred and is continuing or would result therefrom, Crown Holdings and its Subsidiaries may declare and pay dividends to holders of any class or series of Disqualified Preferred Stock issued pursuant to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 xml:space="preserve">; provided that such dividends shall not violate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“Permitted Preferred Stock”;</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Restricted Payment, Crown Holdings and each Subsidiary may consummate any transaction, and pay any amounts permitted under or in respect of any such transaction,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5"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Crown Holdings and its Subsidiaries may make Restricted Payments from and after the Incremental Amendment No. 3 and Fifth Amendment Effective Date in an aggregate amount not to exceed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Restricted Payments are made and after giving effect to the making of such Restricted Payments, no Event of Default would exist hereunder; and</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Restricted Payments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Restricted Payments are made and after giving effect to the making of such Restricted Payments on a Pro Forma Basis for the period of four Fiscal Quarters for which financial statements have been delivered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Restricted Payments is made, (i) no Event of Default would exist hereunder and (ii) the Total Leverage Ratio shall not be greater than (x) prior to December 31, 2023, 5.00 to 1.00 and (y) thereafter, 4.50 to 1.00.</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Notwithstanding the foregoing, (i) Crown Holdings may pay dividends within 60 days after the date of declaration thereof if at such date of declaration such dividend would have complied with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and (ii) any Wholly-Owned Subsidiary may purchase, redeem or otherwise acquire or exchange its Capital Stock for the Capital Stock of another Wholly-Owned Subsidiary.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Credit Parties will not, and will not permit any of their Subsidiaries to sell, lease or otherwise transfer any property or assets to, or purchase, lease or otherwise acquire any property or assets from, or otherwise engage in any other transactions with,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208</w:t>
      </w:r>
    </w:p>
    <w:p>
      <w:pPr>
        <w:sectPr>
          <w:pgSz w:w="11900" w:h="16838" w:orient="portrait"/>
          <w:cols w:equalWidth="0" w:num="1">
            <w:col w:w="11240"/>
          </w:cols>
          <w:pgMar w:left="320" w:top="1413"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0"/>
          <w:szCs w:val="20"/>
          <w:color w:val="auto"/>
        </w:rPr>
        <w:t>Affiliates, in any case, to the extent that such transaction involves payments in excess of $25,000,000, except:</w:t>
      </w:r>
    </w:p>
    <w:p>
      <w:pPr>
        <w:spacing w:after="0" w:line="229" w:lineRule="exact"/>
        <w:rPr>
          <w:sz w:val="20"/>
          <w:szCs w:val="20"/>
          <w:color w:val="auto"/>
        </w:rPr>
      </w:pPr>
    </w:p>
    <w:p>
      <w:pPr>
        <w:jc w:val="both"/>
        <w:ind w:firstLine="656"/>
        <w:spacing w:after="0" w:line="261" w:lineRule="auto"/>
        <w:tabs>
          <w:tab w:leader="none" w:pos="1286"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167"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Credit Parties not involving any other Affiliate and transactions among Subsidiaries not involving any Credit Party;</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fees, expenses, compensation (including bonuses), and other benefits and incentive arrangements (including retirement, health, stock option and other benefit plans) paid or provided to, and any indemnity provided on behalf of, current or former officers, directors, managers or employees of Crown Holdings or any Subsidiary;</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Restricted Payment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(ii) any Investment permitted by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and (iii) any sale or other disposition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employees of the Borrowers or any Subsidiary permitted by </w:t>
      </w:r>
      <w:r>
        <w:rPr>
          <w:rFonts w:ascii="Times New Roman" w:cs="Times New Roman" w:eastAsia="Times New Roman" w:hAnsi="Times New Roman"/>
          <w:sz w:val="20"/>
          <w:szCs w:val="20"/>
          <w:u w:val="single" w:color="auto"/>
          <w:color w:val="auto"/>
        </w:rPr>
        <w:t>Section 8.4(h)</w:t>
      </w:r>
      <w:r>
        <w:rPr>
          <w:rFonts w:ascii="Times New Roman" w:cs="Times New Roman" w:eastAsia="Times New Roman" w:hAnsi="Times New Roman"/>
          <w:sz w:val="20"/>
          <w:szCs w:val="20"/>
          <w:color w:val="auto"/>
        </w:rPr>
        <w:t xml:space="preserve"> and Investments permitted by </w:t>
      </w:r>
      <w:r>
        <w:rPr>
          <w:rFonts w:ascii="Times New Roman" w:cs="Times New Roman" w:eastAsia="Times New Roman" w:hAnsi="Times New Roman"/>
          <w:sz w:val="20"/>
          <w:szCs w:val="20"/>
          <w:u w:val="single" w:color="auto"/>
          <w:color w:val="auto"/>
        </w:rPr>
        <w:t>Section 8.4(d)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1"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as in effect (x) as of the Incremental Amendment No. 3 and Fifth Amendment Effective Date and disclosed in Crown Holdings’ most recently filed Form 10-K or otherwise set forth on </w:t>
      </w:r>
      <w:r>
        <w:rPr>
          <w:rFonts w:ascii="Times New Roman" w:cs="Times New Roman" w:eastAsia="Times New Roman" w:hAnsi="Times New Roman"/>
          <w:sz w:val="20"/>
          <w:szCs w:val="20"/>
          <w:u w:val="single" w:color="auto"/>
          <w:color w:val="auto"/>
        </w:rPr>
        <w:t>Schedule 8.9(f)</w:t>
      </w:r>
      <w:r>
        <w:rPr>
          <w:rFonts w:ascii="Times New Roman" w:cs="Times New Roman" w:eastAsia="Times New Roman" w:hAnsi="Times New Roman"/>
          <w:sz w:val="20"/>
          <w:szCs w:val="20"/>
          <w:color w:val="auto"/>
        </w:rPr>
        <w:t xml:space="preserve"> or any amendment, modification, restatement, renewal, supplementation, refund, replacement, refinancing or otherwise continuation thereto or thereof or any transaction contemplated thereby (including pursuant to any amendment, modification, restatement, renewal, supplementation, refund, replacement, refinancing or otherwise continuation thereto or thereof), in each case, on terms not materially more disadvantageous to the Lenders, taken as a whole, than the original agreement as in effect on the Incremental Amendment No. 3 and Fifth Amendment Effective Date or (y) following the consummation of a Permitted Acquisition or other permitted Investment, any agreements of the acquired Person or other Investment in effect on the closing date of such acquisition or Investment;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Receivables or Factoring Financings;</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issuances of common stock or securities convertible into or exchangeable for common stock of Crown Holdings or warrants, options or other rights to purchase or subscribe for common stock of Crown Holdings;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Cross Chain Transaction and any Permitted Holding Company Transaction;</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by a Credit Party to an SLB Subsidiary in connection with a transaction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338"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209</w:t>
      </w:r>
    </w:p>
    <w:p>
      <w:pPr>
        <w:sectPr>
          <w:pgSz w:w="11900" w:h="16838" w:orient="portrait"/>
          <w:cols w:equalWidth="0" w:num="1">
            <w:col w:w="11240"/>
          </w:cols>
          <w:pgMar w:left="320" w:top="1413" w:right="339" w:bottom="1440" w:gutter="0" w:footer="0" w:header="0"/>
        </w:sectPr>
      </w:pPr>
    </w:p>
    <w:bookmarkStart w:id="337" w:name="page338"/>
    <w:bookmarkEnd w:id="337"/>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The Credit Parties will not, and will not permit any of their Material Subsidiaries to enter into, incur or permit to exist any consensual agreement or other arrangement that prohibits, restricts or imposes any condition upon the ability of any Material Subsidiary (i) to pay dividends or other distributions with respect to any of its Capital Stock to Crown Holdings or any of its Material Subsidiaries or (ii) to make or repay loans or advances to Crown Holdings or any other Material Subsidiary or (iii) to transfer property to Crown Holdings or any of its Material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w:t>
      </w:r>
    </w:p>
    <w:p>
      <w:pPr>
        <w:spacing w:after="0" w:line="192" w:lineRule="exact"/>
        <w:rPr>
          <w:sz w:val="20"/>
          <w:szCs w:val="20"/>
          <w:color w:val="auto"/>
        </w:rPr>
      </w:pPr>
    </w:p>
    <w:p>
      <w:pPr>
        <w:ind w:left="1300" w:hanging="644"/>
        <w:spacing w:after="0"/>
        <w:tabs>
          <w:tab w:leader="none" w:pos="13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imposed by Requirements of Law or by any Loan Document;</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and conditions imposed by the Public Debt Documents as in effect on the Incremental Amendment No. 3 and Fifth Amendment Effective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and conditions imposed by any Permitted Ratio Debt, Permitted European Borrower Debt and Indebtedness permitted under </w:t>
      </w:r>
      <w:r>
        <w:rPr>
          <w:rFonts w:ascii="Times New Roman" w:cs="Times New Roman" w:eastAsia="Times New Roman" w:hAnsi="Times New Roman"/>
          <w:sz w:val="20"/>
          <w:szCs w:val="20"/>
          <w:u w:val="single" w:color="auto"/>
          <w:color w:val="auto"/>
        </w:rPr>
        <w:t>Sections 8.1(a)(ii)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8.1(a)(xxviii)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encumbrances and restrictions contained in such Indebtedness are no more restrictive in any material respect, taken as a whole, than those contained in the Public Debt Documents (as in effect on the Incremental Amendment No. 3 and Fifth Amendment Effective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clause (iii) only, (A) customary restrictions on assignment and (B) assets encumbered by Permitted Liens as long as such restriction applies only to the asset encumbered by such Permitted Lien;</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and conditions existing on the Incremental Amendment No. 3 and Fifth Amendment Effective Date not otherwise excepted from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identified on </w:t>
      </w:r>
      <w:r>
        <w:rPr>
          <w:rFonts w:ascii="Times New Roman" w:cs="Times New Roman" w:eastAsia="Times New Roman" w:hAnsi="Times New Roman"/>
          <w:sz w:val="20"/>
          <w:szCs w:val="20"/>
          <w:u w:val="single" w:color="auto"/>
          <w:color w:val="auto"/>
        </w:rPr>
        <w:t>Schedule 8.10</w:t>
      </w:r>
      <w:r>
        <w:rPr>
          <w:rFonts w:ascii="Times New Roman" w:cs="Times New Roman" w:eastAsia="Times New Roman" w:hAnsi="Times New Roman"/>
          <w:sz w:val="20"/>
          <w:szCs w:val="20"/>
          <w:color w:val="auto"/>
        </w:rPr>
        <w:t xml:space="preserve"> and refinancings thereof with restrictions and conditions no more restrictive, in any material respect, taken as a whole, than those in such Indebtedness on the Incremental Amendment No. 3 and Fifth Amendment Effective Date;</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and conditions contained in any Permitted Receivables or Factoring Financings, sale and leaseback agreements, stock sale agreements and other similar agreements;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contained in Indebtedness of Subsidiaries that are not Credit Parties that is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76" w:lineRule="auto"/>
        <w:tabs>
          <w:tab w:leader="none" w:pos="1294"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 Stock of any Person, so long as such restriction relates solely to the property so acquired (or to the Person or Persons (and its or their subsidiaries) bound thereby) and was not created in connection with or in anticipation of such acquisition;</w:t>
      </w:r>
    </w:p>
    <w:p>
      <w:pPr>
        <w:spacing w:after="0" w:line="169" w:lineRule="exact"/>
        <w:rPr>
          <w:rFonts w:ascii="Times New Roman" w:cs="Times New Roman" w:eastAsia="Times New Roman" w:hAnsi="Times New Roman"/>
          <w:sz w:val="19"/>
          <w:szCs w:val="19"/>
          <w:color w:val="auto"/>
        </w:rPr>
      </w:pPr>
    </w:p>
    <w:p>
      <w:pPr>
        <w:ind w:firstLine="656"/>
        <w:spacing w:after="0" w:line="269" w:lineRule="auto"/>
        <w:tabs>
          <w:tab w:leader="none" w:pos="129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contained in leases, subleases, licenses or asset sale agreements otherwise permitted hereby so long as such restrictions relate only to the assets subject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210</w:t>
      </w:r>
    </w:p>
    <w:p>
      <w:pPr>
        <w:sectPr>
          <w:pgSz w:w="11900" w:h="16838" w:orient="portrait"/>
          <w:cols w:equalWidth="0" w:num="1">
            <w:col w:w="11240"/>
          </w:cols>
          <w:pgMar w:left="320" w:top="1413" w:right="339" w:bottom="1440" w:gutter="0" w:footer="0" w:header="0"/>
        </w:sectPr>
      </w:pPr>
    </w:p>
    <w:bookmarkStart w:id="338" w:name="page339"/>
    <w:bookmarkEnd w:id="338"/>
    <w:p>
      <w:pPr>
        <w:jc w:val="both"/>
        <w:ind w:firstLine="656"/>
        <w:spacing w:after="0" w:line="261" w:lineRule="auto"/>
        <w:tabs>
          <w:tab w:leader="none" w:pos="128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contained in any agreement with respect to Indebtedness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to the extent that such restrictions are not materially more restrictive with respect to such restrictions, taken as a whole, than the corresponding restrictions hereunder;</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Cash Equivalents or deposits imposed by Persons under contracts entered into in the ordinary course of business (or otherwise constituting Permitted Liens on such cash or Cash Equivalents or deposits);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net worth provisions contained in real property leases or licenses of Intellectual Property entered into by Crown Holdings or any Subsidiary, so long as Crown Holdings has determined in good faith that such net worth provisions would not reasonably be expected to impair the ability of Crown Holdings and its Subsidiaries to meet their ongoing obligation;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customary provisions in joint venture agreements, other similar investment agreements and/or Organic Documents of any subsidiary that is a Non-Wholly 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Amendments or Waivers of Certain Documents; Prepayments of Indebtedness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will not, and will not permit any of their Subsidiaries to amend or otherwise change (or waive) the terms of its Organic Documents or the documents governing any Indebtedness (other than Intercompany Indebtedness subordinated as a result of </w:t>
      </w:r>
      <w:r>
        <w:rPr>
          <w:rFonts w:ascii="Times New Roman" w:cs="Times New Roman" w:eastAsia="Times New Roman" w:hAnsi="Times New Roman"/>
          <w:sz w:val="20"/>
          <w:szCs w:val="20"/>
          <w:u w:val="single" w:color="auto"/>
          <w:color w:val="auto"/>
        </w:rPr>
        <w:t>Section 8.1(a)(xi)</w:t>
      </w:r>
      <w:r>
        <w:rPr>
          <w:rFonts w:ascii="Times New Roman" w:cs="Times New Roman" w:eastAsia="Times New Roman" w:hAnsi="Times New Roman"/>
          <w:sz w:val="20"/>
          <w:szCs w:val="20"/>
          <w:color w:val="auto"/>
        </w:rPr>
        <w:t xml:space="preserve">) that is either subordinate or junior in right of payment to the Obligations (it being understood that Indebtedness shall not be deemed subordinate or junior in right of payment on account of being unsecured or being secured with greater or lower priority) or any refinancing thereof, in each case, if the effect of such amendment, change or waiver would be materially adverse to the interests of the Lenders,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 any such amendment, modification, waiver, termination or release of the documentation governing any such Indebtedness will be deemed to be not materially adverse if such Indebtedness could otherwise be incurred under this Agreement with such terms at the time of such amendment, modification, waiver, termination or release, (x) this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shall not otherwise prohibit any Permitted Refinancing Indebtedness or any other replacement, refinancing, amendment, supplement, modification, extension, renewal, restatement or refunding of such Indebtedness, in each case, that is otherwise permitted under this Agreement in respect thereof, or any such amendment, modification, 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 shall be deemed acceptable to the Lenders if posted to the Lenders and not objected to by the Required Lenders within five Business Days thereafter, and (z) this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shall not otherwise prohibit any such amendment, modification, waiver, termination or release of any Organic Documents to the extent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211</w:t>
      </w:r>
    </w:p>
    <w:p>
      <w:pPr>
        <w:sectPr>
          <w:pgSz w:w="11900" w:h="16838" w:orient="portrait"/>
          <w:cols w:equalWidth="0" w:num="1">
            <w:col w:w="11240"/>
          </w:cols>
          <w:pgMar w:left="320" w:top="1413" w:right="339" w:bottom="1440" w:gutter="0" w:footer="0" w:header="0"/>
        </w:sectPr>
      </w:pPr>
    </w:p>
    <w:bookmarkStart w:id="339" w:name="page340"/>
    <w:bookmarkEnd w:id="33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into in order to effect or evidence a transaction that is permitted hereunder, including pursuant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For the avoidance of doubt, the issuance of Capital Stock that is otherwise permitted under this Agreement shall not be deemed to be materially adverse to the interests of the Lenders..</w:t>
      </w:r>
    </w:p>
    <w:p>
      <w:pPr>
        <w:spacing w:after="0" w:line="181" w:lineRule="exact"/>
        <w:rPr>
          <w:sz w:val="20"/>
          <w:szCs w:val="20"/>
          <w:color w:val="auto"/>
        </w:rPr>
      </w:pPr>
    </w:p>
    <w:p>
      <w:pPr>
        <w:jc w:val="both"/>
        <w:ind w:firstLine="656"/>
        <w:spacing w:after="0" w:line="250" w:lineRule="auto"/>
        <w:tabs>
          <w:tab w:leader="none" w:pos="128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will not, and will not permit any of their Subsidiaries to, make (or give any notice or offer in respect of) any voluntary or optional payment or mandatory prepayment or redemption or acquisition for value (“</w:t>
      </w:r>
      <w:r>
        <w:rPr>
          <w:rFonts w:ascii="Times New Roman" w:cs="Times New Roman" w:eastAsia="Times New Roman" w:hAnsi="Times New Roman"/>
          <w:sz w:val="20"/>
          <w:szCs w:val="20"/>
          <w:u w:val="single" w:color="auto"/>
          <w:color w:val="auto"/>
        </w:rPr>
        <w:t>Repayments</w:t>
      </w:r>
      <w:r>
        <w:rPr>
          <w:rFonts w:ascii="Times New Roman" w:cs="Times New Roman" w:eastAsia="Times New Roman" w:hAnsi="Times New Roman"/>
          <w:sz w:val="20"/>
          <w:szCs w:val="20"/>
          <w:color w:val="auto"/>
        </w:rPr>
        <w:t xml:space="preserve">”) of (including, without limitation, by way of depositing with any trustee with respect thereto money or securities before such Indebtedness is due for the purpose of paying such Indebtedness when due) the Indebtedness described in clause (a) above, except for Repayments (s) in an aggregate amount from and after the Incremental Amendment No. 3 and Fifth Amendment Effective Date not to exceed the Available Amount, (t) any AHYDO Payment, (u) 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(x) to the extent, as of the date on which such Repayment is made and immediately after giving effect thereto,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Repayment is made, the Total Leverage Ratio shall not be greater than (A) prior to December 31, 2023, 5.00 to 1.00 and (B) thereafter, 4.50 to 1.00 or (y) a voluntary or optional payment or prepayment on or redemption or acquisition for value in exchange for, or out of proceeds of, the substantially concurrent issuance (other than to an Affiliate of Crown Holdings) of Capital Stock of Crown Holdings.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0"/>
          <w:szCs w:val="20"/>
          <w:u w:val="single" w:color="auto"/>
          <w:color w:val="auto"/>
        </w:rPr>
        <w:t>Limitation on Activities of Crown Holdings, Crown Finance, Crown Finance II and CCSC</w:t>
      </w:r>
      <w:r>
        <w:rPr>
          <w:rFonts w:ascii="Times New Roman" w:cs="Times New Roman" w:eastAsia="Times New Roman" w:hAnsi="Times New Roman"/>
          <w:sz w:val="20"/>
          <w:szCs w:val="20"/>
          <w:color w:val="auto"/>
        </w:rPr>
        <w:t xml:space="preserve">.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 (A) immaterial equipment, other intellectual property and other immaterial assets, or (B) the Capital Stock of Borrowers or other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Capital Stock of Credit Parties other than Borrowers, (1) any Credit Party that is directly 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(C) cash sufficient to pay amounts owing under its Indebtedness permitted to be incurred hereunder and to pay its ordinary course operating expenses and (ii) shall have no operations other than (A) holding such Capital Stock, (B) 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 CCSC, activities engaged in as of the Original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Permitted Holding Company Transactions shall be permitted under this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Anti-Money Laundering</w:t>
      </w:r>
      <w:r>
        <w:rPr>
          <w:rFonts w:ascii="Times New Roman" w:cs="Times New Roman" w:eastAsia="Times New Roman" w:hAnsi="Times New Roman"/>
          <w:sz w:val="20"/>
          <w:szCs w:val="20"/>
          <w:color w:val="auto"/>
        </w:rPr>
        <w:t>.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212</w:t>
      </w:r>
    </w:p>
    <w:p>
      <w:pPr>
        <w:sectPr>
          <w:pgSz w:w="11900" w:h="16838" w:orient="portrait"/>
          <w:cols w:equalWidth="0" w:num="1">
            <w:col w:w="11240"/>
          </w:cols>
          <w:pgMar w:left="320" w:top="1413" w:right="339" w:bottom="1440" w:gutter="0" w:footer="0" w:header="0"/>
        </w:sectPr>
      </w:pPr>
    </w:p>
    <w:bookmarkStart w:id="340" w:name="page341"/>
    <w:bookmarkEnd w:id="340"/>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8.14 </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xml:space="preserve">. The Credit Parties will not, and will not permit any of their Subsidiaries to, make any change in accounting policies affecting the presentation of financial statements or reporting practices from those employed by it on the Original Closing Date, unless (i) such change is required or permitted by GAAP, (ii) such change is disclosed to the Lenders through Administrative Agent or 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hereof occur after the Original Closing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8.15 </w:t>
      </w:r>
      <w:r>
        <w:rPr>
          <w:rFonts w:ascii="Times New Roman" w:cs="Times New Roman" w:eastAsia="Times New Roman" w:hAnsi="Times New Roman"/>
          <w:sz w:val="20"/>
          <w:szCs w:val="20"/>
          <w:u w:val="single" w:color="auto"/>
          <w:color w:val="auto"/>
        </w:rPr>
        <w:t>Canadian Defined Benefit Plans</w:t>
      </w:r>
      <w:r>
        <w:rPr>
          <w:rFonts w:ascii="Times New Roman" w:cs="Times New Roman" w:eastAsia="Times New Roman" w:hAnsi="Times New Roman"/>
          <w:sz w:val="20"/>
          <w:szCs w:val="20"/>
          <w:color w:val="auto"/>
        </w:rPr>
        <w:t>. No Canadian Credit Party shall, without prior written consent from the Majority Lenders (a) establish any plan which would be considered a Canadian Defined Benefit Plan or Multiple Employer Plan once created or commence contributing to or otherwise participate in any plan which would be considered a Canadian Defined Benefit Plan or Multiple Employer Plan after a Canadian Credit Party commenced such contributions or participation; (b) acquire an interest in any Person if such Person sponsors, administers, participates in, or has any liability in respect of, any Canadian Defined Benefit Plan or Multiple Employer Plan, or (c) terminate, or cause to be terminated, any of the Canadian Defined Benefit Plans, if such Canadian Defined Benefit Plan would have a wind up deficiency on termination in an amount that would reasonably be expected to have a Material Adverse Effect.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8.16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Crown Holdings shall not, nor shall it permit any Subsidiary to, directly or indirectly, use the proceeds of any Loan, or lend, contribute or otherwise make available such proceeds to any Subsidiary, joint venture partner or other individual or entity, to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Agent, Sustainability Coordinator, Facing Agent, Swing Line Lender, or otherwise) of Sanctions.</w:t>
      </w:r>
    </w:p>
    <w:p>
      <w:pPr>
        <w:spacing w:after="0" w:line="1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FINANCIAL COVENANT</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Crown Holdings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Crown Holdings will not permit or suffer to exist the Total Leverage Ratio for any Test Period set forth below to exceed the ratio set forth opposite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213</w:t>
      </w:r>
    </w:p>
    <w:p>
      <w:pPr>
        <w:sectPr>
          <w:pgSz w:w="11900" w:h="16838" w:orient="portrait"/>
          <w:cols w:equalWidth="0" w:num="1">
            <w:col w:w="11240"/>
          </w:cols>
          <w:pgMar w:left="320" w:top="1413" w:right="339" w:bottom="1440" w:gutter="0" w:footer="0" w:header="0"/>
        </w:sectPr>
      </w:pPr>
    </w:p>
    <w:bookmarkStart w:id="341" w:name="page342"/>
    <w:bookmarkEnd w:id="341"/>
    <w:p>
      <w:pPr>
        <w:spacing w:after="0" w:line="3" w:lineRule="exact"/>
        <w:rPr>
          <w:sz w:val="20"/>
          <w:szCs w:val="20"/>
          <w:color w:val="auto"/>
        </w:rPr>
      </w:pPr>
    </w:p>
    <w:tbl>
      <w:tblPr>
        <w:tblLayout w:type="fixed"/>
        <w:tblInd w:w="1090" w:type="dxa"/>
        <w:tblCellMar>
          <w:top w:w="0" w:type="dxa"/>
          <w:left w:w="0" w:type="dxa"/>
          <w:bottom w:w="0" w:type="dxa"/>
          <w:right w:w="0" w:type="dxa"/>
        </w:tblCellMar>
      </w:tblPr>
      <w:tr>
        <w:trPr>
          <w:trHeight w:val="216"/>
        </w:trPr>
        <w:tc>
          <w:tcPr>
            <w:tcW w:w="1220" w:type="dxa"/>
            <w:vAlign w:val="bottom"/>
            <w:tcBorders>
              <w:top w:val="single" w:sz="8" w:color="auto"/>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4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Test Period Ended</w:t>
            </w:r>
          </w:p>
        </w:tc>
        <w:tc>
          <w:tcPr>
            <w:tcW w:w="1020" w:type="dxa"/>
            <w:vAlign w:val="bottom"/>
            <w:tcBorders>
              <w:top w:val="single" w:sz="8" w:color="auto"/>
            </w:tcBorders>
          </w:tcPr>
          <w:p>
            <w:pPr>
              <w:spacing w:after="0"/>
              <w:rPr>
                <w:sz w:val="18"/>
                <w:szCs w:val="18"/>
                <w:color w:val="auto"/>
              </w:rPr>
            </w:pPr>
          </w:p>
        </w:tc>
        <w:tc>
          <w:tcPr>
            <w:tcW w:w="1520" w:type="dxa"/>
            <w:vAlign w:val="bottom"/>
            <w:tcBorders>
              <w:top w:val="single" w:sz="8" w:color="auto"/>
              <w:right w:val="single" w:sz="8" w:color="auto"/>
            </w:tcBorders>
            <w:gridSpan w:val="2"/>
          </w:tcPr>
          <w:p>
            <w:pPr>
              <w:jc w:val="center"/>
              <w:ind w:right="1060"/>
              <w:spacing w:after="0" w:line="216" w:lineRule="exact"/>
              <w:rPr>
                <w:sz w:val="20"/>
                <w:szCs w:val="20"/>
                <w:color w:val="auto"/>
              </w:rPr>
            </w:pPr>
            <w:r>
              <w:rPr>
                <w:rFonts w:ascii="Times New Roman" w:cs="Times New Roman" w:eastAsia="Times New Roman" w:hAnsi="Times New Roman"/>
                <w:sz w:val="20"/>
                <w:szCs w:val="20"/>
                <w:b w:val="1"/>
                <w:bCs w:val="1"/>
                <w:color w:val="auto"/>
                <w:w w:val="98"/>
              </w:rPr>
              <w:t>Ratio</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50"/>
        </w:trPr>
        <w:tc>
          <w:tcPr>
            <w:tcW w:w="1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December 31,</w:t>
            </w:r>
          </w:p>
        </w:tc>
        <w:tc>
          <w:tcPr>
            <w:tcW w:w="40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2020 to September 30, 2023</w:t>
            </w:r>
          </w:p>
        </w:tc>
        <w:tc>
          <w:tcPr>
            <w:tcW w:w="25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5.00 to 1.00</w:t>
            </w:r>
          </w:p>
        </w:tc>
      </w:tr>
      <w:tr>
        <w:trPr>
          <w:trHeight w:val="241"/>
        </w:trPr>
        <w:tc>
          <w:tcPr>
            <w:tcW w:w="12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December 31,</w:t>
            </w:r>
          </w:p>
        </w:tc>
        <w:tc>
          <w:tcPr>
            <w:tcW w:w="40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2023 and each</w:t>
            </w:r>
          </w:p>
        </w:tc>
        <w:tc>
          <w:tcPr>
            <w:tcW w:w="25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4.50 to 1.00</w:t>
            </w:r>
          </w:p>
        </w:tc>
      </w:tr>
      <w:tr>
        <w:trPr>
          <w:trHeight w:val="258"/>
        </w:trPr>
        <w:tc>
          <w:tcPr>
            <w:tcW w:w="530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color w:val="auto"/>
              </w:rPr>
              <w:t>Fiscal Quarter thereafter</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upon the consummation of a Material Acquisition and until the end of the fourth full fiscal quarter thereafter (the “</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the maximum permitted Total Leverage Ratio shall be increased by 0.50 to 1.00 (the “</w:t>
      </w:r>
      <w:r>
        <w:rPr>
          <w:rFonts w:ascii="Times New Roman" w:cs="Times New Roman" w:eastAsia="Times New Roman" w:hAnsi="Times New Roman"/>
          <w:sz w:val="20"/>
          <w:szCs w:val="20"/>
          <w:u w:val="single" w:color="auto"/>
          <w:color w:val="auto"/>
        </w:rPr>
        <w:t>Step-Up</w:t>
      </w:r>
      <w:r>
        <w:rPr>
          <w:rFonts w:ascii="Times New Roman" w:cs="Times New Roman" w:eastAsia="Times New Roman" w:hAnsi="Times New Roman"/>
          <w:sz w:val="20"/>
          <w:szCs w:val="20"/>
          <w:color w:val="auto"/>
        </w:rPr>
        <w:t xml:space="preserve">”) during such Increase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200" w:lineRule="exact"/>
        <w:rPr>
          <w:sz w:val="20"/>
          <w:szCs w:val="20"/>
          <w:color w:val="auto"/>
        </w:rPr>
      </w:pPr>
    </w:p>
    <w:p>
      <w:pPr>
        <w:spacing w:after="0" w:line="25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Listing of Events of Default</w:t>
      </w:r>
      <w:r>
        <w:rPr>
          <w:rFonts w:ascii="Times New Roman" w:cs="Times New Roman" w:eastAsia="Times New Roman" w:hAnsi="Times New Roman"/>
          <w:sz w:val="20"/>
          <w:szCs w:val="20"/>
          <w:color w:val="auto"/>
        </w:rPr>
        <w:t xml:space="preserve">. Each of the following events or occurrences described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from and after the Incremental Amendment No. 3 and Fifth Amendment Effective Date for purposes of this Agreement:</w:t>
      </w:r>
    </w:p>
    <w:p>
      <w:pPr>
        <w:spacing w:after="0" w:line="173" w:lineRule="exact"/>
        <w:rPr>
          <w:sz w:val="20"/>
          <w:szCs w:val="20"/>
          <w:color w:val="auto"/>
        </w:rPr>
      </w:pPr>
    </w:p>
    <w:p>
      <w:pPr>
        <w:jc w:val="both"/>
        <w:ind w:firstLine="656"/>
        <w:spacing w:after="0" w:line="253" w:lineRule="auto"/>
        <w:tabs>
          <w:tab w:leader="none" w:pos="128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Any Borrower shall default or fail (i) in the payment when due of any principal of any Loan (including, without limitation, on any Scheduled Term Repayment date), the face amount of any B/A Loan,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179"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by any Credit Party hereunder or in any other Loan Document or certificate furnished by or on behalf of any Credit Party to Administrative Agent, U.K. Administrative Agent, any Collateral Agent, any Facing Agent or any Lender in connection with this Agreement or any such other Loan Document shall have been incorrect in any material respect on the date as of when made, subject to a thirty (30) day grace period in the case of any misrepresentation that is capable of being cured.</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Covenants</w:t>
      </w:r>
      <w:r>
        <w:rPr>
          <w:rFonts w:ascii="Times New Roman" w:cs="Times New Roman" w:eastAsia="Times New Roman" w:hAnsi="Times New Roman"/>
          <w:sz w:val="20"/>
          <w:szCs w:val="20"/>
          <w:color w:val="auto"/>
        </w:rPr>
        <w:t xml:space="preserve">. Any Credit Party shall default in the due performance and observance of any of its obligations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(with respect to the maintenance and preservation of any Parent Guarantor’s or any Borrower’s legal existence),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Covenants, Default Under Other Loan Documents</w:t>
      </w:r>
      <w:r>
        <w:rPr>
          <w:rFonts w:ascii="Times New Roman" w:cs="Times New Roman" w:eastAsia="Times New Roman" w:hAnsi="Times New Roman"/>
          <w:sz w:val="20"/>
          <w:szCs w:val="20"/>
          <w:color w:val="auto"/>
        </w:rPr>
        <w:t>.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given to Crown Holdings by Administrative Agent (including through the instruction of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214</w:t>
      </w:r>
    </w:p>
    <w:p>
      <w:pPr>
        <w:sectPr>
          <w:pgSz w:w="11900" w:h="16838" w:orient="portrait"/>
          <w:cols w:equalWidth="0" w:num="1">
            <w:col w:w="11240"/>
          </w:cols>
          <w:pgMar w:left="320" w:top="1440" w:right="339" w:bottom="1440" w:gutter="0" w:footer="0" w:header="0"/>
        </w:sectPr>
      </w:pPr>
    </w:p>
    <w:bookmarkStart w:id="342" w:name="page343"/>
    <w:bookmarkEnd w:id="342"/>
    <w:p>
      <w:pPr>
        <w:jc w:val="both"/>
        <w:ind w:firstLine="656"/>
        <w:spacing w:after="0" w:line="251" w:lineRule="auto"/>
        <w:tabs>
          <w:tab w:leader="none" w:pos="1286"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Under Other Agreements</w:t>
      </w:r>
      <w:r>
        <w:rPr>
          <w:rFonts w:ascii="Times New Roman" w:cs="Times New Roman" w:eastAsia="Times New Roman" w:hAnsi="Times New Roman"/>
          <w:sz w:val="20"/>
          <w:szCs w:val="20"/>
          <w:color w:val="auto"/>
        </w:rPr>
        <w:t xml:space="preserve">.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clause (e)(ii) shall not apply to Secured Indebtedness that becomes due as a result of the permitted voluntary sale or permitted transfer of the property or assets securing such Indebtedness.</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20"/>
          <w:szCs w:val="20"/>
          <w:u w:val="single" w:color="auto"/>
          <w:color w:val="auto"/>
        </w:rPr>
        <w:t>udgments</w:t>
      </w:r>
      <w:r>
        <w:rPr>
          <w:rFonts w:ascii="Times New Roman" w:cs="Times New Roman" w:eastAsia="Times New Roman" w:hAnsi="Times New Roman"/>
          <w:sz w:val="20"/>
          <w:szCs w:val="20"/>
          <w:color w:val="auto"/>
        </w:rPr>
        <w:t>. Any judgment or order (or combination of judgments and orders) for the payment of money (to the extent not paid or covered by insurance) equal to or in excess of $250,000,000 individually or in the aggregate shall be rendered against any Credit Party (or any combination thereof) and (i) enforcement proceedings shall have been commenced by any creditor upon such judgment or order and not stayed; (ii) such judgment has not been stayed, bonded, vacated, satisfied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could be required to make a contribution to such Pension Plan, or would reasonably expect to incur a liability or obligation to such Pension Plan, in excess of $250,000,000;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Any Change of Control shall occur.</w:t>
      </w:r>
    </w:p>
    <w:p>
      <w:pPr>
        <w:spacing w:after="0" w:line="22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w:t>
      </w:r>
      <w:r>
        <w:rPr>
          <w:rFonts w:ascii="Times New Roman" w:cs="Times New Roman" w:eastAsia="Times New Roman" w:hAnsi="Times New Roman"/>
          <w:sz w:val="20"/>
          <w:szCs w:val="20"/>
          <w:color w:val="auto"/>
        </w:rPr>
        <w:t xml:space="preserve">. Any Credit Party or any of its Material Subsidiaries shall: (i) become insolvent or generally fail to pay debts as they become due; (ii) voluntarily apply for, consent to, or acquiesce in, the appointment of a trustee, Receiver, administrator, sequestrator or other custodian for such Credit Party or any of such Subsidiaries or substantially all of the property of any thereof, or make a general assignment for the benefit of creditors; (iii) in the absence of such voluntary application, consent or acquiescence, permit or suffer to exist the appointment of a trustee, Receiver, administrator, sequestrator or other custodian for any Credit Party or any of such Material Subsidiaries or for a substantial part of the property of any thereof, and such trustee, receiver, sequestrator or other custodian shall not be discharged or stayed within sixty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Credit Party and each such Material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administration, debt arrangement or other case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215</w:t>
      </w:r>
    </w:p>
    <w:p>
      <w:pPr>
        <w:sectPr>
          <w:pgSz w:w="11900" w:h="16838" w:orient="portrait"/>
          <w:cols w:equalWidth="0" w:num="1">
            <w:col w:w="11240"/>
          </w:cols>
          <w:pgMar w:left="320" w:top="1413" w:right="339" w:bottom="1440" w:gutter="0" w:footer="0" w:header="0"/>
        </w:sectPr>
      </w:pPr>
    </w:p>
    <w:bookmarkStart w:id="343" w:name="page344"/>
    <w:bookmarkEnd w:id="343"/>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proceeding under any bankruptcy or insolvency law, or any dissolution, winding up or liquidation proceeding, in respect of any Credit Party or any such Material Subsidiary, and, if any such case or proceeding is not commenced by any Credit Party or such Material Subsidiary, such case or proceeding shall be consented to or acquiesced in by any Credit Party or such Material Subsidiary or shall result in the entry of an order for relief or shall remain for sixty (60) days undismissed, unbonded, unvacated, unsatisfied, undischarged and unstayed,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Credit Party and each such Material Subsidiary hereby expressly authorize Administrative Agent and each Lender to appear in any court conducting any such case or proceeding during such sixty (60) 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195" w:lineRule="exact"/>
        <w:rPr>
          <w:sz w:val="20"/>
          <w:szCs w:val="20"/>
          <w:color w:val="auto"/>
        </w:rPr>
      </w:pPr>
    </w:p>
    <w:p>
      <w:pPr>
        <w:jc w:val="both"/>
        <w:ind w:firstLine="656"/>
        <w:spacing w:after="0" w:line="253" w:lineRule="auto"/>
        <w:tabs>
          <w:tab w:leader="none" w:pos="129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xml:space="preserve">. Other than as a result of any release of the guaranty in accordance with the terms of this Agreement or any Guarantee Agreement, obligations of any Guarantor under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the obligations of U.S. Borrower or any other Subsidiary Credit Party under the Guarantee Agreements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repudiate its obligations thereunder.</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$150,000,000, except as a result of (i) 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 (ii) any action taken by the Collateral Agents to release any Lien on any Collateral in accordance with the terms of this Agreement and any Receivables Intercreditor Agreement, if applicable, or (iii) any automatic or other release of any Lien on any Collateral in accordance with the terms of this Agreement and any Receivables Intercreditor Agreement, if applicable.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Action if Bankruptcy</w:t>
      </w:r>
      <w:r>
        <w:rPr>
          <w:rFonts w:ascii="Times New Roman" w:cs="Times New Roman" w:eastAsia="Times New Roman" w:hAnsi="Times New Roman"/>
          <w:sz w:val="20"/>
          <w:szCs w:val="20"/>
          <w:color w:val="auto"/>
        </w:rPr>
        <w:t xml:space="preserve">. If any Event of Default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Action if Other Event of Default</w:t>
      </w:r>
      <w:r>
        <w:rPr>
          <w:rFonts w:ascii="Times New Roman" w:cs="Times New Roman" w:eastAsia="Times New Roman" w:hAnsi="Times New Roman"/>
          <w:sz w:val="20"/>
          <w:szCs w:val="20"/>
          <w:color w:val="auto"/>
        </w:rPr>
        <w:t xml:space="preserve">. If any Event of Default (other than any Event of Default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with respect to any Parent Guarantor or any Borrower) shall occur for any reason, whether voluntary or involuntary, and be continuing, Administrative Agent, upon the direction of the Required Lenders, shall by written notice to Borrowers and each Lender (a) declare all or any portion of the outstanding principal amount of the Loans and other Obligations to be due and payable and/or the Commitments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with respect to such Borrower it will pay) to Administrative Agent at the Payment Office such additional amount of cash, to be held as security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216</w:t>
      </w:r>
    </w:p>
    <w:p>
      <w:pPr>
        <w:sectPr>
          <w:pgSz w:w="11900" w:h="16838" w:orient="portrait"/>
          <w:cols w:equalWidth="0" w:num="1">
            <w:col w:w="11240"/>
          </w:cols>
          <w:pgMar w:left="320" w:top="1413" w:right="339" w:bottom="1440" w:gutter="0" w:footer="0" w:header="0"/>
        </w:sectPr>
      </w:pPr>
    </w:p>
    <w:bookmarkStart w:id="344" w:name="page345"/>
    <w:bookmarkEnd w:id="34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Administrative Agent for the benefit of the Secured Creditors, as is equal to the sum of (a) the aggregate Stated Amount of all Letters of Credit issued for the account of Crown Holdings and its Subsidiaries and then outstanding and (b) the aggregate amount of all Unpaid Drawings,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such time as (y) no Event of Default shall be continuing or (z) this Agreement shall have terminated in accordance with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the balance, if any, of the amount held pursuant to this clause (b) shall be returned to the Borrowers and (c) enforce, or cause the U.S. Collateral Agent and Euro Collateral Agent to enforce, the Guarantee Agreement, the provisions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and all of the Liens and security interests created pursuant to the Security Documents in accordance with their terms.</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Rights Not Exclusive</w:t>
      </w:r>
      <w:r>
        <w:rPr>
          <w:rFonts w:ascii="Times New Roman" w:cs="Times New Roman" w:eastAsia="Times New Roman" w:hAnsi="Times New Roman"/>
          <w:sz w:val="20"/>
          <w:szCs w:val="20"/>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pro rata,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pro rata, to accrued and unpaid interest on the Obligations (including any interest which but for the provisions of the Bankruptcy Code, would have accrued on such amounts);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principal amount of or any other portions of, the Obligations outstanding (including without limitation, any Bank Related Debt) and to cash collateralize outstanding Letters of Credit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such Obligations based upon the principal amount thereof or the outstanding face amount of such Letters of Credit, as applicable, and with respect to amounts applied to Term Loans,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accrued and unpaid interest on the Foreign Obligations (including any interest which but for the provisions of the Bankruptcy Code, would have accrued on such amounts);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principal amount of the Foreign Obligations outstanding and to cash collateralize outstanding Letters of Credit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such Foreign Obligations based upon the principal amount thereof or the outstanding face amount of such Letters of Credit, as applicable, and with respect to amounts applied to Term Loans,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Excluded Swap Obligations with respect to any Guarantor shall not be paid with amounts received from such Guarantor or its assets, but appropriate adjustments shall be made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217</w:t>
      </w:r>
    </w:p>
    <w:p>
      <w:pPr>
        <w:sectPr>
          <w:pgSz w:w="11900" w:h="16838" w:orient="portrait"/>
          <w:cols w:equalWidth="0" w:num="1">
            <w:col w:w="11240"/>
          </w:cols>
          <w:pgMar w:left="320" w:top="1413"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20"/>
          <w:szCs w:val="20"/>
          <w:color w:val="auto"/>
        </w:rPr>
        <w:t>payments from other Credit Parties to preserve the allocation to Obligations otherwise set forth above in this Section.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otherwise.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notwithstanding, Administrative Agent shall, at the request of the Required Lenders, rescind and annul any acceleration of the Loans by written instrument filed with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acceleration is so rescinded and annulled: (A) 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hereof.</w:t>
      </w:r>
    </w:p>
    <w:p>
      <w:pPr>
        <w:spacing w:after="0" w:line="18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u w:val="single" w:color="auto"/>
          <w:color w:val="auto"/>
        </w:rPr>
        <w:t>THE AGENTS</w:t>
      </w: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Appointment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documents governed by the law of England) under all Euro Security Documents (such appointment being made, as regards any Euro Security Document governed by French law, </w:t>
      </w:r>
      <w:r>
        <w:rPr>
          <w:rFonts w:ascii="Times New Roman" w:cs="Times New Roman" w:eastAsia="Times New Roman" w:hAnsi="Times New Roman"/>
          <w:sz w:val="20"/>
          <w:szCs w:val="20"/>
          <w:i w:val="1"/>
          <w:iCs w:val="1"/>
          <w:color w:val="auto"/>
        </w:rPr>
        <w:t>agent de sûretés</w:t>
      </w:r>
      <w:r>
        <w:rPr>
          <w:rFonts w:ascii="Times New Roman" w:cs="Times New Roman" w:eastAsia="Times New Roman" w:hAnsi="Times New Roman"/>
          <w:sz w:val="20"/>
          <w:szCs w:val="20"/>
          <w:color w:val="auto"/>
        </w:rPr>
        <w:t xml:space="preserve"> to act in accordance with the provisions of Article 2328-1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 Each Agent may perform any of its duties hereunder and under the other Loan Documents, by or through its officers, directors, agents, employees or affiliates. The provisions of this Article are solely for the benefit of the Administrative Agent and the Lenders, and no Credit Party shall have rights as a third party beneficiary of any of such provisions. For the purposes of </w:t>
      </w:r>
      <w:r>
        <w:rPr>
          <w:rFonts w:ascii="Times New Roman" w:cs="Times New Roman" w:eastAsia="Times New Roman" w:hAnsi="Times New Roman"/>
          <w:sz w:val="20"/>
          <w:szCs w:val="20"/>
          <w:u w:val="single" w:color="auto"/>
          <w:color w:val="auto"/>
        </w:rPr>
        <w:t>Sections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12.17</w:t>
      </w:r>
      <w:r>
        <w:rPr>
          <w:rFonts w:ascii="Times New Roman" w:cs="Times New Roman" w:eastAsia="Times New Roman" w:hAnsi="Times New Roman"/>
          <w:sz w:val="20"/>
          <w:szCs w:val="20"/>
          <w:color w:val="auto"/>
        </w:rPr>
        <w:t xml:space="preserve"> each Lender hereby relieves the Euro Collateral Agent from the restrictions on self-dealing and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218</w:t>
      </w:r>
    </w:p>
    <w:p>
      <w:pPr>
        <w:sectPr>
          <w:pgSz w:w="11900" w:h="16838" w:orient="portrait"/>
          <w:cols w:equalWidth="0" w:num="1">
            <w:col w:w="11240"/>
          </w:cols>
          <w:pgMar w:left="320" w:top="1413" w:right="339" w:bottom="1440" w:gutter="0" w:footer="0" w:header="0"/>
        </w:sectPr>
      </w:pPr>
    </w:p>
    <w:bookmarkStart w:id="346" w:name="page347"/>
    <w:bookmarkEnd w:id="346"/>
    <w:p>
      <w:pPr>
        <w:jc w:val="both"/>
        <w:spacing w:after="0" w:line="263" w:lineRule="auto"/>
        <w:rPr>
          <w:sz w:val="20"/>
          <w:szCs w:val="20"/>
          <w:color w:val="auto"/>
        </w:rPr>
      </w:pPr>
      <w:r>
        <w:rPr>
          <w:rFonts w:ascii="Times New Roman" w:cs="Times New Roman" w:eastAsia="Times New Roman" w:hAnsi="Times New Roman"/>
          <w:sz w:val="20"/>
          <w:szCs w:val="20"/>
          <w:color w:val="auto"/>
        </w:rPr>
        <w:t>representation pursuant to Section 181 of the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179" w:lineRule="exact"/>
        <w:rPr>
          <w:sz w:val="20"/>
          <w:szCs w:val="20"/>
          <w:color w:val="auto"/>
        </w:rPr>
      </w:pPr>
    </w:p>
    <w:p>
      <w:pPr>
        <w:jc w:val="both"/>
        <w:ind w:firstLine="656"/>
        <w:spacing w:after="0" w:line="263" w:lineRule="auto"/>
        <w:tabs>
          <w:tab w:leader="none" w:pos="1284"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Times New Roman" w:cs="Times New Roman" w:eastAsia="Times New Roman" w:hAnsi="Times New Roman"/>
          <w:sz w:val="19"/>
          <w:szCs w:val="19"/>
          <w:u w:val="single" w:color="auto"/>
          <w:color w:val="auto"/>
        </w:rPr>
        <w:t>fondé de pouvoir</w:t>
      </w:r>
      <w:r>
        <w:rPr>
          <w:rFonts w:ascii="Times New Roman" w:cs="Times New Roman" w:eastAsia="Times New Roman" w:hAnsi="Times New Roman"/>
          <w:sz w:val="19"/>
          <w:szCs w:val="19"/>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xml:space="preserve"> under the relevant deed of hypothec and applicable laws (with the power to delegate any such rights or duties). Moreover, in respect of any 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 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Times New Roman" w:cs="Times New Roman" w:eastAsia="Times New Roman" w:hAnsi="Times New Roman"/>
          <w:sz w:val="19"/>
          <w:szCs w:val="19"/>
          <w:i w:val="1"/>
          <w:iCs w:val="1"/>
          <w:color w:val="auto"/>
        </w:rPr>
        <w:t>An Act respecting the Special Powers of Legal Persons</w:t>
      </w:r>
      <w:r>
        <w:rPr>
          <w:rFonts w:ascii="Times New Roman" w:cs="Times New Roman" w:eastAsia="Times New Roman" w:hAnsi="Times New Roman"/>
          <w:sz w:val="19"/>
          <w:szCs w:val="19"/>
          <w:color w:val="auto"/>
        </w:rPr>
        <w:t xml:space="preserve"> (Quebec). Any person who becomes a Secured Creditor or successor Collateral Agent shall be deemed to have consented to and ratified the foregoing appointment of each Collateral Agent as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agent and mandatary on behalf of all the Secured Creditors, including such person designated above as a Secured Creditor. For greater certainty, each Collateral Agent, acting as the holder of an irrevocable power of attorney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xml:space="preserve">), shall have the same rights, powers, immunities, indemnities and exclusions from liability as are prescribed in favour of the Collateral Agents in this Agreement, which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In the event of the resignation and appointment of a successor Collateral Agent, such successor Collateral Agent shall also be authorized to act as the holder of an irrevocable power of attorney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The Administrative Agent in Its Individual Capacity</w:t>
      </w:r>
      <w:r>
        <w:rPr>
          <w:rFonts w:ascii="Times New Roman" w:cs="Times New Roman" w:eastAsia="Times New Roman" w:hAnsi="Times New Roman"/>
          <w:sz w:val="20"/>
          <w:szCs w:val="20"/>
          <w:color w:val="auto"/>
        </w:rPr>
        <w:t>.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 other consideration from any Credit Party or any Affiliate of any Credit Party for services in connection with this Agreement and otherwise without having to account for the same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219</w:t>
      </w:r>
    </w:p>
    <w:p>
      <w:pPr>
        <w:sectPr>
          <w:pgSz w:w="11900" w:h="16838" w:orient="portrait"/>
          <w:cols w:equalWidth="0" w:num="1">
            <w:col w:w="11240"/>
          </w:cols>
          <w:pgMar w:left="320" w:top="1409" w:right="339" w:bottom="1440" w:gutter="0" w:footer="0" w:header="0"/>
        </w:sectPr>
      </w:pPr>
    </w:p>
    <w:bookmarkStart w:id="347" w:name="page348"/>
    <w:bookmarkEnd w:id="347"/>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Nature of Duties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0" w:lineRule="auto"/>
        <w:tabs>
          <w:tab w:leader="none" w:pos="1286"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Sustainability Coordinators, the Arrangers, the Bookrunners and the other Agents shall not have any duties or responsibilities except those expressly set forth in this Agreement and in the other Loan Documents. None of the Agents or the Sustainability Coordinators or any of their respective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the Agents shall be mechanical and administrative in nature; the Agents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Agents any obligations in respect of this Agreement or any other Loan Document except as expressly set forth herein or therein.</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Without limitation of the foregoing, each Arranger shall not, solely by reason of this Agreement or any other Loan Documents, have any fiduciary relationship in respect of any Lender or any other Person.</w:t>
      </w:r>
    </w:p>
    <w:p>
      <w:pPr>
        <w:spacing w:after="0" w:line="192" w:lineRule="exact"/>
        <w:rPr>
          <w:rFonts w:ascii="Times New Roman" w:cs="Times New Roman" w:eastAsia="Times New Roman" w:hAnsi="Times New Roman"/>
          <w:sz w:val="20"/>
          <w:szCs w:val="20"/>
          <w:color w:val="auto"/>
        </w:rPr>
      </w:pPr>
    </w:p>
    <w:p>
      <w:pPr>
        <w:jc w:val="both"/>
        <w:ind w:firstLine="656"/>
        <w:spacing w:after="0" w:line="266" w:lineRule="auto"/>
        <w:tabs>
          <w:tab w:leader="none" w:pos="1286"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180" w:lineRule="exact"/>
        <w:rPr>
          <w:rFonts w:ascii="Times New Roman" w:cs="Times New Roman" w:eastAsia="Times New Roman" w:hAnsi="Times New Roman"/>
          <w:sz w:val="19"/>
          <w:szCs w:val="19"/>
          <w:color w:val="auto"/>
        </w:rPr>
      </w:pPr>
    </w:p>
    <w:p>
      <w:pPr>
        <w:ind w:firstLine="656"/>
        <w:spacing w:after="0" w:line="283" w:lineRule="auto"/>
        <w:tabs>
          <w:tab w:leader="none" w:pos="1284"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is entering into each Loan Document to which it is a party as a principal and not an agent, and in its own name and on its own account and not for the account or on behalf of any third party.</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220</w:t>
      </w:r>
    </w:p>
    <w:p>
      <w:pPr>
        <w:sectPr>
          <w:pgSz w:w="11900" w:h="16838" w:orient="portrait"/>
          <w:cols w:equalWidth="0" w:num="1">
            <w:col w:w="11240"/>
          </w:cols>
          <w:pgMar w:left="320" w:top="1413" w:right="339" w:bottom="1440" w:gutter="0" w:footer="0" w:header="0"/>
        </w:sectPr>
      </w:pPr>
    </w:p>
    <w:bookmarkStart w:id="348" w:name="page349"/>
    <w:bookmarkEnd w:id="34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respective Related Parties. The exculpatory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credit facilities provided fo</w:t>
      </w:r>
      <w:r>
        <w:rPr>
          <w:rFonts w:ascii="Times New Roman" w:cs="Times New Roman" w:eastAsia="Times New Roman" w:hAnsi="Times New Roman"/>
          <w:sz w:val="20"/>
          <w:szCs w:val="20"/>
          <w:u w:val="single" w:color="auto"/>
          <w:color w:val="auto"/>
        </w:rPr>
        <w:t>r herein as well as activities as Administrative Agent.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Resignation by the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8" w:lineRule="auto"/>
        <w:tabs>
          <w:tab w:leader="none" w:pos="1286"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resign from the performance of all its respective functions and duties hereunder and/or under the other Loan Documents at any time by giving 30 days’ prior written notice to the Lenders and, unless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 the Borrower. Such resignation shall take effect upon the appointment of a successor Administrative Agent pursuant to clauses (b) and (c) below or as otherwise provided below.</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approval shall not be required if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successor Administrative Agent shall not have been so appointed within such 30 day period, the Administrative Agent, with the consent of the Borrower (which consent shall not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consent shall not be required if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19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 resignation of the Administrative Agent pursuant to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the Administrative Agent shall remain indemnified to the extent provided in this Agreement and the other Loan Documents and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the analogous provisions of the other Loan Documents) and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The fees payable by the Borrower to a successor Administrative Agent shall be the same as those payable to its predecessor unless otherwise agreed between the Borrower and such successor.</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herein to the contrary notwithstanding, a Person may be removed as the Administrative Agent and a replacement Administrative Agent appointed by Required Lenders (determined after giving effect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by notice to the Borrowers and such Person)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221</w:t>
      </w:r>
    </w:p>
    <w:p>
      <w:pPr>
        <w:sectPr>
          <w:pgSz w:w="11900" w:h="16838" w:orient="portrait"/>
          <w:cols w:equalWidth="0" w:num="1">
            <w:col w:w="11240"/>
          </w:cols>
          <w:pgMar w:left="320" w:top="1413" w:right="339" w:bottom="1440" w:gutter="0" w:footer="0" w:header="0"/>
        </w:sectPr>
      </w:pPr>
    </w:p>
    <w:bookmarkStart w:id="349" w:name="page350"/>
    <w:bookmarkEnd w:id="34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consent of the Borrowers (such consent not to be unreasonably withheld) or by any Borrower, and such replacement Administrative Agent, if the Required Lenders or any Borrower determine(s) that the Person serving as Administrative Agent is (without taking into account any provision in the definition of “Defaulting Lender” requiring notice from the Administrative Agent or any other party)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removal shall, to the fullest extent permitted by applicable law, in any event become effective if no such replacement Administrative Agent is appointed hereunder within 30 days after the giving of such notice and (ii) no such consent of the Borrowers shall be required if an Event of Default has occurred and is continuing at the time of such appointment.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Lack of Reliance on the Administrative Agent, and the Sustainability Coordinators</w:t>
      </w:r>
      <w:r>
        <w:rPr>
          <w:rFonts w:ascii="Times New Roman" w:cs="Times New Roman" w:eastAsia="Times New Roman" w:hAnsi="Times New Roman"/>
          <w:sz w:val="20"/>
          <w:szCs w:val="20"/>
          <w:color w:val="auto"/>
        </w:rPr>
        <w:t>. Independently and without reliance upon the Administrative Agent or the Sustainability Coordinators,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 (ii) its own appraisal of the creditworthiness of the Parent Guarantors, the Borrower and the Restricted Subsidiaries and, except as expressly provided in this Agreement, the Administrative Agent and the Sustainability Coordinators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and the Sustainability Coordinators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and the Sustainability Coordinators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and the Sustainability Coordinators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and the Sustainability Coordinators may presume that such condition is satisfactory to such Lender unless the Administrative Agent and the Sustainability Coordinators shall have received notice to the contrary from such Lender prior to the making of such Loan. The Administrative Agent and the Sustainability Coordinators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Any assignor of a Loan or seller of a participation hereunder shall be entitled to rely conclusively on a representation of the assignee Lender or Participant in the relevant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w:t>
      </w:r>
    </w:p>
    <w:p>
      <w:pPr>
        <w:sectPr>
          <w:pgSz w:w="11900" w:h="16838" w:orient="portrait"/>
          <w:cols w:equalWidth="0" w:num="1">
            <w:col w:w="11240"/>
          </w:cols>
          <w:pgMar w:left="320" w:top="1413" w:right="339" w:bottom="1440" w:gutter="0" w:footer="0" w:header="0"/>
        </w:sectPr>
      </w:pPr>
    </w:p>
    <w:bookmarkStart w:id="350" w:name="page351"/>
    <w:bookmarkEnd w:id="350"/>
    <w:p>
      <w:pPr>
        <w:jc w:val="both"/>
        <w:spacing w:after="0" w:line="283" w:lineRule="auto"/>
        <w:rPr>
          <w:sz w:val="20"/>
          <w:szCs w:val="20"/>
          <w:color w:val="auto"/>
        </w:rPr>
      </w:pPr>
      <w:r>
        <w:rPr>
          <w:rFonts w:ascii="Times New Roman" w:cs="Times New Roman" w:eastAsia="Times New Roman" w:hAnsi="Times New Roman"/>
          <w:sz w:val="20"/>
          <w:szCs w:val="20"/>
          <w:color w:val="auto"/>
        </w:rPr>
        <w:t>Agreement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Lender and each Facing Agent expressly acknowledges that none of the Agents or the Sustainability Coordinators has made any representation or warranty to it, and that no act by the Administrative Agent, the Sustainability Coordinators, the Bookrunners or the Arrangers hereafter taken, including any consent to, and acceptance of any assignment or review of the affairs of any Loan Party of any Affiliate thereof, shall be deemed to constitute any representation or warranty by the Administrative Agent, the Sustainability Coordinators , the Bookrunners or the Arranger to any Lender or each Facing Agent as to any matter, including whether the Administrative Agent, the Sustainability Coordinators, the Bookrunners or the Arrangers have disclosed material information in their (or their Related Parties’) possession. Each Lender and each Facing Agent represents and warrants that (i) the Loan Documents set forth the terms of a commercial lending facility and (ii) it is engaged in making, acquiring or holding commercial loans in the ordinary course and is entering into this Agreement as a Lender or Facing Agent for the purpose of making, acquiring or holding commercial loans and providing other facilities set forth herein as may be applicable to such Lender or Facing Agent, and not for the purpose of purchasing, acquiring or holding any other type of financial instrument, and each Lender and each Facing Agent agrees not to assert a claim in contravention of the foregoing. Each Lender and each Facing Agent represents and warrants that it is sophisticated with respect to decisions to make, acquire and/or hold commercial loans and to provide other facilities set forth herein, as may be applicable to such Lender or such Facing Agent, and either it, or the Person exercising discretion in making its decision to make, acquire and/or hold such commercial loans or to provide such other facilities, is experienced in making, acquiring or holding such commercial loans or providing such other facilities. Each Lender, each Facing Agent and each Credit Party also acknowledge and agree that (a) none of the Agents, the Sustainability Coordinators, the Bookrunners or the Arrangers, acting in such capacities have made any assurances as to (i) whether the terms and conditions of this Agreement and the other Loan Documents meets such Lender’s or Facing Agent’s criteria or expectations with regard to environmental impact and sustainability performance, (ii) whether any characteristics of this Agreement and the other Loan Documents, including the characteristics of the relevant KPI Metrics or any targets with respect thereto to be determined in connection with any increase or decrease in the Dollar LC Commission, Multicurrency LC Commission, Applicable Adjusted Term SOFR Margin, Applicable Base Rate Margin, Applicable Eurocurrency Margin, Applicable RFR Margin and Applicable Canadian Prime Rate Margin, including Crown Holdings’s environmental and sustainability criteria, meet any industry standards or market expectations for sustainability-linked credit facilities or (iii) whether the relevant KPI Metrics or targets with respect thereto will be attainable or able to be maintained by Crown Holdings, and (b) each such Lender and Facing Agent has performed its own independent investigation and analysis of this Agreement and the other Loan Documents and whether this Agreement and the other Loan Documents meet such Lender’s or Facing Agent’s criteria or expectations with regard to environmental impact and/or sustainability performance.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xml:space="preserve"> Anything herein to the contrary notwithstanding, none of the Administrative Agent, Bookrunners, the Sustainability Coordinators nor Arrangers shall have any powers, duties or responsibilities under this Agreement or any of the other Loan Documents, except in its capacity, as applicable, as the Administrative Agent, a Sustainability Coordinator or a Lender hereunder.</w:t>
      </w:r>
    </w:p>
    <w:p>
      <w:pPr>
        <w:spacing w:after="0" w:line="181" w:lineRule="exact"/>
        <w:rPr>
          <w:sz w:val="20"/>
          <w:szCs w:val="20"/>
          <w:color w:val="auto"/>
        </w:rPr>
      </w:pPr>
    </w:p>
    <w:p>
      <w:pPr>
        <w:jc w:val="both"/>
        <w:ind w:firstLine="656"/>
        <w:spacing w:after="0" w:line="261" w:lineRule="auto"/>
        <w:tabs>
          <w:tab w:leader="none" w:pos="1286"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required to deliver to any Lender originals or copies of any documents, instruments, notices, communications or other information received by the Administrative Agent from any Credit Party, any Subsidiary, the Required Lenders, any Lender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223</w:t>
      </w:r>
    </w:p>
    <w:p>
      <w:pPr>
        <w:sectPr>
          <w:pgSz w:w="11900" w:h="16838" w:orient="portrait"/>
          <w:cols w:equalWidth="0" w:num="1">
            <w:col w:w="11240"/>
          </w:cols>
          <w:pgMar w:left="320" w:top="1413" w:right="339" w:bottom="1440" w:gutter="0" w:footer="0" w:header="0"/>
        </w:sectPr>
      </w:pPr>
    </w:p>
    <w:bookmarkStart w:id="351" w:name="page352"/>
    <w:bookmarkEnd w:id="351"/>
    <w:p>
      <w:pPr>
        <w:jc w:val="both"/>
        <w:spacing w:after="0" w:line="258" w:lineRule="auto"/>
        <w:rPr>
          <w:sz w:val="20"/>
          <w:szCs w:val="20"/>
          <w:color w:val="auto"/>
        </w:rPr>
      </w:pPr>
      <w:r>
        <w:rPr>
          <w:rFonts w:ascii="Times New Roman" w:cs="Times New Roman" w:eastAsia="Times New Roman" w:hAnsi="Times New Roman"/>
          <w:sz w:val="20"/>
          <w:szCs w:val="20"/>
          <w:color w:val="auto"/>
        </w:rPr>
        <w:t>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72" w:lineRule="exact"/>
        <w:rPr>
          <w:sz w:val="20"/>
          <w:szCs w:val="20"/>
          <w:color w:val="auto"/>
        </w:rPr>
      </w:pPr>
    </w:p>
    <w:p>
      <w:pPr>
        <w:jc w:val="both"/>
        <w:ind w:firstLine="656"/>
        <w:spacing w:after="0" w:line="252" w:lineRule="auto"/>
        <w:tabs>
          <w:tab w:leader="none" w:pos="1284"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to the contrary notwithstanding, none of the Agents, Bookrunners, Sustainability Coordinators nor Arrangers (x) shall have any duty to ascertain, inquire into or otherwise independently verify any Sustainability-Related Information or any other information or materials provided by Crown Holdings and used in connection with the sustainability provisions described in this Agreement, including with respect to the applicable KPI Metrics, or (y) shall have any responsibility for (or liability in respect of) the completeness or accuracy of any such information set forth in the preceding clause (x). Each party hereto hereby agrees that none of the Agents, Sustainability Coordinators, Bookrunners or Arrangers shall have any responsibility for (or liability in respect of) reviewing, auditing or otherwise evaluating any Sustainability Rate Adjustment or Sustainability Applicable Commitment Fee Adjustment (or any of the data or computations that are part of or related to any such calculation) set forth in any Sustainability Certificate or notice as to a Sustainability Certificate Inaccuracy (and the Administrative Agent and the Sustainability Coordinators may rely conclusively on any such certificate or notice, without further inquiry.</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72" w:lineRule="exact"/>
        <w:rPr>
          <w:sz w:val="20"/>
          <w:szCs w:val="20"/>
          <w:color w:val="auto"/>
        </w:rPr>
      </w:pPr>
    </w:p>
    <w:p>
      <w:pPr>
        <w:jc w:val="both"/>
        <w:ind w:firstLine="656"/>
        <w:spacing w:after="0" w:line="252" w:lineRule="auto"/>
        <w:tabs>
          <w:tab w:leader="none" w:pos="128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 xml:space="preserve">) allowed in such judicial proceeding; and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224</w:t>
      </w:r>
    </w:p>
    <w:p>
      <w:pPr>
        <w:sectPr>
          <w:pgSz w:w="11900" w:h="16838" w:orient="portrait"/>
          <w:cols w:equalWidth="0" w:num="1">
            <w:col w:w="11240"/>
          </w:cols>
          <w:pgMar w:left="320" w:top="1413" w:right="339" w:bottom="1440" w:gutter="0" w:footer="0" w:header="0"/>
        </w:sectPr>
      </w:pPr>
    </w:p>
    <w:bookmarkStart w:id="352" w:name="page353"/>
    <w:bookmarkEnd w:id="352"/>
    <w:p>
      <w:pPr>
        <w:jc w:val="both"/>
        <w:ind w:firstLine="656"/>
        <w:spacing w:after="0" w:line="251" w:lineRule="auto"/>
        <w:tabs>
          <w:tab w:leader="none" w:pos="1286"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pacing w:after="0" w:line="19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(ii) constituting property being sold or otherwise disposed of (to Persons other than any Credit Party) automatically upon the sale or other disposition thereof in compliance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(iii) if approved, authorized or ratified in writing by the Required Lenders (or all of the Lenders hereunder, to the extent required by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jc w:val="both"/>
        <w:ind w:firstLine="8"/>
        <w:spacing w:after="0" w:line="248" w:lineRule="auto"/>
        <w:tabs>
          <w:tab w:leader="none" w:pos="374"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constituting property acquired by any Credit Party after the Original Closing Date financed with Indebtedness secured by a Lien permitted by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 xml:space="preserve">, (v) if the property subject to such Lien is owned by a Guarantor, automatically upon release of such Guarantor from its obligations under its Guarantee Agreements hereunder or under any other Loan Document as a result of a transaction permitted hereunder, (vi) automatically upon a Non-Stock Collateral Release Event or Collateral Release Event, as applicable, as provided in </w:t>
      </w:r>
      <w:r>
        <w:rPr>
          <w:rFonts w:ascii="Times New Roman" w:cs="Times New Roman" w:eastAsia="Times New Roman" w:hAnsi="Times New Roman"/>
          <w:sz w:val="20"/>
          <w:szCs w:val="20"/>
          <w:u w:val="single" w:color="auto"/>
          <w:color w:val="auto"/>
        </w:rPr>
        <w:t>Section 7.20</w:t>
      </w:r>
      <w:r>
        <w:rPr>
          <w:rFonts w:ascii="Times New Roman" w:cs="Times New Roman" w:eastAsia="Times New Roman" w:hAnsi="Times New Roman"/>
          <w:sz w:val="20"/>
          <w:szCs w:val="20"/>
          <w:color w:val="auto"/>
        </w:rPr>
        <w:t xml:space="preserve">, (vii) constituting property held by an Unrestricted Entity upon the designation of a Subsidiary of Crown Holdings as an Unrestricted Entity or (viii) as otherwise may be expressly provided in the relevant documentation granting such Lien or any Receivables Intercreditor Agreement, (2) to release or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8.2(j)</w:t>
      </w:r>
      <w:r>
        <w:rPr>
          <w:rFonts w:ascii="Times New Roman" w:cs="Times New Roman" w:eastAsia="Times New Roman" w:hAnsi="Times New Roman"/>
          <w:sz w:val="20"/>
          <w:szCs w:val="20"/>
          <w:color w:val="auto"/>
        </w:rPr>
        <w:t xml:space="preserve"> to the extent in respect of Indebtedness under </w:t>
      </w:r>
      <w:r>
        <w:rPr>
          <w:rFonts w:ascii="Times New Roman" w:cs="Times New Roman" w:eastAsia="Times New Roman" w:hAnsi="Times New Roman"/>
          <w:sz w:val="20"/>
          <w:szCs w:val="20"/>
          <w:u w:val="single" w:color="auto"/>
          <w:color w:val="auto"/>
        </w:rPr>
        <w:t>Section 8.1(a)(xvi)</w:t>
      </w:r>
      <w:r>
        <w:rPr>
          <w:rFonts w:ascii="Times New Roman" w:cs="Times New Roman" w:eastAsia="Times New Roman" w:hAnsi="Times New Roman"/>
          <w:sz w:val="20"/>
          <w:szCs w:val="20"/>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 herein or pursuant hereto have been properly or sufficiently or lawfully created, perfected, protected or enforced or are entitled to any particular priority, or to exercise or to continue exercising at all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225</w:t>
      </w:r>
    </w:p>
    <w:p>
      <w:pPr>
        <w:sectPr>
          <w:pgSz w:w="11900" w:h="16838" w:orient="portrait"/>
          <w:cols w:equalWidth="0" w:num="1">
            <w:col w:w="11240"/>
          </w:cols>
          <w:pgMar w:left="320" w:top="1413" w:right="339" w:bottom="1440" w:gutter="0" w:footer="0" w:header="0"/>
        </w:sectPr>
      </w:pPr>
    </w:p>
    <w:bookmarkStart w:id="353" w:name="page354"/>
    <w:bookmarkEnd w:id="353"/>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manner or under any duty of care, disclosure or fidelity any of the rights, authorities and powers granted or available to the Administrative Agent and Collateral Agents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 (as determined by a court of competent jurisdiction in a final and non-appealable decision).</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Bank Related Debt</w:t>
      </w:r>
      <w:r>
        <w:rPr>
          <w:rFonts w:ascii="Times New Roman" w:cs="Times New Roman" w:eastAsia="Times New Roman" w:hAnsi="Times New Roman"/>
          <w:sz w:val="20"/>
          <w:szCs w:val="20"/>
          <w:color w:val="auto"/>
        </w:rPr>
        <w:t xml:space="preserve">. Except as otherwise expressly set forth herein or in any Guarantee Agreement or any Security Document, no Hedge Bank that obtains the benefits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Withholding Tax Indemnity</w:t>
      </w:r>
      <w:r>
        <w:rPr>
          <w:rFonts w:ascii="Times New Roman" w:cs="Times New Roman" w:eastAsia="Times New Roman" w:hAnsi="Times New Roman"/>
          <w:sz w:val="20"/>
          <w:szCs w:val="20"/>
          <w:color w:val="auto"/>
        </w:rPr>
        <w:t xml:space="preserve">. To the extent required by any applicable law, the applicable Agent may withhold from any payment to any Lender an amount equivalent to any applicable withholding Tax. Without limiting or expanding the provisions of </w:t>
      </w:r>
      <w:r>
        <w:rPr>
          <w:rFonts w:ascii="Times New Roman" w:cs="Times New Roman" w:eastAsia="Times New Roman" w:hAnsi="Times New Roman"/>
          <w:sz w:val="20"/>
          <w:szCs w:val="20"/>
          <w:u w:val="single" w:color="auto"/>
          <w:color w:val="auto"/>
        </w:rPr>
        <w:t>Section 4.7(b)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the term “Lender” shall include any Swing Line Lender and any Facing Agent.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Holders</w:t>
      </w:r>
      <w:r>
        <w:rPr>
          <w:rFonts w:ascii="Times New Roman" w:cs="Times New Roman" w:eastAsia="Times New Roman" w:hAnsi="Times New Roman"/>
          <w:sz w:val="20"/>
          <w:szCs w:val="20"/>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Any request, authority or consent of any Person who, at the time of making such request or giving such authority or consent, is the holder of any Note shall be conclusive and binding on any subsequent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226</w:t>
      </w:r>
    </w:p>
    <w:p>
      <w:pPr>
        <w:sectPr>
          <w:pgSz w:w="11900" w:h="16838" w:orient="portrait"/>
          <w:cols w:equalWidth="0" w:num="1">
            <w:col w:w="11240"/>
          </w:cols>
          <w:pgMar w:left="320" w:top="1413" w:right="3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20"/>
          <w:szCs w:val="20"/>
          <w:color w:val="auto"/>
        </w:rPr>
        <w:t>transferee, assignee or endorsee, as the case may be, of such Note or of any Note or Notes issued in exchange therefor.</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Erroneous Payments.</w:t>
      </w:r>
    </w:p>
    <w:p>
      <w:pPr>
        <w:spacing w:after="0" w:line="216" w:lineRule="exact"/>
        <w:rPr>
          <w:sz w:val="20"/>
          <w:szCs w:val="20"/>
          <w:color w:val="auto"/>
        </w:rPr>
      </w:pPr>
    </w:p>
    <w:p>
      <w:pPr>
        <w:jc w:val="both"/>
        <w:ind w:firstLine="656"/>
        <w:spacing w:after="0" w:line="263" w:lineRule="auto"/>
        <w:tabs>
          <w:tab w:leader="none" w:pos="1286"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(x) notifies a Lender, Facing Agent or Secured Creditor, or any Person who has received funds on behalf of a Lender, Facing Agent or Secured Creditor (any such Lender, Facing Agent, Secured Creditor or other recipient (and each of their respective successors and assigns) ,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Facing Agent, Secured Creditor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and</w:t>
      </w:r>
    </w:p>
    <w:p>
      <w:pPr>
        <w:spacing w:after="0" w:line="3" w:lineRule="exact"/>
        <w:rPr>
          <w:rFonts w:ascii="Times New Roman" w:cs="Times New Roman" w:eastAsia="Times New Roman" w:hAnsi="Times New Roman"/>
          <w:sz w:val="19"/>
          <w:szCs w:val="19"/>
          <w:color w:val="auto"/>
        </w:rPr>
      </w:pPr>
    </w:p>
    <w:p>
      <w:pPr>
        <w:jc w:val="both"/>
        <w:ind w:firstLine="8"/>
        <w:spacing w:after="0" w:line="248" w:lineRule="auto"/>
        <w:tabs>
          <w:tab w:leader="none" w:pos="297"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in writing the return of such Erroneous Payment (or a portion thereof), such Erroneous Payment shall at all times remain the property of the Administrative Agent pending its return or repayment as contemplated below in this Se</w:t>
      </w:r>
      <w:r>
        <w:rPr>
          <w:rFonts w:ascii="Times New Roman" w:cs="Times New Roman" w:eastAsia="Times New Roman" w:hAnsi="Times New Roman"/>
          <w:sz w:val="20"/>
          <w:szCs w:val="20"/>
          <w:u w:val="single" w:color="auto"/>
          <w:color w:val="auto"/>
        </w:rPr>
        <w:t>ction 11.14</w:t>
      </w:r>
      <w:r>
        <w:rPr>
          <w:rFonts w:ascii="Times New Roman" w:cs="Times New Roman" w:eastAsia="Times New Roman" w:hAnsi="Times New Roman"/>
          <w:sz w:val="20"/>
          <w:szCs w:val="20"/>
          <w:color w:val="auto"/>
        </w:rPr>
        <w:t xml:space="preserve"> and held in trust for the benefit of the Administrative Agent, and such Lender, Facing Agent or Secured Creditor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(in the case of amounts denominated in Dollars), the Overnight Euro Rate (in the case of amounts denominated in Euro) or the Overnight Sterling Rate (in the case of amounts denominated in Sterling), as applicable,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immediately preceding clause (a), each Lender, Facing Agent, Secured Creditor or any Person who has received funds on behalf of a Lender, Facing Agent or Secured Creditor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Facing Agent or Secured Creditor, or other such recipient, otherwise becomes aware was transmitted, or received, in error or by mistake (in whole or in part), then in each such case:</w:t>
      </w:r>
    </w:p>
    <w:p>
      <w:pPr>
        <w:spacing w:after="0" w:line="19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3"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227</w:t>
      </w:r>
    </w:p>
    <w:p>
      <w:pPr>
        <w:sectPr>
          <w:pgSz w:w="11900" w:h="16838" w:orient="portrait"/>
          <w:cols w:equalWidth="0" w:num="1">
            <w:col w:w="11240"/>
          </w:cols>
          <w:pgMar w:left="320" w:top="1413" w:right="339" w:bottom="1440" w:gutter="0" w:footer="0" w:header="0"/>
        </w:sectPr>
      </w:pPr>
    </w:p>
    <w:bookmarkStart w:id="355" w:name="page356"/>
    <w:bookmarkEnd w:id="355"/>
    <w:p>
      <w:pPr>
        <w:ind w:left="660"/>
        <w:spacing w:after="0"/>
        <w:rPr>
          <w:sz w:val="20"/>
          <w:szCs w:val="20"/>
          <w:color w:val="auto"/>
        </w:rPr>
      </w:pPr>
      <w:r>
        <w:rPr>
          <w:rFonts w:ascii="Times New Roman" w:cs="Times New Roman" w:eastAsia="Times New Roman" w:hAnsi="Times New Roman"/>
          <w:sz w:val="20"/>
          <w:szCs w:val="20"/>
          <w:color w:val="auto"/>
        </w:rPr>
        <w:t>case of immediately preceding clause (z)), in each case, with respect to such payment, prepayment or repayment; and</w:t>
      </w:r>
    </w:p>
    <w:p>
      <w:pPr>
        <w:spacing w:after="0" w:line="229" w:lineRule="exact"/>
        <w:rPr>
          <w:sz w:val="20"/>
          <w:szCs w:val="20"/>
          <w:color w:val="auto"/>
        </w:rPr>
      </w:pPr>
    </w:p>
    <w:p>
      <w:pPr>
        <w:jc w:val="both"/>
        <w:ind w:left="660" w:firstLine="903"/>
        <w:spacing w:after="0" w:line="253" w:lineRule="auto"/>
        <w:tabs>
          <w:tab w:leader="none" w:pos="194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Facing Agent or Secured Creditor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11.14(b)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For the avoidance of doubt, the failure to deliver a notice to the Administrative Agent pursuant to this </w:t>
      </w:r>
      <w:r>
        <w:rPr>
          <w:rFonts w:ascii="Times New Roman" w:cs="Times New Roman" w:eastAsia="Times New Roman" w:hAnsi="Times New Roman"/>
          <w:sz w:val="20"/>
          <w:szCs w:val="20"/>
          <w:u w:val="single" w:color="auto"/>
          <w:color w:val="auto"/>
        </w:rPr>
        <w:t>Section 11.14(b)</w:t>
      </w:r>
      <w:r>
        <w:rPr>
          <w:rFonts w:ascii="Times New Roman" w:cs="Times New Roman" w:eastAsia="Times New Roman" w:hAnsi="Times New Roman"/>
          <w:sz w:val="20"/>
          <w:szCs w:val="20"/>
          <w:color w:val="auto"/>
        </w:rPr>
        <w:t xml:space="preserve"> shall not have any effect on a Payment Recipient’s obligations pursuant to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 xml:space="preserve"> or on whether or not an Erroneous Payment has been made</w:t>
      </w:r>
    </w:p>
    <w:p>
      <w:pPr>
        <w:spacing w:after="0" w:line="168" w:lineRule="exact"/>
        <w:rPr>
          <w:sz w:val="20"/>
          <w:szCs w:val="20"/>
          <w:color w:val="auto"/>
        </w:rPr>
      </w:pPr>
    </w:p>
    <w:p>
      <w:pPr>
        <w:jc w:val="both"/>
        <w:ind w:firstLine="656"/>
        <w:spacing w:after="0" w:line="257" w:lineRule="auto"/>
        <w:tabs>
          <w:tab w:leader="none" w:pos="1286"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Facing Agent or Secured Creditor hereby authorizes the Administrative Agent to set off, net and apply any and all amounts at any time owing to such Lender, Facing Agent or Secured Creditor under any Loan Document, or otherwise payable or distributable by the Administrative Agent to such Lender, Facing Agent or Secured Creditor under any Loan Document with respect to any payment of principal, interest, fees or other amounts, against any amount that the Administrative Agent has demanded to be returned under immediately preceding clause (a).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p>
    <w:p>
      <w:pPr>
        <w:spacing w:after="0" w:line="229" w:lineRule="exact"/>
        <w:rPr>
          <w:sz w:val="20"/>
          <w:szCs w:val="20"/>
          <w:color w:val="auto"/>
        </w:rPr>
      </w:pPr>
    </w:p>
    <w:p>
      <w:pPr>
        <w:jc w:val="both"/>
        <w:ind w:left="660" w:firstLine="903"/>
        <w:spacing w:after="0" w:line="249" w:lineRule="auto"/>
        <w:tabs>
          <w:tab w:leader="none" w:pos="1943"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(on a cashless basis and such amount calculated at par plus any accrued and unpaid interest (with the assignment fee to be waived by the Administrative Agent in such instance)), and is hereby (together with the Borrowers) deemed to execute and deliver an Assignment and Assumption Agreement (or, to the extent applicable, an agreement incorporating an Assignment and Assumption Agreement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Company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228</w:t>
      </w:r>
    </w:p>
    <w:p>
      <w:pPr>
        <w:sectPr>
          <w:pgSz w:w="11900" w:h="16838" w:orient="portrait"/>
          <w:cols w:equalWidth="0" w:num="1">
            <w:col w:w="11240"/>
          </w:cols>
          <w:pgMar w:left="320" w:top="1413" w:right="339" w:bottom="1440" w:gutter="0" w:footer="0" w:header="0"/>
        </w:sectPr>
      </w:pPr>
    </w:p>
    <w:bookmarkStart w:id="356" w:name="page357"/>
    <w:bookmarkEnd w:id="35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79" w:lineRule="exact"/>
        <w:rPr>
          <w:sz w:val="20"/>
          <w:szCs w:val="20"/>
          <w:color w:val="auto"/>
        </w:rPr>
      </w:pPr>
    </w:p>
    <w:p>
      <w:pPr>
        <w:jc w:val="both"/>
        <w:ind w:left="660" w:firstLine="903"/>
        <w:spacing w:after="0" w:line="250" w:lineRule="auto"/>
        <w:tabs>
          <w:tab w:leader="none" w:pos="1944"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9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Facing Agent or Secured Party, to the rights and interests of such Lender, Facing Agent or Secured Party, as the case may be) under the Loan Documents with respect to such amount (the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Subrogation Rights</w:t>
      </w:r>
      <w:r>
        <w:rPr>
          <w:rFonts w:ascii="Times New Roman" w:cs="Times New Roman" w:eastAsia="Times New Roman" w:hAnsi="Times New Roman"/>
          <w:sz w:val="20"/>
          <w:szCs w:val="20"/>
          <w:color w:val="auto"/>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any Borrower or any other Loan Party; provided that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such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such Borrower for the purpose of making such Erroneous Payment.</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229</w:t>
      </w:r>
    </w:p>
    <w:p>
      <w:pPr>
        <w:sectPr>
          <w:pgSz w:w="11900" w:h="16838" w:orient="portrait"/>
          <w:cols w:equalWidth="0" w:num="1">
            <w:col w:w="11240"/>
          </w:cols>
          <w:pgMar w:left="320" w:top="1413" w:right="339" w:bottom="1440" w:gutter="0" w:footer="0" w:header="0"/>
        </w:sectPr>
      </w:pPr>
    </w:p>
    <w:bookmarkStart w:id="357" w:name="page358"/>
    <w:bookmarkEnd w:id="357"/>
    <w:p>
      <w:pPr>
        <w:spacing w:after="0" w:line="283" w:lineRule="auto"/>
        <w:rPr>
          <w:sz w:val="20"/>
          <w:szCs w:val="20"/>
          <w:color w:val="auto"/>
        </w:rPr>
      </w:pPr>
      <w:r>
        <w:rPr>
          <w:rFonts w:ascii="Times New Roman" w:cs="Times New Roman" w:eastAsia="Times New Roman" w:hAnsi="Times New Roman"/>
          <w:sz w:val="20"/>
          <w:szCs w:val="20"/>
          <w:color w:val="auto"/>
        </w:rPr>
        <w:t>Administrative Agent for the return of any Erroneous Payment received, including, without limitation, any defense based on “discharge for value” or any similar doctrine.</w:t>
      </w:r>
    </w:p>
    <w:p>
      <w:pPr>
        <w:spacing w:after="0" w:line="146" w:lineRule="exact"/>
        <w:rPr>
          <w:sz w:val="20"/>
          <w:szCs w:val="20"/>
          <w:color w:val="auto"/>
        </w:rPr>
      </w:pPr>
    </w:p>
    <w:p>
      <w:pPr>
        <w:jc w:val="both"/>
        <w:ind w:firstLine="656"/>
        <w:spacing w:after="0" w:line="261" w:lineRule="auto"/>
        <w:tabs>
          <w:tab w:leader="none" w:pos="128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Facing Agent, the termination of the Commitments and/or the repayment, satisfaction or discharge of all Obligations (or any portion thereof) under any Loan Document.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u w:val="single" w:color="auto"/>
          <w:color w:val="auto"/>
        </w:rPr>
        <w:t>Resignation of the Sustainability Coordinators</w:t>
      </w:r>
      <w:r>
        <w:rPr>
          <w:rFonts w:ascii="Times New Roman" w:cs="Times New Roman" w:eastAsia="Times New Roman" w:hAnsi="Times New Roman"/>
          <w:sz w:val="20"/>
          <w:szCs w:val="20"/>
          <w:color w:val="auto"/>
        </w:rPr>
        <w:t>. Any Sustainability Coordinator may at any time give notice of its resignation to the Administrative Agent, the Lenders, the Facing Agents and Crown Holdings, which resignation shall be effective on the date set forth in such notice (the “Sustainability Coordinator Resignation Effective Date”). Upon receipt of any such notice of resignation, Crown Holdings shall have the right to appoint a successor, which may be a Lender or an Affiliate of a Lender; provided that (i) the acceptance by the relevant Lender is received and (ii) in no event shall any such successor Sustainability Coordinator be a Defaulting Lender or a Disqualified Institution. With effect from the Sustainability Coordinator Resignation Effective Date, the resigning Sustainability Coordinator shall be discharged from any duties and obligations hereunder and under the other Loan Documents. Upon the acceptance of a successor’s appointment as a Sustainability Coordinator hereunder, such successor shall succeed to and become vested with all of the rights, powers, privileges and duties of the resigning Sustainability Coordinator (other than any rights to indemnity payments owed to the resigning Sustainability Coordinator), and the resigning Sustainability Coordinator shall be discharged from any duties and obligations hereunder or under the other Loan Documents. After the resigning Sustainability Coordinator’s resignation hereunder and under the other Loan Documents, the provisions of this Section, Section 12.4 and any relevant exculpatory provisions shall continue in effect for the benefit of such resigning Sustainability Coordinator, its sub agents and their respective Related Parties in respect of any actions taken or omitted to be taken by any of them while the resigning Sustainability Coordinator was acting as Sustainability Coordinator.</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xml:space="preserve"> In connection with all aspects of each transaction contemplated hereby (including in connection with any amendment, waiver or other modification hereof or of any other Loan Document), each Credit Party acknowledges and agrees, and acknowledges its Affiliates’ understanding, that: (i) (A) the arranging and other services regarding this Agreement provided by the Agents, the Sustainability Coordinators, the Bookrunners, the Arrangers, and the Lenders are arm’s-length commercial transactions between the Credit Parties and their Affiliates, on the one hand, and the Agents, the Sustainability Coordinators, the Bookrunners, the Arrangers, and the Lenders, on the other hand, (B) each Credit Party has consulted its own legal, accounting, regulatory and tax advisors to the extent it has deemed appropriate, and (C) each Credit Party is capable of evaluating, and understands and accepts, the terms, risks and conditions of the transactions contemplated hereby and by the other Loan Documents; (ii) (A) the Agents, the Sustainability Coordinators, the Bookrunners, the Arrangers and the Lenders are and have been acting solely as a principal and, except as expressly agreed in writing by the relevant parties, have not been, are not, and will not be acting as an advisor, agent or fiduciary for the Credit Parties or any of its Affiliates, or any other Person and (B) none of the Agents, the Sustainability Coordinators, the Bookrunners, the Arrangers, or the Lenders has any obligation to any Credit Party or any of its Affiliates with respect to the transactions contemplated hereby except those obligations expressly set forth herein and in the other Loan Documents; and (iii) the Agents, the Sustainability Coordinators, the Bookrunners, the Arrangers and the Lenders and their respective Affiliates may be engaged in a broad range of transactions that involve interests that differ from those of the Credit Parties and their Affiliates, and none of the Agents, the Sustainability Coordinators, the Bookrunners, the Arrangers, or the Lenders has any obligation to disclose any of such interests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230</w:t>
      </w:r>
    </w:p>
    <w:p>
      <w:pPr>
        <w:sectPr>
          <w:pgSz w:w="11900" w:h="16838" w:orient="portrait"/>
          <w:cols w:equalWidth="0" w:num="1">
            <w:col w:w="11240"/>
          </w:cols>
          <w:pgMar w:left="320" w:top="1413" w:right="339" w:bottom="1440" w:gutter="0" w:footer="0" w:header="0"/>
        </w:sectPr>
      </w:pPr>
    </w:p>
    <w:bookmarkStart w:id="358" w:name="page359"/>
    <w:bookmarkEnd w:id="358"/>
    <w:p>
      <w:pPr>
        <w:jc w:val="both"/>
        <w:spacing w:after="0" w:line="261" w:lineRule="auto"/>
        <w:rPr>
          <w:sz w:val="20"/>
          <w:szCs w:val="20"/>
          <w:color w:val="auto"/>
        </w:rPr>
      </w:pPr>
      <w:r>
        <w:rPr>
          <w:rFonts w:ascii="Times New Roman" w:cs="Times New Roman" w:eastAsia="Times New Roman" w:hAnsi="Times New Roman"/>
          <w:sz w:val="20"/>
          <w:szCs w:val="20"/>
          <w:color w:val="auto"/>
        </w:rPr>
        <w:t>Credit Parties or their Affiliates. Each Credit Party hereby agrees that it will not assert any claims against the none of the Agents, the Sustainability Coordinators, the Bookrunners, the Arrangers, or the Lenders based on an alleged breach of agency or fiduciary duty in connection with any aspect of any transaction contemplated hereby.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No Waiver; Modifications in Writing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 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181" w:lineRule="exact"/>
        <w:rPr>
          <w:rFonts w:ascii="Times New Roman" w:cs="Times New Roman" w:eastAsia="Times New Roman" w:hAnsi="Times New Roman"/>
          <w:sz w:val="20"/>
          <w:szCs w:val="20"/>
          <w:color w:val="auto"/>
        </w:rPr>
      </w:pPr>
    </w:p>
    <w:p>
      <w:pPr>
        <w:jc w:val="both"/>
        <w:ind w:left="660" w:firstLine="903"/>
        <w:spacing w:after="0" w:line="268" w:lineRule="auto"/>
        <w:tabs>
          <w:tab w:leader="none" w:pos="1943"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161" w:lineRule="exact"/>
        <w:rPr>
          <w:rFonts w:ascii="Times New Roman" w:cs="Times New Roman" w:eastAsia="Times New Roman" w:hAnsi="Times New Roman"/>
          <w:sz w:val="20"/>
          <w:szCs w:val="20"/>
          <w:color w:val="auto"/>
        </w:rPr>
      </w:pPr>
    </w:p>
    <w:p>
      <w:pPr>
        <w:ind w:left="660" w:firstLine="903"/>
        <w:spacing w:after="0" w:line="283" w:lineRule="auto"/>
        <w:tabs>
          <w:tab w:leader="none" w:pos="1944"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Guarantors or all or substantially all of the Collateral (except as expressly provided in the Security Documents),</w:t>
      </w:r>
    </w:p>
    <w:p>
      <w:pPr>
        <w:spacing w:after="0" w:line="146" w:lineRule="exact"/>
        <w:rPr>
          <w:rFonts w:ascii="Times New Roman" w:cs="Times New Roman" w:eastAsia="Times New Roman" w:hAnsi="Times New Roman"/>
          <w:sz w:val="20"/>
          <w:szCs w:val="20"/>
          <w:color w:val="auto"/>
        </w:rPr>
      </w:pPr>
    </w:p>
    <w:p>
      <w:pPr>
        <w:jc w:val="both"/>
        <w:ind w:left="660" w:firstLine="903"/>
        <w:spacing w:after="0" w:line="253" w:lineRule="auto"/>
        <w:tabs>
          <w:tab w:leader="none" w:pos="1945"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or waive any provision of this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reduce the percentage specified in the definition of “Required Lenders” or amend, modify or waive any other provision of any Loan Document (other than the Receivables Intercreditor Agreements and the Security Documents, which are governed by </w:t>
      </w:r>
      <w:r>
        <w:rPr>
          <w:rFonts w:ascii="Times New Roman" w:cs="Times New Roman" w:eastAsia="Times New Roman" w:hAnsi="Times New Roman"/>
          <w:sz w:val="20"/>
          <w:szCs w:val="20"/>
          <w:u w:val="single" w:color="auto"/>
          <w:color w:val="auto"/>
        </w:rPr>
        <w:t>Section 12.17</w:t>
      </w:r>
      <w:r>
        <w:rPr>
          <w:rFonts w:ascii="Times New Roman" w:cs="Times New Roman" w:eastAsia="Times New Roman" w:hAnsi="Times New Roman"/>
          <w:sz w:val="20"/>
          <w:szCs w:val="20"/>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which, except as not otherwise restricted under such Sections, afford the protections to such additional extensions of credit of the type provided to the Term Loans on the Incremental Amendment No. 3 and Fifth Amendment Effective Date),</w:t>
      </w:r>
    </w:p>
    <w:p>
      <w:pPr>
        <w:spacing w:after="0" w:line="180"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Credit Party of any of its rights and obligations under this Agreement,</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6"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or modify the provisions of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12.6</w:t>
      </w:r>
      <w:r>
        <w:rPr>
          <w:rFonts w:ascii="Times New Roman" w:cs="Times New Roman" w:eastAsia="Times New Roman" w:hAnsi="Times New Roman"/>
          <w:sz w:val="20"/>
          <w:szCs w:val="20"/>
          <w:color w:val="auto"/>
        </w:rPr>
        <w:t xml:space="preserve"> in a manner that would by its terms alter the pro rata sharing of payments required thereby, except for technical amendments with respect to additional facilities, replacement loans or commitments, or extensions of the maturity date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231</w:t>
      </w:r>
    </w:p>
    <w:p>
      <w:pPr>
        <w:sectPr>
          <w:pgSz w:w="11900" w:h="16838" w:orient="portrait"/>
          <w:cols w:equalWidth="0" w:num="1">
            <w:col w:w="11240"/>
          </w:cols>
          <w:pgMar w:left="320" w:top="1413" w:right="339" w:bottom="1440" w:gutter="0" w:footer="0" w:header="0"/>
        </w:sectPr>
      </w:pPr>
    </w:p>
    <w:bookmarkStart w:id="359" w:name="page360"/>
    <w:bookmarkEnd w:id="359"/>
    <w:p>
      <w:pPr>
        <w:ind w:left="1560"/>
        <w:spacing w:after="0"/>
        <w:rPr>
          <w:sz w:val="20"/>
          <w:szCs w:val="20"/>
          <w:color w:val="auto"/>
        </w:rPr>
      </w:pPr>
      <w:r>
        <w:rPr>
          <w:rFonts w:ascii="Times New Roman" w:cs="Times New Roman" w:eastAsia="Times New Roman" w:hAnsi="Times New Roman"/>
          <w:sz w:val="20"/>
          <w:szCs w:val="20"/>
          <w:color w:val="auto"/>
        </w:rPr>
        <w:t>(vi) amend or modify the definition of “Pro Rata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amendment, modification, supplement, waiver, discharge, termination or other change shall</w:t>
      </w:r>
    </w:p>
    <w:p>
      <w:pPr>
        <w:spacing w:after="0" w:line="216" w:lineRule="exact"/>
        <w:rPr>
          <w:sz w:val="20"/>
          <w:szCs w:val="20"/>
          <w:color w:val="auto"/>
        </w:rPr>
      </w:pPr>
    </w:p>
    <w:p>
      <w:pPr>
        <w:jc w:val="both"/>
        <w:ind w:left="660" w:firstLine="644"/>
        <w:spacing w:after="0" w:line="257" w:lineRule="auto"/>
        <w:tabs>
          <w:tab w:leader="none" w:pos="1797"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“Applicable LC Sublimit”, </w:t>
      </w:r>
      <w:r>
        <w:rPr>
          <w:rFonts w:ascii="Times New Roman" w:cs="Times New Roman" w:eastAsia="Times New Roman" w:hAnsi="Times New Roman"/>
          <w:sz w:val="20"/>
          <w:szCs w:val="20"/>
          <w:u w:val="single" w:color="auto"/>
          <w:color w:val="auto"/>
        </w:rPr>
        <w:t>Schedule 1.1(g)</w:t>
      </w:r>
      <w:r>
        <w:rPr>
          <w:rFonts w:ascii="Times New Roman" w:cs="Times New Roman" w:eastAsia="Times New Roman" w:hAnsi="Times New Roman"/>
          <w:sz w:val="20"/>
          <w:szCs w:val="20"/>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07"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consent of Administrative Agent and each Facing Agent, amend, modify or waive any provision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alter the rights or obligations of any Facing Agent with respect to Letters of Credit,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2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consent of Administrative Agent, U.K. Administrative Agent or Canadian Administrative Agent, amend, modify or waive any provision of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794"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Times New Roman" w:cs="Times New Roman" w:eastAsia="Times New Roman" w:hAnsi="Times New Roman"/>
          <w:sz w:val="19"/>
          <w:szCs w:val="19"/>
          <w:u w:val="single" w:color="auto"/>
          <w:color w:val="auto"/>
        </w:rPr>
        <w:t>Section 4.5(a)</w:t>
      </w:r>
      <w:r>
        <w:rPr>
          <w:rFonts w:ascii="Times New Roman" w:cs="Times New Roman" w:eastAsia="Times New Roman" w:hAnsi="Times New Roman"/>
          <w:sz w:val="19"/>
          <w:szCs w:val="19"/>
          <w:color w:val="auto"/>
        </w:rPr>
        <w:t xml:space="preserve"> (except for technical amendments with respect to additional facilities, replacement loans or commitments, or extensions of the maturity date pursuant to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 or</w:t>
      </w:r>
    </w:p>
    <w:p>
      <w:pPr>
        <w:spacing w:after="0" w:line="180"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8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consent of the Majority Lenders of the applicable Facility, amend the definition of Scheduled Term Repayments for such Facility in a manner that decreases or delays any Scheduled Term Repayment, except for technical amendments with respect to additional facilities, replacement loans or commitments, or extensions of the maturity date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232</w:t>
      </w:r>
    </w:p>
    <w:p>
      <w:pPr>
        <w:sectPr>
          <w:pgSz w:w="11900" w:h="16838" w:orient="portrait"/>
          <w:cols w:equalWidth="0" w:num="1">
            <w:col w:w="11240"/>
          </w:cols>
          <w:pgMar w:left="320" w:top="1413" w:right="339" w:bottom="1440" w:gutter="0" w:footer="0" w:header="0"/>
        </w:sectPr>
      </w:pPr>
    </w:p>
    <w:bookmarkStart w:id="360" w:name="page361"/>
    <w:bookmarkEnd w:id="360"/>
    <w:p>
      <w:pPr>
        <w:jc w:val="both"/>
        <w:spacing w:after="0" w:line="261" w:lineRule="auto"/>
        <w:rPr>
          <w:sz w:val="20"/>
          <w:szCs w:val="20"/>
          <w:color w:val="auto"/>
        </w:rPr>
      </w:pPr>
      <w:r>
        <w:rPr>
          <w:rFonts w:ascii="Times New Roman" w:cs="Times New Roman" w:eastAsia="Times New Roman" w:hAnsi="Times New Roman"/>
          <w:sz w:val="20"/>
          <w:szCs w:val="20"/>
          <w:color w:val="auto"/>
        </w:rPr>
        <w:t>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181" w:lineRule="exact"/>
        <w:rPr>
          <w:sz w:val="20"/>
          <w:szCs w:val="20"/>
          <w:color w:val="auto"/>
        </w:rPr>
      </w:pPr>
    </w:p>
    <w:p>
      <w:pPr>
        <w:jc w:val="both"/>
        <w:ind w:firstLine="656"/>
        <w:spacing w:after="0" w:line="251" w:lineRule="auto"/>
        <w:tabs>
          <w:tab w:leader="none" w:pos="1284"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proposed change, waiver, discharge or termination of any of the provisions of this Agreement as contemplated by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inclusive, of the first proviso to the third sentence of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 and (F)</w:t>
      </w:r>
      <w:r>
        <w:rPr>
          <w:rFonts w:ascii="Times New Roman" w:cs="Times New Roman" w:eastAsia="Times New Roman" w:hAnsi="Times New Roman"/>
          <w:sz w:val="20"/>
          <w:szCs w:val="20"/>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so long as at the time of such replacement, each such Replacement Lender consents to the proposed amendment, modification, supplement, waiver, discharge, termination or other change.</w:t>
      </w:r>
    </w:p>
    <w:p>
      <w:pPr>
        <w:spacing w:after="0" w:line="195"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amendments effected pursuant to the foregoing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1.1(d)</w:t>
      </w:r>
      <w:r>
        <w:rPr>
          <w:rFonts w:ascii="Times New Roman" w:cs="Times New Roman" w:eastAsia="Times New Roman" w:hAnsi="Times New Roman"/>
          <w:sz w:val="20"/>
          <w:szCs w:val="20"/>
          <w:color w:val="auto"/>
        </w:rPr>
        <w:t xml:space="preserve"> and any Receivables Intercreditor Agreement may be amended as follows:</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51" w:lineRule="auto"/>
        <w:tabs>
          <w:tab w:leader="none" w:pos="1943"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Times New Roman" w:cs="Times New Roman" w:eastAsia="Times New Roman" w:hAnsi="Times New Roman"/>
          <w:sz w:val="20"/>
          <w:szCs w:val="20"/>
          <w:u w:val="single" w:color="auto"/>
          <w:color w:val="auto"/>
        </w:rPr>
        <w:t>Exhibit 12.1(c)</w:t>
      </w:r>
      <w:r>
        <w:rPr>
          <w:rFonts w:ascii="Times New Roman" w:cs="Times New Roman" w:eastAsia="Times New Roman" w:hAnsi="Times New Roman"/>
          <w:sz w:val="20"/>
          <w:szCs w:val="20"/>
          <w:color w:val="auto"/>
        </w:rPr>
        <w:t xml:space="preserve"> (or such other form as mutually agreed by Crown Holdings and the Administrative Agent), providing for a Multicurrency Revolving Sublimit acceptable to U.K. Administrative Agent, (B) delivery to Administrative Agents of (1) to the extent not previously delivered, the Additional Security Documents required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20"/>
          <w:szCs w:val="20"/>
          <w:u w:val="single" w:color="auto"/>
          <w:color w:val="auto"/>
        </w:rPr>
        <w:t>Section 5.1(f)(ii)</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4"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18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Receivables Intercreditor Agreement may be amended in writing by the parties thereto without the consent of</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upon the execution and delivery of all documentation required by Administrative Agent to be delivered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in connection with any Additional Facility, Replacement Term Loans, Replacement Term Commitments, 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191"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Revolving Lender may allocate any proportion of its Revolving Commitment or Revolving Credit Exposure with respect to any waiver, amendment, modification, consent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233</w:t>
      </w:r>
    </w:p>
    <w:p>
      <w:pPr>
        <w:sectPr>
          <w:pgSz w:w="11900" w:h="16838" w:orient="portrait"/>
          <w:cols w:equalWidth="0" w:num="1">
            <w:col w:w="11240"/>
          </w:cols>
          <w:pgMar w:left="320" w:top="1413" w:right="33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20"/>
          <w:szCs w:val="20"/>
          <w:color w:val="auto"/>
        </w:rPr>
        <w:t xml:space="preserve">action pursuant to this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any other Loan Document in order to vote separate portions thereof differently with respect thereto.</w:t>
      </w:r>
    </w:p>
    <w:p>
      <w:pPr>
        <w:spacing w:after="0" w:line="229" w:lineRule="exact"/>
        <w:rPr>
          <w:sz w:val="20"/>
          <w:szCs w:val="20"/>
          <w:color w:val="auto"/>
        </w:rPr>
      </w:pPr>
    </w:p>
    <w:p>
      <w:pPr>
        <w:jc w:val="both"/>
        <w:ind w:firstLine="656"/>
        <w:spacing w:after="0" w:line="250" w:lineRule="auto"/>
        <w:tabs>
          <w:tab w:leader="none" w:pos="1291"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with a replacement term loan tranche hereunder which shall be Loans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19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with respect to amendments under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amendments and waivers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any of financial definitions included in (and for purposes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will require only the consent of the Majority Lenders under the Revolving Facilities, the Term Loan A Facility and the Term Euro Facility and no other consents or approvals from any Lender shall be required.</w:t>
      </w:r>
    </w:p>
    <w:p>
      <w:pPr>
        <w:spacing w:after="0" w:line="16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Loan Document or (C) directed or required the Administrative Agent, the Collateral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any Borrower or any of their Subsidiaries or Crown Holdings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20"/>
          <w:szCs w:val="20"/>
          <w:u w:val="single" w:color="auto"/>
          <w:color w:val="auto"/>
        </w:rPr>
        <w:t>Specified Indebtedness</w:t>
      </w:r>
      <w:r>
        <w:rPr>
          <w:rFonts w:ascii="Times New Roman" w:cs="Times New Roman" w:eastAsia="Times New Roman" w:hAnsi="Times New Roman"/>
          <w:sz w:val="20"/>
          <w:szCs w:val="20"/>
          <w:color w:val="auto"/>
        </w:rPr>
        <w:t>” and each such Lender, a “</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234</w:t>
      </w:r>
    </w:p>
    <w:p>
      <w:pPr>
        <w:sectPr>
          <w:pgSz w:w="11900" w:h="16838" w:orient="portrait"/>
          <w:cols w:equalWidth="0" w:num="1">
            <w:col w:w="11240"/>
          </w:cols>
          <w:pgMar w:left="320" w:top="1413" w:right="339" w:bottom="1440" w:gutter="0" w:footer="0" w:header="0"/>
        </w:sectPr>
      </w:pPr>
    </w:p>
    <w:bookmarkStart w:id="362" w:name="page363"/>
    <w:bookmarkEnd w:id="362"/>
    <w:p>
      <w:pPr>
        <w:jc w:val="both"/>
        <w:spacing w:after="0" w:line="276" w:lineRule="auto"/>
        <w:rPr>
          <w:sz w:val="20"/>
          <w:szCs w:val="20"/>
          <w:color w:val="auto"/>
        </w:rPr>
      </w:pPr>
      <w:r>
        <w:rPr>
          <w:rFonts w:ascii="Times New Roman" w:cs="Times New Roman" w:eastAsia="Times New Roman" w:hAnsi="Times New Roman"/>
          <w:sz w:val="19"/>
          <w:szCs w:val="19"/>
          <w:color w:val="auto"/>
        </w:rPr>
        <w:t>than any Excluded Lender) will be deemed to have represented to Crown Holdings and the Administrative Agent that it does not constitute a Net Short Lender, in each case, unless such Lender shall have notified Crown Holdings and the Administrative Agent prior to the requested response date with respect to such waiver, amendment or modification that it constitutes a Net Short Lender (it being understood and agreed that Crown Holdings and the Administrative Agent shall be entitled to rely on each such representation and deemed representation).</w:t>
      </w:r>
    </w:p>
    <w:p>
      <w:pPr>
        <w:spacing w:after="0" w:line="156" w:lineRule="exact"/>
        <w:rPr>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preceding clause:</w:t>
      </w:r>
    </w:p>
    <w:p>
      <w:pPr>
        <w:spacing w:after="0" w:line="229"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3"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Affiliate” means any Affiliate of a Lender (provided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4"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Lender” means (A) any Lender that is a Regulated Bank, (B) any Lender as of the Closing Date and (C)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w:t>
      </w:r>
    </w:p>
    <w:p>
      <w:pPr>
        <w:spacing w:after="0" w:line="185" w:lineRule="exact"/>
        <w:rPr>
          <w:rFonts w:ascii="Times New Roman" w:cs="Times New Roman" w:eastAsia="Times New Roman" w:hAnsi="Times New Roman"/>
          <w:sz w:val="20"/>
          <w:szCs w:val="20"/>
          <w:color w:val="auto"/>
        </w:rPr>
      </w:pPr>
    </w:p>
    <w:p>
      <w:pPr>
        <w:jc w:val="both"/>
        <w:ind w:left="660" w:firstLine="903"/>
        <w:spacing w:after="0" w:line="251" w:lineRule="auto"/>
        <w:tabs>
          <w:tab w:leader="none" w:pos="1945"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“Regulated Bank”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92" w:lineRule="exact"/>
        <w:rPr>
          <w:rFonts w:ascii="Times New Roman" w:cs="Times New Roman" w:eastAsia="Times New Roman" w:hAnsi="Times New Roman"/>
          <w:sz w:val="20"/>
          <w:szCs w:val="20"/>
          <w:color w:val="auto"/>
        </w:rPr>
      </w:pPr>
    </w:p>
    <w:p>
      <w:pPr>
        <w:jc w:val="both"/>
        <w:ind w:left="660" w:firstLine="903"/>
        <w:spacing w:after="0" w:line="250" w:lineRule="auto"/>
        <w:tabs>
          <w:tab w:leader="none" w:pos="1947"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whether a Lender (alone or together with its Covered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Crown Holdings, any Borrower or any Subsidiary or any instrument issued or guaranteed by Crown Holdings, any Borrower or any Subsidiary shall not be deemed to create a short position with respect to such Specified Indebtedness, so long as (x) such index is not created, designed, administered or requested by such Lender or its Covered Affiliates and (y) Crown Holdings, the Borrowers and the other Subsidiaries and any instrument issued or guaranteed by such persons,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shall be deemed to create a short position with respect to the relevant Specified Indebtedness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235</w:t>
      </w:r>
    </w:p>
    <w:p>
      <w:pPr>
        <w:sectPr>
          <w:pgSz w:w="11900" w:h="16838" w:orient="portrait"/>
          <w:cols w:equalWidth="0" w:num="1">
            <w:col w:w="11240"/>
          </w:cols>
          <w:pgMar w:left="320" w:top="1413" w:right="339" w:bottom="1440" w:gutter="0" w:footer="0" w:header="0"/>
        </w:sectPr>
      </w:pPr>
    </w:p>
    <w:bookmarkStart w:id="363" w:name="page364"/>
    <w:bookmarkEnd w:id="363"/>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Lender or its Covered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Crown Holdings, any Borrower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Crown Holdings, any Borrower or any Subsidiary, in each case, other than as part of an index so long as (x) such index is not created, designed, administered or requested by such Lender or its Covered Affiliates and (y) Crown Holdings, any Borrower and the Subsidiaries, and any instrument issued or guaranteed by such persons, collectively, shall represent less than 5% of the components of such index.</w:t>
      </w:r>
    </w:p>
    <w:p>
      <w:pPr>
        <w:spacing w:after="0" w:line="178" w:lineRule="exact"/>
        <w:rPr>
          <w:sz w:val="20"/>
          <w:szCs w:val="20"/>
          <w:color w:val="auto"/>
        </w:rPr>
      </w:pPr>
    </w:p>
    <w:p>
      <w:pPr>
        <w:jc w:val="both"/>
        <w:ind w:left="660" w:firstLine="903"/>
        <w:spacing w:after="0" w:line="264" w:lineRule="auto"/>
        <w:tabs>
          <w:tab w:leader="none" w:pos="1946"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with respect to the exercise of setoff rights in accordance with </w:t>
      </w:r>
      <w:r>
        <w:rPr>
          <w:rFonts w:ascii="Times New Roman" w:cs="Times New Roman" w:eastAsia="Times New Roman" w:hAnsi="Times New Roman"/>
          <w:sz w:val="19"/>
          <w:szCs w:val="19"/>
          <w:u w:val="single" w:color="auto"/>
          <w:color w:val="auto"/>
        </w:rPr>
        <w:t>Section 12.6</w:t>
      </w:r>
      <w:r>
        <w:rPr>
          <w:rFonts w:ascii="Times New Roman" w:cs="Times New Roman" w:eastAsia="Times New Roman" w:hAnsi="Times New Roman"/>
          <w:sz w:val="19"/>
          <w:szCs w:val="19"/>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it shall not permit any of its Affiliates to, and hereby waives any right it or its Affiliates may have to, take or institute any actions or proceedings, judicial or otherwise, for any right or remedy against any Loan Party or any past, present or future Subsidiary of any Loan Party under any of the Loan Documents or in respect of any Swap Obligations or Secured Swap Obligations (including any exercise of any right of setoff, rights on account of any banker’s lien or similar claim or other rights of self-help), or institute any actions or proceedings, or otherwise commence any remedial procedures, with respect to any Collateral or any other property of any such Loan Party or any past, present or future Subsidiary of any Loan Party, without the prior written consent of the Administrative Agent. The provisions of </w:t>
      </w:r>
      <w:r>
        <w:rPr>
          <w:rFonts w:ascii="Times New Roman" w:cs="Times New Roman" w:eastAsia="Times New Roman" w:hAnsi="Times New Roman"/>
          <w:sz w:val="19"/>
          <w:szCs w:val="19"/>
          <w:u w:val="single" w:color="auto"/>
          <w:color w:val="auto"/>
        </w:rPr>
        <w:t>Section 12.1(i)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may be enforced against any Secured Party by the Required Lenders, any Agent or Crown Holdings (or any of their Affiliates) and each Secured Party expressly acknowledges that this sentence shall be available as a defense of Crown Holdings (or any of its Affiliates) in any such action, proceeding or remedial procedure.</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Crown Holdings agrees to, and to cause its Subsidiaries to, do such further acts and things and to execute and deliver to Agent such additional assignments, agreements, powers and instruments, as Agent may reasonably require or deem advisable to carry into effect the purposes of this Agreement or any of the Loan Documents or to better assure and confirm unto Agent its rights, powers and remedies hereunder.</w:t>
      </w:r>
    </w:p>
    <w:p>
      <w:pPr>
        <w:spacing w:after="0" w:line="18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Notices,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236</w:t>
      </w:r>
    </w:p>
    <w:p>
      <w:pPr>
        <w:sectPr>
          <w:pgSz w:w="11900" w:h="16838" w:orient="portrait"/>
          <w:cols w:equalWidth="0" w:num="1">
            <w:col w:w="11240"/>
          </w:cols>
          <w:pgMar w:left="320" w:top="1413" w:right="339" w:bottom="1440" w:gutter="0" w:footer="0" w:header="0"/>
        </w:sectPr>
      </w:pPr>
    </w:p>
    <w:bookmarkStart w:id="364" w:name="page365"/>
    <w:bookmarkEnd w:id="364"/>
    <w:p>
      <w:pPr>
        <w:jc w:val="both"/>
        <w:ind w:firstLine="656"/>
        <w:spacing w:after="0" w:line="250" w:lineRule="auto"/>
        <w:tabs>
          <w:tab w:leader="none" w:pos="1286"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Unless otherwise specified in a notice sent or delivered in accordance with the foregoing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196"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3"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Crown Holdings, Crown International, CCSC, U.S. Borrower, European Borrower or Canadian Borrower, to it at One Crown Way, Philadelphia, Pennsylvania 19154, attention: Mr. Tom Kelly (telecopy: (215) 276-6011), with a copy to Dechert LLP, 2929 Arch Street, Philadelphia, Pennsylvania 19104, attention: Mr. Ian A. Hartman, Esq. (telecopy: (215) 994-2222) and Ms. Angelina X. Liang, Esq. (telecopy: (212) 698-3599);</w:t>
      </w:r>
    </w:p>
    <w:p>
      <w:pPr>
        <w:spacing w:after="0" w:line="172"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Administrative Agent, to it at the Notice Address;</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U.K. Administrative Agent, to it at the Notice Address;</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Canadian Administrative Agent, to it at the Notice Address;</w:t>
      </w:r>
    </w:p>
    <w:p>
      <w:pPr>
        <w:spacing w:after="0" w:line="215"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Deutsche Bank AG London Branch, as Facing Agent, to it at 175 Bishopsgate, EC2A 2JN London, United</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Kingdom;</w:t>
      </w:r>
    </w:p>
    <w:p>
      <w:pPr>
        <w:spacing w:after="0" w:line="200" w:lineRule="exact"/>
        <w:rPr>
          <w:rFonts w:ascii="Times New Roman" w:cs="Times New Roman" w:eastAsia="Times New Roman" w:hAnsi="Times New Roman"/>
          <w:sz w:val="20"/>
          <w:szCs w:val="20"/>
          <w:color w:val="auto"/>
        </w:rPr>
      </w:pPr>
    </w:p>
    <w:p>
      <w:pPr>
        <w:jc w:val="both"/>
        <w:ind w:left="660" w:right="20" w:firstLine="903"/>
        <w:spacing w:after="0" w:line="261" w:lineRule="auto"/>
        <w:tabs>
          <w:tab w:leader="none" w:pos="1947"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or by any Agent, any Sustainability Coordinator, the Lenders and any Facing Agent hereunder may be delivered or furnished by electronic communication (including e-mail and Internet or intranet websites)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sent after 5:00 p.m. (New York City time), such notice or communication shall be deemed to have been sent at the opening of business on the next Business Day for the recipient,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237</w:t>
      </w:r>
    </w:p>
    <w:p>
      <w:pPr>
        <w:sectPr>
          <w:pgSz w:w="11900" w:h="16838" w:orient="portrait"/>
          <w:cols w:equalWidth="0" w:num="1">
            <w:col w:w="11240"/>
          </w:cols>
          <w:pgMar w:left="320" w:top="1413" w:right="339" w:bottom="1440" w:gutter="0" w:footer="0" w:header="0"/>
        </w:sectPr>
      </w:pPr>
    </w:p>
    <w:bookmarkStart w:id="365" w:name="page366"/>
    <w:bookmarkEnd w:id="365"/>
    <w:p>
      <w:pPr>
        <w:jc w:val="both"/>
        <w:spacing w:after="0" w:line="258" w:lineRule="auto"/>
        <w:rPr>
          <w:sz w:val="20"/>
          <w:szCs w:val="20"/>
          <w:color w:val="auto"/>
        </w:rPr>
      </w:pPr>
      <w:r>
        <w:rPr>
          <w:rFonts w:ascii="Times New Roman" w:cs="Times New Roman" w:eastAsia="Times New Roman" w:hAnsi="Times New Roman"/>
          <w:sz w:val="20"/>
          <w:szCs w:val="20"/>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Costs and Expenses; Indemnification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3" w:lineRule="auto"/>
        <w:tabs>
          <w:tab w:leader="none" w:pos="1286"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Each Credit Party (jointly and severally to the extent legally permissible) agrees to pay promptly upon request by any Agent or Sustainability Coordinator (or any Lender in connection with any enforcement or atonement as provided below) (i) all reasonable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any Agent and of Cahill Gordon &amp; Reindel llp, counsel to Administrative Agent, and any local counsel retained by any Agent relative thereto and other Attorney Costs,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Sustainability Coordinator, any Lender 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78" w:lineRule="exact"/>
        <w:rPr>
          <w:rFonts w:ascii="Times New Roman" w:cs="Times New Roman" w:eastAsia="Times New Roman" w:hAnsi="Times New Roman"/>
          <w:sz w:val="19"/>
          <w:szCs w:val="19"/>
          <w:color w:val="auto"/>
        </w:rPr>
      </w:pPr>
    </w:p>
    <w:p>
      <w:pPr>
        <w:jc w:val="both"/>
        <w:ind w:firstLine="656"/>
        <w:spacing w:after="0" w:line="250" w:lineRule="auto"/>
        <w:tabs>
          <w:tab w:leader="none" w:pos="1284"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Each Credit Party (jointly and severally to the extent legally permissible) will indemnify and hold harmless each Agent, each Sustainability Coordinator and each Lender and each director, officer, employee, agent, attorney and Affiliate of each Agent and each Lender (each such Person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Indemnified Persons</w:t>
      </w:r>
      <w:r>
        <w:rPr>
          <w:rFonts w:ascii="Times New Roman" w:cs="Times New Roman" w:eastAsia="Times New Roman" w:hAnsi="Times New Roman"/>
          <w:sz w:val="20"/>
          <w:szCs w:val="20"/>
          <w:color w:val="auto"/>
        </w:rPr>
        <w:t>”)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any Agent, any Sustainability Coordinator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238</w:t>
      </w:r>
    </w:p>
    <w:p>
      <w:pPr>
        <w:sectPr>
          <w:pgSz w:w="11900" w:h="16838" w:orient="portrait"/>
          <w:cols w:equalWidth="0" w:num="1">
            <w:col w:w="11240"/>
          </w:cols>
          <w:pgMar w:left="320" w:top="1413" w:right="339" w:bottom="1440" w:gutter="0" w:footer="0" w:header="0"/>
        </w:sectPr>
      </w:pPr>
    </w:p>
    <w:bookmarkStart w:id="366" w:name="page367"/>
    <w:bookmarkEnd w:id="36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660" w:firstLine="903"/>
        <w:spacing w:after="0" w:line="261" w:lineRule="auto"/>
        <w:tabs>
          <w:tab w:leader="none" w:pos="194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181" w:lineRule="exact"/>
        <w:rPr>
          <w:rFonts w:ascii="Times New Roman" w:cs="Times New Roman" w:eastAsia="Times New Roman" w:hAnsi="Times New Roman"/>
          <w:sz w:val="20"/>
          <w:szCs w:val="20"/>
          <w:color w:val="auto"/>
        </w:rPr>
      </w:pPr>
    </w:p>
    <w:p>
      <w:pPr>
        <w:ind w:left="660" w:firstLine="903"/>
        <w:spacing w:after="0" w:line="283" w:lineRule="auto"/>
        <w:tabs>
          <w:tab w:leader="none" w:pos="194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nothing contained herein shall affect the express contractual obligations of the Lenders to any Credit Party contained herein or in the other Loan Documents.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12.4(b)</w:t>
      </w:r>
      <w:r>
        <w:rPr>
          <w:rFonts w:ascii="Times New Roman" w:cs="Times New Roman" w:eastAsia="Times New Roman" w:hAnsi="Times New Roman"/>
          <w:sz w:val="20"/>
          <w:szCs w:val="20"/>
          <w:color w:val="auto"/>
        </w:rPr>
        <w:t xml:space="preserve"> shall not apply to Taxes, except any Taxes that represent claims, demands, liabilities, damages, losses, costs, charges and expenses arising from any non-Tax claim.</w:t>
      </w:r>
    </w:p>
    <w:p>
      <w:pPr>
        <w:spacing w:after="0" w:line="1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If any action, suit or proceeding arising from any of the foregoing is brought against any Agent, any Sustainability Coordinator, any Lender or any other Person indemnified or intended to be indemnified pursuant to this </w:t>
      </w:r>
      <w:r>
        <w:rPr>
          <w:rFonts w:ascii="Times New Roman" w:cs="Times New Roman" w:eastAsia="Times New Roman" w:hAnsi="Times New Roman"/>
          <w:sz w:val="19"/>
          <w:szCs w:val="19"/>
          <w:u w:val="single" w:color="auto"/>
          <w:color w:val="auto"/>
        </w:rPr>
        <w:t>Section 12.4</w:t>
      </w:r>
      <w:r>
        <w:rPr>
          <w:rFonts w:ascii="Times New Roman" w:cs="Times New Roman" w:eastAsia="Times New Roman" w:hAnsi="Times New Roman"/>
          <w:sz w:val="19"/>
          <w:szCs w:val="19"/>
          <w:color w:val="auto"/>
        </w:rPr>
        <w:t xml:space="preserve">, Crown Holdings or the applicable Borrower will, if requested by any Agent, any Sustainability Coordinator,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Sustainability Coordinator,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in any one action or separate but similar or related actions in the same jurisdiction arising out of the same general allegations or circumstances, the Credit Parties shall not be liable for fees and expenses of more than one counsel (in addition to any local counsel), which counsel shall be designated by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 (ii) 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and all amounts so expended by any Agent, any Sustainability Coordinator, an Lender or any such Indemnified Person shall be repaid to it by the Credit Parties promptly upon such Person’s demand therefor, with interest at the Default Rate in effect from time to time during the period including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239</w:t>
      </w:r>
    </w:p>
    <w:p>
      <w:pPr>
        <w:sectPr>
          <w:pgSz w:w="11900" w:h="16838" w:orient="portrait"/>
          <w:cols w:equalWidth="0" w:num="1">
            <w:col w:w="11240"/>
          </w:cols>
          <w:pgMar w:left="320" w:top="1413" w:right="339" w:bottom="1440" w:gutter="0" w:footer="0" w:header="0"/>
        </w:sectPr>
      </w:pPr>
    </w:p>
    <w:bookmarkStart w:id="367" w:name="page368"/>
    <w:bookmarkEnd w:id="36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so expended by such Person to the date of repayment. To the extent that the undertaking to indemnify, pay or hold harmless any Indemnified Person as set forth in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survive the termination of this Agreement and the discharge of the Credit Party’s other Obligations hereunder.</w:t>
      </w:r>
    </w:p>
    <w:p>
      <w:pPr>
        <w:spacing w:after="0" w:line="192" w:lineRule="exact"/>
        <w:rPr>
          <w:sz w:val="20"/>
          <w:szCs w:val="20"/>
          <w:color w:val="auto"/>
        </w:rPr>
      </w:pPr>
    </w:p>
    <w:p>
      <w:pPr>
        <w:jc w:val="both"/>
        <w:ind w:firstLine="656"/>
        <w:spacing w:after="0" w:line="250" w:lineRule="auto"/>
        <w:tabs>
          <w:tab w:leader="none" w:pos="128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Exchange Indemnity</w:t>
      </w:r>
      <w:r>
        <w:rPr>
          <w:rFonts w:ascii="Times New Roman" w:cs="Times New Roman" w:eastAsia="Times New Roman" w:hAnsi="Times New Roman"/>
          <w:sz w:val="20"/>
          <w:szCs w:val="20"/>
          <w:color w:val="auto"/>
        </w:rPr>
        <w:t>. If any sum due from any Credit Party or any of its Subsidiaries under this Agreement or any order or judgment given or made in relation hereto has to be converted from the currency (the “</w:t>
      </w:r>
      <w:r>
        <w:rPr>
          <w:rFonts w:ascii="Times New Roman" w:cs="Times New Roman" w:eastAsia="Times New Roman" w:hAnsi="Times New Roman"/>
          <w:sz w:val="20"/>
          <w:szCs w:val="20"/>
          <w:u w:val="single" w:color="auto"/>
          <w:color w:val="auto"/>
        </w:rPr>
        <w:t>First Currency</w:t>
      </w:r>
      <w:r>
        <w:rPr>
          <w:rFonts w:ascii="Times New Roman" w:cs="Times New Roman" w:eastAsia="Times New Roman" w:hAnsi="Times New Roman"/>
          <w:sz w:val="20"/>
          <w:szCs w:val="20"/>
          <w:color w:val="auto"/>
        </w:rPr>
        <w:t>”) in which the same is payable hereunder or under such order or judgment into another currency (the “</w:t>
      </w:r>
      <w:r>
        <w:rPr>
          <w:rFonts w:ascii="Times New Roman" w:cs="Times New Roman" w:eastAsia="Times New Roman" w:hAnsi="Times New Roman"/>
          <w:sz w:val="20"/>
          <w:szCs w:val="20"/>
          <w:u w:val="single" w:color="auto"/>
          <w:color w:val="auto"/>
        </w:rPr>
        <w:t>Second Currency</w:t>
      </w:r>
      <w:r>
        <w:rPr>
          <w:rFonts w:ascii="Times New Roman" w:cs="Times New Roman" w:eastAsia="Times New Roman" w:hAnsi="Times New Roman"/>
          <w:sz w:val="20"/>
          <w:szCs w:val="20"/>
          <w:color w:val="auto"/>
        </w:rPr>
        <w:t>”) for the purpose of (i) making or filing a claim or proof against any Credit Party with any Governmental Authority or in any court or tribunal, or (ii) 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 survive the giving or making of any judgment or order in relation to all or any of such other obligations.</w:t>
      </w:r>
    </w:p>
    <w:p>
      <w:pPr>
        <w:spacing w:after="0" w:line="19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no party hereto, no Sustainability Coordinator, no Indemnified Person, and no Credit Party or any Affiliate of any Credit Party, shall assert, and each hereby waive, any claim against any party hereto, Sustainability Coordinator,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Confirmations</w:t>
      </w:r>
      <w:r>
        <w:rPr>
          <w:rFonts w:ascii="Times New Roman" w:cs="Times New Roman" w:eastAsia="Times New Roman" w:hAnsi="Times New Roman"/>
          <w:sz w:val="20"/>
          <w:szCs w:val="20"/>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Adjustment; Setoff</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8" w:lineRule="auto"/>
        <w:tabs>
          <w:tab w:leader="none" w:pos="1286"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hereof, or otherwise) in a greater proportion than any such payment to and collateral received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240</w:t>
      </w:r>
    </w:p>
    <w:p>
      <w:pPr>
        <w:sectPr>
          <w:pgSz w:w="11900" w:h="16838" w:orient="portrait"/>
          <w:cols w:equalWidth="0" w:num="1">
            <w:col w:w="11240"/>
          </w:cols>
          <w:pgMar w:left="320" w:top="1413" w:right="339" w:bottom="1440" w:gutter="0" w:footer="0" w:header="0"/>
        </w:sectPr>
      </w:pPr>
    </w:p>
    <w:bookmarkStart w:id="368" w:name="page369"/>
    <w:bookmarkEnd w:id="368"/>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Times New Roman" w:cs="Times New Roman" w:eastAsia="Times New Roman" w:hAnsi="Times New Roman"/>
          <w:sz w:val="19"/>
          <w:szCs w:val="19"/>
          <w:u w:val="single" w:color="auto"/>
          <w:color w:val="auto"/>
        </w:rPr>
        <w:t>Section 12.6(a)</w:t>
      </w:r>
      <w:r>
        <w:rPr>
          <w:rFonts w:ascii="Times New Roman" w:cs="Times New Roman" w:eastAsia="Times New Roman" w:hAnsi="Times New Roman"/>
          <w:sz w:val="19"/>
          <w:szCs w:val="19"/>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80" w:lineRule="exact"/>
        <w:rPr>
          <w:sz w:val="20"/>
          <w:szCs w:val="20"/>
          <w:color w:val="auto"/>
        </w:rPr>
      </w:pPr>
    </w:p>
    <w:p>
      <w:pPr>
        <w:jc w:val="both"/>
        <w:ind w:firstLine="656"/>
        <w:spacing w:after="0" w:line="249" w:lineRule="auto"/>
        <w:tabs>
          <w:tab w:leader="none" w:pos="1284"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 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18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241</w:t>
      </w:r>
    </w:p>
    <w:p>
      <w:pPr>
        <w:sectPr>
          <w:pgSz w:w="11900" w:h="16838" w:orient="portrait"/>
          <w:cols w:equalWidth="0" w:num="1">
            <w:col w:w="11240"/>
          </w:cols>
          <w:pgMar w:left="320" w:top="1413" w:right="339" w:bottom="1440" w:gutter="0" w:footer="0" w:header="0"/>
        </w:sectPr>
      </w:pPr>
    </w:p>
    <w:bookmarkStart w:id="369" w:name="page370"/>
    <w:bookmarkEnd w:id="369"/>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repayment, the Indebtedness to the Lenders or part thereof intended to be satisfied shall be revived and continued in full force and effect as if said payment or payments had not been made.</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Execution in Counterparts; Electronic Execution</w:t>
      </w:r>
      <w:r>
        <w:rPr>
          <w:rFonts w:ascii="Times New Roman" w:cs="Times New Roman" w:eastAsia="Times New Roman" w:hAnsi="Times New Roman"/>
          <w:sz w:val="20"/>
          <w:szCs w:val="20"/>
          <w:color w:val="auto"/>
        </w:rPr>
        <w:t xml:space="preserve">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amendments, modifications,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u w:val="single" w:color="auto"/>
          <w:color w:val="auto"/>
        </w:rPr>
        <w:t>Binding Effect; Assignment; Addition and Substitution of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3" w:lineRule="auto"/>
        <w:tabs>
          <w:tab w:leader="none" w:pos="1286"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inure to the benefit of, Crown Holdings, U.S. Borrower, European Borrower, Canadian Borrower and each other Credit Party hereto</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Agents, the Lenders, all future holders of the Notes and their respective successors and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at any time sell to one or more banks or other financial institutions (other than any Disqualified Institutions)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participating interests in all or any portion of its Commitment and Loans or participation in Letters of Credit or any other interest of such Lender hereunder (in respect of any Lender, its “</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xml:space="preserve">”). In the event of any such sale by a Lender of participating interests to a Participant, such Lender’s obligations under this Agreement shall remain unchanged, such Lender shall remain solely responsible for the performance thereof, and the Credit Parties and Administrative Agents shall continue to deal solely and directly with such Lender in connection with such Lender’s rights and obligations under this Agreement. Crown Holdings, U.S. 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right of setoff shall be subject to the obligation of such Participant to share with the Lenders, and the Lenders agree to share with such Participant, as provided in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Crown Holdings, U.S. Borrower, European Borrower and each other Credit Party hereto also agrees that each Participant shall be entitled to the benefits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242</w:t>
      </w:r>
    </w:p>
    <w:p>
      <w:pPr>
        <w:sectPr>
          <w:pgSz w:w="11900" w:h="16838" w:orient="portrait"/>
          <w:cols w:equalWidth="0" w:num="1">
            <w:col w:w="11240"/>
          </w:cols>
          <w:pgMar w:left="320" w:top="1413" w:right="339" w:bottom="1440" w:gutter="0" w:footer="0" w:header="0"/>
        </w:sectPr>
      </w:pPr>
    </w:p>
    <w:bookmarkStart w:id="370" w:name="page371"/>
    <w:bookmarkEnd w:id="37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requirements and limitations of such Sections and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including the requirements of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it being understood that any forms required to be provided by any Participant pursuant to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shall be provided solely to the applicable Lender) with respect to its participation in the Loans outstanding from time to time, as if such Participant becomes a Lender on the date it acquired an interest pursuant to this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participant shall not be entitled to receive any greater payment, under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than the participating Lender would have been entitled to receive under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Repayment (other than 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Lender that sells a participation to a Participant pursuant to this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This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 xml:space="preserve"> shall be construed so that the participations are at all times maintained in “registered form” within the meaning of Sections 163(f), 871(h)(2) and 881(c)(2)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243</w:t>
      </w:r>
    </w:p>
    <w:p>
      <w:pPr>
        <w:sectPr>
          <w:pgSz w:w="11900" w:h="16838" w:orient="portrait"/>
          <w:cols w:equalWidth="0" w:num="1">
            <w:col w:w="11240"/>
          </w:cols>
          <w:pgMar w:left="320" w:top="1413" w:right="339" w:bottom="1440" w:gutter="0" w:footer="0" w:header="0"/>
        </w:sectPr>
      </w:pPr>
    </w:p>
    <w:bookmarkStart w:id="371" w:name="page372"/>
    <w:bookmarkEnd w:id="371"/>
    <w:p>
      <w:pPr>
        <w:jc w:val="both"/>
        <w:ind w:right="20" w:firstLine="656"/>
        <w:spacing w:after="0" w:line="267" w:lineRule="auto"/>
        <w:tabs>
          <w:tab w:leader="none" w:pos="1286" w:val="left"/>
        </w:tabs>
        <w:numPr>
          <w:ilvl w:val="1"/>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this </w:t>
      </w:r>
      <w:r>
        <w:rPr>
          <w:rFonts w:ascii="Times New Roman" w:cs="Times New Roman" w:eastAsia="Times New Roman" w:hAnsi="Times New Roman"/>
          <w:sz w:val="19"/>
          <w:szCs w:val="19"/>
          <w:u w:val="single" w:color="auto"/>
          <w:color w:val="auto"/>
        </w:rPr>
        <w:t>Section 12.8</w:t>
      </w:r>
      <w:r>
        <w:rPr>
          <w:rFonts w:ascii="Times New Roman" w:cs="Times New Roman" w:eastAsia="Times New Roman" w:hAnsi="Times New Roman"/>
          <w:sz w:val="19"/>
          <w:szCs w:val="19"/>
          <w:color w:val="auto"/>
        </w:rPr>
        <w:t xml:space="preserve"> to the contrary, any Participant that is a Farm Credit Lender that (i) has purchased a participation in a minimum amount of $5,000,000.00 (ii) has been designated as a voting Participant (a “</w:t>
      </w:r>
      <w:r>
        <w:rPr>
          <w:rFonts w:ascii="Times New Roman" w:cs="Times New Roman" w:eastAsia="Times New Roman" w:hAnsi="Times New Roman"/>
          <w:sz w:val="19"/>
          <w:szCs w:val="19"/>
          <w:u w:val="single" w:color="auto"/>
          <w:color w:val="auto"/>
        </w:rPr>
        <w:t>Voting Participant</w:t>
      </w:r>
      <w:r>
        <w:rPr>
          <w:rFonts w:ascii="Times New Roman" w:cs="Times New Roman" w:eastAsia="Times New Roman" w:hAnsi="Times New Roman"/>
          <w:sz w:val="19"/>
          <w:szCs w:val="19"/>
          <w:color w:val="auto"/>
        </w:rPr>
        <w:t>”) in a notice (a “</w:t>
      </w:r>
      <w:r>
        <w:rPr>
          <w:rFonts w:ascii="Times New Roman" w:cs="Times New Roman" w:eastAsia="Times New Roman" w:hAnsi="Times New Roman"/>
          <w:sz w:val="19"/>
          <w:szCs w:val="19"/>
          <w:u w:val="single" w:color="auto"/>
          <w:color w:val="auto"/>
        </w:rPr>
        <w:t>Voting Participant Notice</w:t>
      </w:r>
      <w:r>
        <w:rPr>
          <w:rFonts w:ascii="Times New Roman" w:cs="Times New Roman" w:eastAsia="Times New Roman" w:hAnsi="Times New Roman"/>
          <w:sz w:val="19"/>
          <w:szCs w:val="19"/>
          <w:color w:val="auto"/>
        </w:rPr>
        <w:t>”) sent by the relevant Lender (including any existing Voting Participant) to the Administrative Agent and</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352"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receives, prior to becoming a Voting Participant, the consent of the Administrative Agent (such consent to be required only to the extent and under the circumstances it would be required if such Voting Participant were to become a Lender pursuant to an assignment in accordance with this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The selling Lender (including any existing Voting Participant) and the purchasing Voting Participant shall notify the 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assign to one or more Eligible Assignees, including an Affiliate thereof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all or any part of its Credit Exposure pursuant to an Assignment and Assumption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 respect to such Facility), and (ii) shall require the prior written consent of an Administrative Agent (not to be unreasonably withheld)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Event of Default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then exists and is continuing, the applicable Borrower (the consent of such Borrower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fee shall be payable upon assignments by 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244</w:t>
      </w:r>
    </w:p>
    <w:p>
      <w:pPr>
        <w:sectPr>
          <w:pgSz w:w="11900" w:h="16838" w:orient="portrait"/>
          <w:cols w:equalWidth="0" w:num="1">
            <w:col w:w="11240"/>
          </w:cols>
          <w:pgMar w:left="320" w:top="1413" w:right="339" w:bottom="1440" w:gutter="0" w:footer="0" w:header="0"/>
        </w:sectPr>
      </w:pPr>
    </w:p>
    <w:bookmarkStart w:id="372" w:name="page373"/>
    <w:bookmarkEnd w:id="372"/>
    <w:p>
      <w:pPr>
        <w:jc w:val="both"/>
        <w:spacing w:after="0" w:line="249" w:lineRule="auto"/>
        <w:rPr>
          <w:sz w:val="20"/>
          <w:szCs w:val="20"/>
          <w:color w:val="auto"/>
        </w:rPr>
      </w:pPr>
      <w:r>
        <w:rPr>
          <w:rFonts w:ascii="Times New Roman" w:cs="Times New Roman" w:eastAsia="Times New Roman" w:hAnsi="Times New Roman"/>
          <w:sz w:val="20"/>
          <w:szCs w:val="20"/>
          <w:color w:val="auto"/>
        </w:rPr>
        <w:t>have if it were a Lender hereunder and the holder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 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 xml:space="preserve"> to a Person which is not already a Lender hereunder, the respective Assignee shall provide to the applicable and Administrative Agents the appropriate forms, certificates and information as provided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if applicable. Each Assignee shall take such Credit Exposure subject to the provisions of this Agreement and to any request made, waiver or consent given or other action taken hereunder, prior to the receipt by Administrative Agents and the applicable Borrower of written notice of such transfer, by each previous holder of such Credit Exposure. Such Assignment and Assumption Agreement shall be deemed to amend this Agreement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192" w:lineRule="exact"/>
        <w:rPr>
          <w:sz w:val="20"/>
          <w:szCs w:val="20"/>
          <w:color w:val="auto"/>
        </w:rPr>
      </w:pPr>
    </w:p>
    <w:p>
      <w:pPr>
        <w:ind w:firstLine="656"/>
        <w:spacing w:after="0" w:line="283" w:lineRule="auto"/>
        <w:tabs>
          <w:tab w:leader="none" w:pos="1286"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assignment will be made to any Defaulting Lender or any of its Subsidiaries, or any Person who, upon becoming a Lender hereunder, would constitute any of the foregoing Persons described in this clause.</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w:t>
      </w:r>
    </w:p>
    <w:p>
      <w:pPr>
        <w:spacing w:after="0" w:line="200" w:lineRule="exact"/>
        <w:rPr>
          <w:sz w:val="20"/>
          <w:szCs w:val="20"/>
          <w:color w:val="auto"/>
        </w:rPr>
      </w:pPr>
    </w:p>
    <w:p>
      <w:pPr>
        <w:jc w:val="both"/>
        <w:ind w:firstLine="656"/>
        <w:spacing w:after="0" w:line="261" w:lineRule="auto"/>
        <w:tabs>
          <w:tab w:leader="none" w:pos="1291"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Crown Holdings and each Borrower authorize each Lender to disclose to any Participant or Assignee (each, a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and any prospective Transferee any and all financial information in such Lender’s possession concerning Crown Holdings, such Borrower and any of their Subsidiaries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245</w:t>
      </w:r>
    </w:p>
    <w:p>
      <w:pPr>
        <w:sectPr>
          <w:pgSz w:w="11900" w:h="16838" w:orient="portrait"/>
          <w:cols w:equalWidth="0" w:num="1">
            <w:col w:w="11240"/>
          </w:cols>
          <w:pgMar w:left="320" w:top="1413" w:right="339" w:bottom="1440" w:gutter="0" w:footer="0" w:header="0"/>
        </w:sectPr>
      </w:pPr>
    </w:p>
    <w:bookmarkStart w:id="373" w:name="page374"/>
    <w:bookmarkEnd w:id="37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Transferee or prospective Transferee agrees to treat any such information which is not public as confidential in accordance with the terms of </w:t>
      </w:r>
      <w:r>
        <w:rPr>
          <w:rFonts w:ascii="Times New Roman" w:cs="Times New Roman" w:eastAsia="Times New Roman" w:hAnsi="Times New Roman"/>
          <w:sz w:val="20"/>
          <w:szCs w:val="20"/>
          <w:u w:val="single" w:color="auto"/>
          <w:color w:val="auto"/>
        </w:rPr>
        <w:t>Section 12.16</w:t>
      </w:r>
      <w:r>
        <w:rPr>
          <w:rFonts w:ascii="Times New Roman" w:cs="Times New Roman" w:eastAsia="Times New Roman" w:hAnsi="Times New Roman"/>
          <w:sz w:val="20"/>
          <w:szCs w:val="20"/>
          <w:color w:val="auto"/>
        </w:rPr>
        <w:t xml:space="preserve"> hereof.</w:t>
      </w:r>
    </w:p>
    <w:p>
      <w:pPr>
        <w:spacing w:after="0" w:line="172" w:lineRule="exact"/>
        <w:rPr>
          <w:sz w:val="20"/>
          <w:szCs w:val="20"/>
          <w:color w:val="auto"/>
        </w:rPr>
      </w:pPr>
    </w:p>
    <w:p>
      <w:pPr>
        <w:jc w:val="both"/>
        <w:ind w:firstLine="656"/>
        <w:spacing w:after="0" w:line="253" w:lineRule="auto"/>
        <w:tabs>
          <w:tab w:leader="none" w:pos="1284"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with a Multicurrency Revolving Commitment hereby represents that it is a professional market party (</w:t>
      </w:r>
      <w:r>
        <w:rPr>
          <w:rFonts w:ascii="Times New Roman" w:cs="Times New Roman" w:eastAsia="Times New Roman" w:hAnsi="Times New Roman"/>
          <w:sz w:val="20"/>
          <w:szCs w:val="20"/>
          <w:i w:val="1"/>
          <w:iCs w:val="1"/>
          <w:color w:val="auto"/>
        </w:rPr>
        <w:t>professionele marktpartij</w:t>
      </w:r>
      <w:r>
        <w:rPr>
          <w:rFonts w:ascii="Times New Roman" w:cs="Times New Roman" w:eastAsia="Times New Roman" w:hAnsi="Times New Roman"/>
          <w:sz w:val="20"/>
          <w:szCs w:val="20"/>
          <w:color w:val="auto"/>
        </w:rPr>
        <w:t>) within the meaning of the Dutch Financial Supervision Act (</w:t>
      </w:r>
      <w:r>
        <w:rPr>
          <w:rFonts w:ascii="Times New Roman" w:cs="Times New Roman" w:eastAsia="Times New Roman" w:hAnsi="Times New Roman"/>
          <w:sz w:val="20"/>
          <w:szCs w:val="20"/>
          <w:i w:val="1"/>
          <w:iCs w:val="1"/>
          <w:color w:val="auto"/>
        </w:rPr>
        <w:t>Wet op het financieel toezicht</w:t>
      </w:r>
      <w:r>
        <w:rPr>
          <w:rFonts w:ascii="Times New Roman" w:cs="Times New Roman" w:eastAsia="Times New Roman" w:hAnsi="Times New Roman"/>
          <w:sz w:val="20"/>
          <w:szCs w:val="20"/>
          <w:color w:val="auto"/>
        </w:rPr>
        <w:t>) at the Incremental Amendment No. 3 and Fifth Amendment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Times New Roman" w:cs="Times New Roman" w:eastAsia="Times New Roman" w:hAnsi="Times New Roman"/>
          <w:sz w:val="20"/>
          <w:szCs w:val="20"/>
          <w:i w:val="1"/>
          <w:iCs w:val="1"/>
          <w:color w:val="auto"/>
        </w:rPr>
        <w:t>Wet op het financieel toezicht</w:t>
      </w:r>
      <w:r>
        <w:rPr>
          <w:rFonts w:ascii="Times New Roman" w:cs="Times New Roman" w:eastAsia="Times New Roman" w:hAnsi="Times New Roman"/>
          <w:sz w:val="20"/>
          <w:szCs w:val="20"/>
          <w:color w:val="auto"/>
        </w:rPr>
        <w:t>)), the Transferee shall confirm in the relevant assignment or transfer agreement to each such Borrower that it is a professional market party (</w:t>
      </w:r>
      <w:r>
        <w:rPr>
          <w:rFonts w:ascii="Times New Roman" w:cs="Times New Roman" w:eastAsia="Times New Roman" w:hAnsi="Times New Roman"/>
          <w:sz w:val="20"/>
          <w:szCs w:val="20"/>
          <w:i w:val="1"/>
          <w:iCs w:val="1"/>
          <w:color w:val="auto"/>
        </w:rPr>
        <w:t>professionele marktpartij</w:t>
      </w:r>
      <w:r>
        <w:rPr>
          <w:rFonts w:ascii="Times New Roman" w:cs="Times New Roman" w:eastAsia="Times New Roman" w:hAnsi="Times New Roman"/>
          <w:sz w:val="20"/>
          <w:szCs w:val="20"/>
          <w:color w:val="auto"/>
        </w:rPr>
        <w:t>) within the meaning of the Dutch Financial Supervisions Act.</w:t>
      </w:r>
    </w:p>
    <w:p>
      <w:pPr>
        <w:spacing w:after="0" w:line="180"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under this </w:t>
      </w:r>
      <w:r>
        <w:rPr>
          <w:rFonts w:ascii="Times New Roman" w:cs="Times New Roman" w:eastAsia="Times New Roman" w:hAnsi="Times New Roman"/>
          <w:sz w:val="20"/>
          <w:szCs w:val="20"/>
          <w:u w:val="single" w:color="auto"/>
          <w:color w:val="auto"/>
        </w:rPr>
        <w:t>Section 12.8(h)</w:t>
      </w:r>
      <w:r>
        <w:rPr>
          <w:rFonts w:ascii="Times New Roman" w:cs="Times New Roman" w:eastAsia="Times New Roman" w:hAnsi="Times New Roman"/>
          <w:sz w:val="20"/>
          <w:szCs w:val="20"/>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u w:val="single" w:color="auto"/>
          <w:color w:val="auto"/>
        </w:rPr>
        <w:t>CONSENT TO JURISDICTION; MUTUAL WAIVER OF JURY TRIAL; SERVICE OF PROCESS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1" w:lineRule="auto"/>
        <w:tabs>
          <w:tab w:leader="none" w:pos="1286"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LEGAL ACTION OR PROCEEDING (WHETHER IN CONTRACT, TORT OR OTHERWISE AND WHETHER AT LAW OR IN EQUITY) WITH RESPECT TO THIS AGREEMENT OR ANY OTHER LOAN DOCUMENT MAY BE BROUGHT IN THE COURTS OF THE STATE OF NEW YORK SITTING IN NEW YORK, NEW YORK OR COURTS OF THE UNITED STATES FOR THE SOUTHERN DISTRICT OF NEW YORK,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ORIGINAL CLOSING DATE AT 111 EIGHTH AVENUE, NEW YORK, NEW YORK 10011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 TO BE AVAILABLE TO ACT AS SUCH, EACH CREDIT PARTY AGREES TO DESIGNATE A NEW DESIGNEE, APPOINTEE AND ADMINISTRATIVE AGENT IN NEW YORK CITY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246</w:t>
      </w:r>
    </w:p>
    <w:p>
      <w:pPr>
        <w:sectPr>
          <w:pgSz w:w="11900" w:h="16838" w:orient="portrait"/>
          <w:cols w:equalWidth="0" w:num="1">
            <w:col w:w="11240"/>
          </w:cols>
          <w:pgMar w:left="320" w:top="1413" w:right="339" w:bottom="1440" w:gutter="0" w:footer="0" w:header="0"/>
        </w:sectPr>
      </w:pPr>
    </w:p>
    <w:bookmarkStart w:id="374" w:name="page375"/>
    <w:bookmarkEnd w:id="374"/>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176" w:lineRule="exact"/>
        <w:rPr>
          <w:sz w:val="20"/>
          <w:szCs w:val="20"/>
          <w:color w:val="auto"/>
        </w:rPr>
      </w:pPr>
    </w:p>
    <w:p>
      <w:pPr>
        <w:jc w:val="both"/>
        <w:ind w:firstLine="656"/>
        <w:spacing w:after="0" w:line="253" w:lineRule="auto"/>
        <w:tabs>
          <w:tab w:leader="none" w:pos="128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TO THIS AGREEMENT HEREBY IRREVOCABLY WAIVES ANY RIGHT IT MAY HAVE TO TRIAL BY JURY IN ANY COURT OR JURISDICTION, INCLUDING WITHOUT LIMITATION THOSE REFERRED TO IN CLAUSE (A) ABOVE, IN RESPECT OF ANY MATTER ARISING OUT OF OR RELATING TO THIS AGREEMENT AND THE OTHER LOAN DOCUMENTS OR THE TRANSACTIONS CONTEMPLATED HEREBY OR THEREBY.</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NOTE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EXECUTION AND DELIVERY OF THIS AGREEMENT, EUROPEAN BORROWER AND EACH SUBSIDIARY BORROWER ACKNOWLEDGES THAT IT HAS BY SEPARATE WRITTEN INSTRUMENT, DESIGNATED AND APPOINTED CROWN HOLDINGS, INC., ONE CROWN WAY, PHILADELPHIA, PA 19154, ATTN: SENIOR VICE PRESIDENT - FINANCE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247</w:t>
      </w:r>
    </w:p>
    <w:p>
      <w:pPr>
        <w:sectPr>
          <w:pgSz w:w="11900" w:h="16838" w:orient="portrait"/>
          <w:cols w:equalWidth="0" w:num="1">
            <w:col w:w="11240"/>
          </w:cols>
          <w:pgMar w:left="320" w:top="1413" w:right="339" w:bottom="1440" w:gutter="0" w:footer="0" w:header="0"/>
        </w:sectPr>
      </w:pPr>
    </w:p>
    <w:bookmarkStart w:id="375" w:name="page376"/>
    <w:bookmarkEnd w:id="375"/>
    <w:p>
      <w:pPr>
        <w:jc w:val="both"/>
        <w:ind w:firstLine="656"/>
        <w:spacing w:after="0" w:line="250" w:lineRule="auto"/>
        <w:tabs>
          <w:tab w:leader="none" w:pos="1284"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EUROPEAN BORROWER AND EACH SUBSIDIARY BORROWER, TO THE EXTENT THAT IT HAS OR HEREAFTER MAY 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EUROPEAN BORROWER AND CROWN DEVELOPPEMENT EACH, ON BEHALF OF ITSELF AND THEIR RESPECTIVE SUBSIDIARIES, HEREBY WAIVE THE BENEFIT OF THE PROVISIONS OF ARTICLE 14 AND ARTICLE 15 OF THE FRENCH CIVIL CODE.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12.10 </w:t>
      </w:r>
      <w:r>
        <w:rPr>
          <w:rFonts w:ascii="Times New Roman" w:cs="Times New Roman" w:eastAsia="Times New Roman" w:hAnsi="Times New Roman"/>
          <w:sz w:val="20"/>
          <w:szCs w:val="20"/>
          <w:u w:val="single" w:color="auto"/>
          <w:color w:val="auto"/>
        </w:rPr>
        <w:t>Severability of Provisions</w:t>
      </w:r>
      <w:r>
        <w:rPr>
          <w:rFonts w:ascii="Times New Roman" w:cs="Times New Roman" w:eastAsia="Times New Roman" w:hAnsi="Times New Roman"/>
          <w:sz w:val="20"/>
          <w:szCs w:val="20"/>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u w:val="single" w:color="auto"/>
          <w:color w:val="auto"/>
        </w:rPr>
        <w:t>Transfers of Notes</w:t>
      </w:r>
      <w:r>
        <w:rPr>
          <w:rFonts w:ascii="Times New Roman" w:cs="Times New Roman" w:eastAsia="Times New Roman" w:hAnsi="Times New Roman"/>
          <w:sz w:val="20"/>
          <w:szCs w:val="20"/>
          <w:color w:val="auto"/>
        </w:rPr>
        <w:t>.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u w:val="single" w:color="auto"/>
          <w:color w:val="auto"/>
        </w:rPr>
        <w:t>Registry</w:t>
      </w:r>
      <w:r>
        <w:rPr>
          <w:rFonts w:ascii="Times New Roman" w:cs="Times New Roman" w:eastAsia="Times New Roman" w:hAnsi="Times New Roman"/>
          <w:sz w:val="20"/>
          <w:szCs w:val="20"/>
          <w:color w:val="auto"/>
        </w:rPr>
        <w:t xml:space="preserve">. Borrowers hereby designate Administrative Agent to serve as Borrowers’ agent, solely for purposes of this </w:t>
      </w:r>
      <w:r>
        <w:rPr>
          <w:rFonts w:ascii="Times New Roman" w:cs="Times New Roman" w:eastAsia="Times New Roman" w:hAnsi="Times New Roman"/>
          <w:sz w:val="20"/>
          <w:szCs w:val="20"/>
          <w:u w:val="single" w:color="auto"/>
          <w:color w:val="auto"/>
        </w:rPr>
        <w:t>Section 12.12</w:t>
      </w:r>
      <w:r>
        <w:rPr>
          <w:rFonts w:ascii="Times New Roman" w:cs="Times New Roman" w:eastAsia="Times New Roman" w:hAnsi="Times New Roman"/>
          <w:sz w:val="20"/>
          <w:szCs w:val="20"/>
          <w:color w:val="auto"/>
        </w:rPr>
        <w:t xml:space="preserve"> to maintain a register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Agents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248</w:t>
      </w:r>
    </w:p>
    <w:p>
      <w:pPr>
        <w:sectPr>
          <w:pgSz w:w="11900" w:h="16838" w:orient="portrait"/>
          <w:cols w:equalWidth="0" w:num="1">
            <w:col w:w="11240"/>
          </w:cols>
          <w:pgMar w:left="320" w:top="1413" w:right="339" w:bottom="1440" w:gutter="0" w:footer="0" w:header="0"/>
        </w:sectPr>
      </w:pPr>
    </w:p>
    <w:bookmarkStart w:id="376" w:name="page377"/>
    <w:bookmarkEnd w:id="376"/>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Loans shall be recorded by Administrative Agents on the Register only upon the acceptance by such Administrative Agents of a properly executed and delivered Assignment and Assumption Agreement pursuant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USA PATRIOT Act and Beneficial Ownership Certificate Notice</w:t>
      </w:r>
      <w:r>
        <w:rPr>
          <w:rFonts w:ascii="Times New Roman" w:cs="Times New Roman" w:eastAsia="Times New Roman" w:hAnsi="Times New Roman"/>
          <w:sz w:val="20"/>
          <w:szCs w:val="20"/>
          <w:color w:val="auto"/>
        </w:rPr>
        <w:t>. Each Lender and the Administrative Agent (for itself and not on behalf of any Lender) hereby notifies Crown Holdings and each Borrower that pursuant to the requirements of the Patriot Act and the Beneficial Ownership Regulation, it is required to obtain, verify and record information that identifies Crown Holdings and each Borrower, which information includes the name and address of Crown Holdings and each Borrower, a Beneficial Ownership Certification (if any Borrower qualifies as a “legal entity customer” under the Beneficial Ownership Regulation) and other information that will allow such Lender or the Administrative Agent, as applicable, to identify Crown Holdings and each Borrower in accordance with the Patriot Act and the Beneficial Ownership Regulation.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and the Beneficial Ownership Regulation.</w:t>
      </w:r>
    </w:p>
    <w:p>
      <w:pPr>
        <w:spacing w:after="0" w:line="17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12.14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Table of Contents and Article and Section headings used in this Agreement are for convenience of reference only and shall not affect the construction of this Agreement.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12.15 </w:t>
      </w:r>
      <w:r>
        <w:rPr>
          <w:rFonts w:ascii="Times New Roman" w:cs="Times New Roman" w:eastAsia="Times New Roman" w:hAnsi="Times New Roman"/>
          <w:sz w:val="20"/>
          <w:szCs w:val="20"/>
          <w:u w:val="single" w:color="auto"/>
          <w:color w:val="auto"/>
        </w:rPr>
        <w:t>Termination of Agreement</w:t>
      </w:r>
      <w:r>
        <w:rPr>
          <w:rFonts w:ascii="Times New Roman" w:cs="Times New Roman" w:eastAsia="Times New Roman" w:hAnsi="Times New Roman"/>
          <w:sz w:val="20"/>
          <w:szCs w:val="20"/>
          <w:color w:val="auto"/>
        </w:rPr>
        <w:t xml:space="preserve">.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 shall be continuing and shall survive any termination of this Agreement or any other Loan Document.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12.16 </w:t>
      </w:r>
      <w:r>
        <w:rPr>
          <w:rFonts w:ascii="Times New Roman" w:cs="Times New Roman" w:eastAsia="Times New Roman" w:hAnsi="Times New Roman"/>
          <w:sz w:val="20"/>
          <w:szCs w:val="20"/>
          <w:u w:val="single" w:color="auto"/>
          <w:color w:val="auto"/>
        </w:rPr>
        <w:t>Treatment of Certain Information; Confidentiality</w:t>
      </w:r>
      <w:r>
        <w:rPr>
          <w:rFonts w:ascii="Times New Roman" w:cs="Times New Roman" w:eastAsia="Times New Roman" w:hAnsi="Times New Roman"/>
          <w:sz w:val="20"/>
          <w:szCs w:val="20"/>
          <w:color w:val="auto"/>
        </w:rPr>
        <w:t>. Each of the Agents, the Lenders, the Sustainability Coordinators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 disclosure is made will be informed of the confidential nature of such information and instructed to keep such information confidential), (b) to the extent requested by any governmental or regulatory authority purporting to have jurisdiction over it (including any self-regulatory authority, such as the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249</w:t>
      </w:r>
    </w:p>
    <w:p>
      <w:pPr>
        <w:sectPr>
          <w:pgSz w:w="11900" w:h="16838" w:orient="portrait"/>
          <w:cols w:equalWidth="0" w:num="1">
            <w:col w:w="11240"/>
          </w:cols>
          <w:pgMar w:left="320" w:top="1413" w:right="339" w:bottom="1440" w:gutter="0" w:footer="0" w:header="0"/>
        </w:sectPr>
      </w:pPr>
    </w:p>
    <w:bookmarkStart w:id="377" w:name="page378"/>
    <w:bookmarkEnd w:id="377"/>
    <w:p>
      <w:pPr>
        <w:jc w:val="both"/>
        <w:spacing w:after="0" w:line="249" w:lineRule="auto"/>
        <w:rPr>
          <w:sz w:val="20"/>
          <w:szCs w:val="20"/>
          <w:color w:val="auto"/>
        </w:rPr>
      </w:pPr>
      <w:r>
        <w:rPr>
          <w:rFonts w:ascii="Times New Roman" w:cs="Times New Roman" w:eastAsia="Times New Roman" w:hAnsi="Times New Roman"/>
          <w:sz w:val="20"/>
          <w:szCs w:val="20"/>
          <w:color w:val="auto"/>
        </w:rPr>
        <w:t>Association of Insurance Commissioners), (c) to the extent required by applicable laws or 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of its agents or professional advisers), or any prospective assignee of or Participant in, any of its rights and obligations under this Agreement, (ii) any actual or prospective counterparty (or its advisors) to any swap or derivative transaction relating to the Crown Holdings or any other Credit Party and its obligations or (iii) any rating agency, market data collector or direct or indirect provider of credit protection (or its brokers) to it or its Affiliates, (g) with the consent of Crown Holdings or (h) to the extent such information (x) becomes publicly available other than as a result of a breach of this Section or (y) becomes available to any Agent, any Sustainability Coordinator, any Lender or any Facing Agent or any of their respective Affiliates on a nonconfidential basis from a source other than Crown Holdings. Nothing in this provision shall imply that any party has waived any privilege that it may have with respect to advice it has received. Nothing in this Agreement is intended or shall be deemed to prohibit or restrict Crown Holdings, its Affiliates and their respective Representatives in any way from initiating communications directly with, reporting to, providing information to, causing information to be provided to, filing a charge or complaint with, cooperating with, responding to any inquiry from, or providing testimony to the Securities and Exchange, Commodity Futures Trading Commission, FINRA, or any other self-regulatory organization, or any other federal or state regulatory authority, or governmental agency or entity, regarding any possible securities violation or other violation of law.</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Crown Holdings or any of its Subsidiaries relating to Crown Holdings or any of its Subsidiaries or any of their respective businesses in the context of this Agreement and any other Loan Document,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 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Directive 2011/16/EU.</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12.17</w:t>
      </w:r>
      <w:r>
        <w:rPr>
          <w:sz w:val="20"/>
          <w:szCs w:val="20"/>
          <w:color w:val="auto"/>
        </w:rPr>
        <w:tab/>
      </w:r>
      <w:r>
        <w:rPr>
          <w:rFonts w:ascii="Times New Roman" w:cs="Times New Roman" w:eastAsia="Times New Roman" w:hAnsi="Times New Roman"/>
          <w:sz w:val="19"/>
          <w:szCs w:val="19"/>
          <w:u w:val="single" w:color="auto"/>
          <w:color w:val="auto"/>
        </w:rPr>
        <w:t>Concerning the Collateral and the Loan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51" w:lineRule="auto"/>
        <w:tabs>
          <w:tab w:leader="none" w:pos="1286"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Lender and each other Secured Creditor hereby irrevocably (for itself and its assignees, Participants and successors) authorizes Administrative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each U.S. Security Document on behalf of and for the benefit of that Lender or other Secured Creditor and its assignees, Participants and successors, and agrees to be bound by the terms of the Receivables Intercreditor Agreements and each U.S. Security Document. Each Lender and each other Secured Creditor agrees irrevocably (for itself and its assignees, Participants and successors) that it and its assignees, Participants and successors shall not have any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250</w:t>
      </w:r>
    </w:p>
    <w:p>
      <w:pPr>
        <w:sectPr>
          <w:pgSz w:w="11900" w:h="16838" w:orient="portrait"/>
          <w:cols w:equalWidth="0" w:num="1">
            <w:col w:w="11240"/>
          </w:cols>
          <w:pgMar w:left="320" w:top="1413" w:right="339" w:bottom="1440" w:gutter="0" w:footer="0" w:header="0"/>
        </w:sectPr>
      </w:pPr>
    </w:p>
    <w:bookmarkStart w:id="378" w:name="page379"/>
    <w:bookmarkEnd w:id="378"/>
    <w:p>
      <w:pPr>
        <w:jc w:val="both"/>
        <w:spacing w:after="0" w:line="261" w:lineRule="auto"/>
        <w:rPr>
          <w:sz w:val="20"/>
          <w:szCs w:val="20"/>
          <w:color w:val="auto"/>
        </w:rPr>
      </w:pPr>
      <w:r>
        <w:rPr>
          <w:rFonts w:ascii="Times New Roman" w:cs="Times New Roman" w:eastAsia="Times New Roman" w:hAnsi="Times New Roman"/>
          <w:sz w:val="20"/>
          <w:szCs w:val="20"/>
          <w:color w:val="auto"/>
        </w:rPr>
        <w:t>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181" w:lineRule="exact"/>
        <w:rPr>
          <w:sz w:val="20"/>
          <w:szCs w:val="20"/>
          <w:color w:val="auto"/>
        </w:rPr>
      </w:pPr>
    </w:p>
    <w:p>
      <w:pPr>
        <w:jc w:val="both"/>
        <w:ind w:firstLine="656"/>
        <w:spacing w:after="0" w:line="250" w:lineRule="auto"/>
        <w:tabs>
          <w:tab w:leader="none" w:pos="128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Canadian Revolving Lender, Multicurrency Revolving Lender and each Term Lender with Loans outstanding to European Borrower (for itself and its assignees, Participants and successors) hereby authorizes irrevocably U.K. Administrative Agent and Euro Collateral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the Euro Security Documents on behalf of and for the benefit of that Lender and its assignees, Participants and successors, and agrees to be bound by the terms of the Receivables Intercreditor Agreements and the Euro Security Documents. Each Lender agrees that U.K. Administrative Agent, Canadian Administrative Agent and Euro Collateral Agent shall not enter into or consent to any amendment, modification, termination or waiver of any provision contained in the Euro Security Documents without the prior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183"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each other Secured Creditor agrees that any action taken by Administrative Agents or the Required Lenders (or, where required by the express terms, hereof, a different proportion of the Lenders) in accordance with the provisions hereof or of the other Loan Documents, and the exercise by any Agent, any Sustainability Coordinator,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 for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Administrative Agent hereby appoints, authorizes and directs each Lender and each other Secured Creditor to act as collateral sub-agent for Administrative Agent and the Lenders for purposes of the perfection of all security interests and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251</w:t>
      </w:r>
    </w:p>
    <w:p>
      <w:pPr>
        <w:sectPr>
          <w:pgSz w:w="11900" w:h="16838" w:orient="portrait"/>
          <w:cols w:equalWidth="0" w:num="1">
            <w:col w:w="11240"/>
          </w:cols>
          <w:pgMar w:left="320" w:top="1413" w:right="339" w:bottom="1440" w:gutter="0" w:footer="0" w:header="0"/>
        </w:sectPr>
      </w:pPr>
    </w:p>
    <w:bookmarkStart w:id="379" w:name="page380"/>
    <w:bookmarkEnd w:id="379"/>
    <w:p>
      <w:pPr>
        <w:jc w:val="both"/>
        <w:spacing w:after="0" w:line="253" w:lineRule="auto"/>
        <w:rPr>
          <w:sz w:val="20"/>
          <w:szCs w:val="20"/>
          <w:color w:val="auto"/>
        </w:rPr>
      </w:pPr>
      <w:r>
        <w:rPr>
          <w:rFonts w:ascii="Times New Roman" w:cs="Times New Roman" w:eastAsia="Times New Roman" w:hAnsi="Times New Roman"/>
          <w:sz w:val="20"/>
          <w:szCs w:val="20"/>
          <w:color w:val="auto"/>
        </w:rPr>
        <w:t>with respect to Crown Holdings’ and its Subsidiaries’ respective deposit accounts maintained with, and Cash and Cash Equivalents held by, such Lender and each other Secured Creditor; (iv) 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Creditor with respect to the Collateral under the Loan Documents relating thereto, applicable law or otherwise.</w:t>
      </w:r>
    </w:p>
    <w:p>
      <w:pPr>
        <w:spacing w:after="0" w:line="19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12.18</w:t>
      </w:r>
      <w:r>
        <w:rPr>
          <w:sz w:val="20"/>
          <w:szCs w:val="20"/>
          <w:color w:val="auto"/>
        </w:rPr>
        <w:tab/>
      </w:r>
      <w:r>
        <w:rPr>
          <w:rFonts w:ascii="Times New Roman" w:cs="Times New Roman" w:eastAsia="Times New Roman" w:hAnsi="Times New Roman"/>
          <w:sz w:val="20"/>
          <w:szCs w:val="20"/>
          <w:u w:val="single" w:color="auto"/>
          <w:color w:val="auto"/>
        </w:rPr>
        <w:t>U.K. Administrative Agent and Euro Collateral Agent as Joint Creditors</w:t>
      </w:r>
      <w:r>
        <w:rPr>
          <w:rFonts w:ascii="Times New Roman" w:cs="Times New Roman" w:eastAsia="Times New Roman" w:hAnsi="Times New Roman"/>
          <w:sz w:val="20"/>
          <w:szCs w:val="20"/>
          <w:color w:val="auto"/>
        </w:rPr>
        <w:t>. Each of the Credit Parties and each Lender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agree that each of U.K. Administrative Agent and Euro Collateral Agent shall be:</w:t>
      </w:r>
    </w:p>
    <w:p>
      <w:pPr>
        <w:spacing w:after="0" w:line="207" w:lineRule="exact"/>
        <w:rPr>
          <w:sz w:val="20"/>
          <w:szCs w:val="20"/>
          <w:color w:val="auto"/>
        </w:rPr>
      </w:pPr>
    </w:p>
    <w:p>
      <w:pPr>
        <w:jc w:val="both"/>
        <w:ind w:firstLine="656"/>
        <w:spacing w:after="0" w:line="261" w:lineRule="auto"/>
        <w:tabs>
          <w:tab w:leader="none" w:pos="1286"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joint creditor (together with the relevant Lender or Agent) of each and every obligation under the Loan Documents to the extent such obligations are incurred by European Borrower, Canadian Borrower or another Non-U.S. Subsidiary;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12.19</w:t>
      </w:r>
      <w:r>
        <w:rPr>
          <w:sz w:val="20"/>
          <w:szCs w:val="20"/>
          <w:color w:val="auto"/>
        </w:rPr>
        <w:tab/>
      </w:r>
      <w:r>
        <w:rPr>
          <w:rFonts w:ascii="Times New Roman" w:cs="Times New Roman" w:eastAsia="Times New Roman" w:hAnsi="Times New Roman"/>
          <w:sz w:val="19"/>
          <w:szCs w:val="19"/>
          <w:u w:val="single" w:color="auto"/>
          <w:color w:val="auto"/>
        </w:rPr>
        <w:t>Dutch Parallel Debt</w:t>
      </w:r>
      <w:r>
        <w:rPr>
          <w:rFonts w:ascii="Times New Roman" w:cs="Times New Roman" w:eastAsia="Times New Roman" w:hAnsi="Times New Roman"/>
          <w:sz w:val="19"/>
          <w:szCs w:val="19"/>
          <w:color w:val="auto"/>
        </w:rPr>
        <w:t>. Solely for purposes of this</w:t>
      </w:r>
      <w:r>
        <w:rPr>
          <w:rFonts w:ascii="Times New Roman" w:cs="Times New Roman" w:eastAsia="Times New Roman" w:hAnsi="Times New Roman"/>
          <w:sz w:val="19"/>
          <w:szCs w:val="19"/>
          <w:u w:val="single" w:color="auto"/>
          <w:color w:val="auto"/>
        </w:rPr>
        <w:t xml:space="preserve"> Section 12.19</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Parallel Debt</w:t>
      </w:r>
      <w:r>
        <w:rPr>
          <w:rFonts w:ascii="Times New Roman" w:cs="Times New Roman" w:eastAsia="Times New Roman" w:hAnsi="Times New Roman"/>
          <w:sz w:val="20"/>
          <w:szCs w:val="20"/>
          <w:color w:val="auto"/>
        </w:rPr>
        <w:t>” means, in relation to an Underlying Debt, an obligation to pay to the Euro Collateral Agent an amount equal to (and in the same currency as) the amount of that Underlying Debt.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Obligor</w:t>
      </w:r>
      <w:r>
        <w:rPr>
          <w:rFonts w:ascii="Times New Roman" w:cs="Times New Roman" w:eastAsia="Times New Roman" w:hAnsi="Times New Roman"/>
          <w:sz w:val="20"/>
          <w:szCs w:val="20"/>
          <w:color w:val="auto"/>
        </w:rPr>
        <w:t>” means the European Borrower, the Canadian Borrower, any Subsidiary Borrower or a Non-U.S. Subsidiary.</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Underlying Debt</w:t>
      </w:r>
      <w:r>
        <w:rPr>
          <w:rFonts w:ascii="Times New Roman" w:cs="Times New Roman" w:eastAsia="Times New Roman" w:hAnsi="Times New Roman"/>
          <w:sz w:val="20"/>
          <w:szCs w:val="20"/>
          <w:color w:val="auto"/>
        </w:rPr>
        <w:t xml:space="preserve">” means, in relation to a Obligor, and at any given time, each obligation (whether present or future, actual or contingent) owing by any Obligor to a relevant Lender or Agent under </w:t>
      </w:r>
      <w:r>
        <w:rPr>
          <w:rFonts w:ascii="Times New Roman" w:cs="Times New Roman" w:eastAsia="Times New Roman" w:hAnsi="Times New Roman"/>
          <w:sz w:val="20"/>
          <w:szCs w:val="20"/>
          <w:u w:val="single" w:color="auto"/>
          <w:color w:val="auto"/>
        </w:rPr>
        <w:t>Section 12.18</w:t>
      </w:r>
      <w:r>
        <w:rPr>
          <w:rFonts w:ascii="Times New Roman" w:cs="Times New Roman" w:eastAsia="Times New Roman" w:hAnsi="Times New Roman"/>
          <w:sz w:val="20"/>
          <w:szCs w:val="20"/>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Obligor’s Dutch Parallel Debts.</w:t>
      </w:r>
    </w:p>
    <w:p>
      <w:pPr>
        <w:spacing w:after="0" w:line="182" w:lineRule="exact"/>
        <w:rPr>
          <w:sz w:val="20"/>
          <w:szCs w:val="20"/>
          <w:color w:val="auto"/>
        </w:rPr>
      </w:pPr>
    </w:p>
    <w:p>
      <w:pPr>
        <w:jc w:val="both"/>
        <w:ind w:right="20" w:firstLine="656"/>
        <w:spacing w:after="0" w:line="261" w:lineRule="auto"/>
        <w:tabs>
          <w:tab w:leader="none" w:pos="1126"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252</w:t>
      </w:r>
    </w:p>
    <w:p>
      <w:pPr>
        <w:sectPr>
          <w:pgSz w:w="11900" w:h="16838" w:orient="portrait"/>
          <w:cols w:equalWidth="0" w:num="1">
            <w:col w:w="11240"/>
          </w:cols>
          <w:pgMar w:left="320" w:top="1413" w:right="339" w:bottom="1440" w:gutter="0" w:footer="0" w:header="0"/>
        </w:sectPr>
      </w:pPr>
    </w:p>
    <w:bookmarkStart w:id="380" w:name="page381"/>
    <w:bookmarkEnd w:id="380"/>
    <w:p>
      <w:pPr>
        <w:ind w:right="20" w:firstLine="656"/>
        <w:spacing w:after="0" w:line="283" w:lineRule="auto"/>
        <w:tabs>
          <w:tab w:leader="none" w:pos="1124"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Dutch Parallel Debt is a separate and independent obligation and shall not constitute the Euro Collateral Agent and any Lender as joint creditors of any Underlying Debt.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7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Obligor may pay any Dutch Parallel Debt other than at the instruction of, and in the manner determined by, the Euro Collateral Agent.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4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w:t>
      </w:r>
      <w:r>
        <w:rPr>
          <w:rFonts w:ascii="Times New Roman" w:cs="Times New Roman" w:eastAsia="Times New Roman" w:hAnsi="Times New Roman"/>
          <w:sz w:val="20"/>
          <w:szCs w:val="20"/>
          <w:u w:val="single" w:color="auto"/>
          <w:color w:val="auto"/>
        </w:rPr>
        <w:t>Section 12.19(c)</w:t>
      </w:r>
      <w:r>
        <w:rPr>
          <w:rFonts w:ascii="Times New Roman" w:cs="Times New Roman" w:eastAsia="Times New Roman" w:hAnsi="Times New Roman"/>
          <w:sz w:val="20"/>
          <w:szCs w:val="20"/>
          <w:color w:val="auto"/>
        </w:rPr>
        <w:t>, no Obligor shall be obliged to pay any Dutch Parallel Debt before the corresponding Underlying Debt has fallen due.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1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or amount recovered, in respect of an Obligor’s Dutch Parallel Debts shall reduce the Underlying Debts owed to any Lender by the amount which that Lender is entitled to receive out of that payment or recovery under the Loan Documents.</w:t>
      </w:r>
    </w:p>
    <w:p>
      <w:pPr>
        <w:spacing w:after="0" w:line="172" w:lineRule="exact"/>
        <w:rPr>
          <w:rFonts w:ascii="Times New Roman" w:cs="Times New Roman" w:eastAsia="Times New Roman" w:hAnsi="Times New Roman"/>
          <w:sz w:val="20"/>
          <w:szCs w:val="20"/>
          <w:color w:val="auto"/>
        </w:rPr>
      </w:pPr>
    </w:p>
    <w:p>
      <w:pPr>
        <w:jc w:val="both"/>
        <w:ind w:firstLine="656"/>
        <w:spacing w:after="0" w:line="281" w:lineRule="auto"/>
        <w:tabs>
          <w:tab w:leader="none" w:pos="1050"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164" w:lineRule="exact"/>
        <w:rPr>
          <w:rFonts w:ascii="Times New Roman" w:cs="Times New Roman" w:eastAsia="Times New Roman" w:hAnsi="Times New Roman"/>
          <w:sz w:val="19"/>
          <w:szCs w:val="19"/>
          <w:color w:val="auto"/>
        </w:rPr>
      </w:pPr>
    </w:p>
    <w:p>
      <w:pPr>
        <w:jc w:val="both"/>
        <w:ind w:firstLine="656"/>
        <w:spacing w:after="0" w:line="254" w:lineRule="auto"/>
        <w:tabs>
          <w:tab w:leader="none" w:pos="108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12.20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2" w:lineRule="exact"/>
        <w:rPr>
          <w:sz w:val="20"/>
          <w:szCs w:val="20"/>
          <w:color w:val="auto"/>
        </w:rPr>
      </w:pPr>
    </w:p>
    <w:p>
      <w:pPr>
        <w:ind w:firstLine="656"/>
        <w:spacing w:after="0" w:line="269" w:lineRule="auto"/>
        <w:tabs>
          <w:tab w:leader="none" w:pos="1286"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660" w:firstLine="903"/>
        <w:spacing w:after="0" w:line="258" w:lineRule="auto"/>
        <w:tabs>
          <w:tab w:leader="none" w:pos="1944"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60" w:firstLine="903"/>
        <w:spacing w:after="0" w:line="269" w:lineRule="auto"/>
        <w:tabs>
          <w:tab w:leader="none" w:pos="1945"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253</w:t>
      </w:r>
    </w:p>
    <w:p>
      <w:pPr>
        <w:sectPr>
          <w:pgSz w:w="11900" w:h="16838" w:orient="portrait"/>
          <w:cols w:equalWidth="0" w:num="1">
            <w:col w:w="11240"/>
          </w:cols>
          <w:pgMar w:left="320" w:top="1413" w:right="339" w:bottom="1440" w:gutter="0" w:footer="0" w:header="0"/>
        </w:sectPr>
      </w:pPr>
    </w:p>
    <w:bookmarkStart w:id="381" w:name="page382"/>
    <w:bookmarkEnd w:id="381"/>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12.21 </w:t>
      </w:r>
      <w:r>
        <w:rPr>
          <w:rFonts w:ascii="Times New Roman" w:cs="Times New Roman" w:eastAsia="Times New Roman" w:hAnsi="Times New Roman"/>
          <w:sz w:val="20"/>
          <w:szCs w:val="20"/>
          <w:u w:val="single" w:color="auto"/>
          <w:color w:val="auto"/>
        </w:rPr>
        <w:t>Redesignation of Unrestricted Entities as Subsidiaries</w:t>
      </w:r>
      <w:r>
        <w:rPr>
          <w:rFonts w:ascii="Times New Roman" w:cs="Times New Roman" w:eastAsia="Times New Roman" w:hAnsi="Times New Roman"/>
          <w:sz w:val="20"/>
          <w:szCs w:val="20"/>
          <w:color w:val="auto"/>
        </w:rPr>
        <w:t xml:space="preserve">. Any Unrestricted Entity that would be a Subsidiary but for the last sentence of the definition of “Subsidiary” may be redesignated by Crown Holdings as a Subsidiary (with such redesignation being deemed to be an Acquisition by Crown Holdings of such Subsidiary which shall be deemed to constitute a Permitted Acquisition for purposes of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Crown Holdings has complied, to the extent applicable,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 (vi) on the desired effective date of such redesignation, Crown Holdings shall 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12.22 </w:t>
      </w:r>
      <w:r>
        <w:rPr>
          <w:rFonts w:ascii="Times New Roman" w:cs="Times New Roman" w:eastAsia="Times New Roman" w:hAnsi="Times New Roman"/>
          <w:sz w:val="19"/>
          <w:szCs w:val="19"/>
          <w:u w:val="single" w:color="auto"/>
          <w:color w:val="auto"/>
        </w:rPr>
        <w:t>No Fiduciary Responsibility</w:t>
      </w:r>
      <w:r>
        <w:rPr>
          <w:rFonts w:ascii="Times New Roman" w:cs="Times New Roman" w:eastAsia="Times New Roman" w:hAnsi="Times New Roman"/>
          <w:sz w:val="19"/>
          <w:szCs w:val="19"/>
          <w:color w:val="auto"/>
        </w:rPr>
        <w:t>. Each Credit Party hereby acknowledges that (i) none of the Agents, the Sustainability Coordinators nor any Lender has any fiduciary relationship with or duty to the Credit Parties arising out of or in connection with this Agreement or any of the other Loan Documents, and the relationship between Borrowers and the Credit Parties, on one hand, and the Agents, the Sustainability Coordinators and Lenders, on the other hand, in connection herewith or therewith is solely that of debtor and creditor and</w:t>
      </w:r>
    </w:p>
    <w:p>
      <w:pPr>
        <w:spacing w:after="0" w:line="2" w:lineRule="exact"/>
        <w:rPr>
          <w:sz w:val="20"/>
          <w:szCs w:val="20"/>
          <w:color w:val="auto"/>
        </w:rPr>
      </w:pPr>
    </w:p>
    <w:p>
      <w:pPr>
        <w:ind w:right="20" w:firstLine="8"/>
        <w:spacing w:after="0" w:line="253" w:lineRule="auto"/>
        <w:tabs>
          <w:tab w:leader="none" w:pos="312"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Agent, Sustainability Coordinator, Lender and their Affiliates may have economic interests that conflict with those of the Credit Parties, their stockholders and/or their Affiliates.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12.23</w:t>
      </w:r>
      <w:r>
        <w:rPr>
          <w:sz w:val="20"/>
          <w:szCs w:val="20"/>
          <w:color w:val="auto"/>
        </w:rPr>
        <w:tab/>
      </w:r>
      <w:r>
        <w:rPr>
          <w:rFonts w:ascii="Times New Roman" w:cs="Times New Roman" w:eastAsia="Times New Roman" w:hAnsi="Times New Roman"/>
          <w:sz w:val="19"/>
          <w:szCs w:val="19"/>
          <w:u w:val="single" w:color="auto"/>
          <w:color w:val="auto"/>
        </w:rPr>
        <w:t>Joint and Several Liability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93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254</w:t>
      </w:r>
    </w:p>
    <w:p>
      <w:pPr>
        <w:sectPr>
          <w:pgSz w:w="11900" w:h="16838" w:orient="portrait"/>
          <w:cols w:equalWidth="0" w:num="1">
            <w:col w:w="11240"/>
          </w:cols>
          <w:pgMar w:left="320" w:top="1413" w:right="339" w:bottom="1440" w:gutter="0" w:footer="0" w:header="0"/>
        </w:sectPr>
      </w:pPr>
    </w:p>
    <w:bookmarkStart w:id="382" w:name="page383"/>
    <w:bookmarkEnd w:id="38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Times New Roman" w:cs="Times New Roman" w:eastAsia="Times New Roman" w:hAnsi="Times New Roman"/>
          <w:sz w:val="20"/>
          <w:szCs w:val="20"/>
          <w:u w:val="single" w:color="auto"/>
          <w:color w:val="auto"/>
        </w:rPr>
        <w:t>Section 12.23</w:t>
      </w:r>
      <w:r>
        <w:rPr>
          <w:rFonts w:ascii="Times New Roman" w:cs="Times New Roman" w:eastAsia="Times New Roman" w:hAnsi="Times New Roman"/>
          <w:sz w:val="20"/>
          <w:szCs w:val="20"/>
          <w:color w:val="auto"/>
        </w:rPr>
        <w:t xml:space="preserve">, in bankruptcy or in any other instance, in each case of the foregoing clauses (i) through (iii), other than a defense of payment or performance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U.S. Borrower hereby waives any suit for breach of a contractual provision of any of the Loan Documents.</w:t>
      </w:r>
    </w:p>
    <w:p>
      <w:pPr>
        <w:spacing w:after="0" w:line="192" w:lineRule="exact"/>
        <w:rPr>
          <w:sz w:val="20"/>
          <w:szCs w:val="20"/>
          <w:color w:val="auto"/>
        </w:rPr>
      </w:pPr>
    </w:p>
    <w:p>
      <w:pPr>
        <w:jc w:val="both"/>
        <w:ind w:firstLine="656"/>
        <w:spacing w:after="0" w:line="251" w:lineRule="auto"/>
        <w:tabs>
          <w:tab w:leader="none" w:pos="1108"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Times New Roman" w:cs="Times New Roman" w:eastAsia="Times New Roman" w:hAnsi="Times New Roman"/>
          <w:sz w:val="20"/>
          <w:szCs w:val="20"/>
          <w:u w:val="single" w:color="auto"/>
          <w:color w:val="auto"/>
        </w:rPr>
        <w:t>Section 2.2(c)</w:t>
      </w:r>
      <w:r>
        <w:rPr>
          <w:rFonts w:ascii="Times New Roman" w:cs="Times New Roman" w:eastAsia="Times New Roman" w:hAnsi="Times New Roman"/>
          <w:sz w:val="20"/>
          <w:szCs w:val="20"/>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12.24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any Hedging Agreement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656"/>
        <w:spacing w:after="0" w:line="250" w:lineRule="auto"/>
        <w:tabs>
          <w:tab w:leader="none" w:pos="1286"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255</w:t>
      </w:r>
    </w:p>
    <w:p>
      <w:pPr>
        <w:sectPr>
          <w:pgSz w:w="11900" w:h="16838" w:orient="portrait"/>
          <w:cols w:equalWidth="0" w:num="1">
            <w:col w:w="11240"/>
          </w:cols>
          <w:pgMar w:left="320" w:top="1413" w:right="339" w:bottom="1440" w:gutter="0" w:footer="0" w:header="0"/>
        </w:sectPr>
      </w:pPr>
    </w:p>
    <w:bookmarkStart w:id="383" w:name="page384"/>
    <w:bookmarkEnd w:id="383"/>
    <w:p>
      <w:pPr>
        <w:ind w:right="20"/>
        <w:spacing w:after="0" w:line="283" w:lineRule="auto"/>
        <w:rPr>
          <w:sz w:val="20"/>
          <w:szCs w:val="20"/>
          <w:color w:val="auto"/>
        </w:rPr>
      </w:pPr>
      <w:r>
        <w:rPr>
          <w:rFonts w:ascii="Times New Roman" w:cs="Times New Roman" w:eastAsia="Times New Roman" w:hAnsi="Times New Roman"/>
          <w:sz w:val="20"/>
          <w:szCs w:val="20"/>
          <w:color w:val="auto"/>
        </w:rPr>
        <w:t>with respect to a Defaulting Lender shall in no event affect the rights of any Covered Party with respect to a Supported QFC or any QFC Credit Support.</w:t>
      </w:r>
    </w:p>
    <w:p>
      <w:pPr>
        <w:spacing w:after="0" w:line="146" w:lineRule="exact"/>
        <w:rPr>
          <w:sz w:val="20"/>
          <w:szCs w:val="20"/>
          <w:color w:val="auto"/>
        </w:rPr>
      </w:pPr>
    </w:p>
    <w:p>
      <w:pPr>
        <w:ind w:left="1300" w:hanging="644"/>
        <w:spacing w:after="0"/>
        <w:tabs>
          <w:tab w:leader="none" w:pos="130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12.24</w:t>
      </w:r>
      <w:r>
        <w:rPr>
          <w:rFonts w:ascii="Times New Roman" w:cs="Times New Roman" w:eastAsia="Times New Roman" w:hAnsi="Times New Roman"/>
          <w:sz w:val="20"/>
          <w:szCs w:val="20"/>
          <w:color w:val="auto"/>
        </w:rPr>
        <w:t>, the following terms have the following meanings:</w:t>
      </w:r>
    </w:p>
    <w:p>
      <w:pPr>
        <w:spacing w:after="0" w:line="229" w:lineRule="exact"/>
        <w:rPr>
          <w:rFonts w:ascii="Times New Roman" w:cs="Times New Roman" w:eastAsia="Times New Roman" w:hAnsi="Times New Roman"/>
          <w:sz w:val="20"/>
          <w:szCs w:val="20"/>
          <w:color w:val="auto"/>
        </w:rPr>
      </w:pPr>
    </w:p>
    <w:p>
      <w:pPr>
        <w:ind w:left="660" w:firstLine="903"/>
        <w:spacing w:after="0" w:line="269" w:lineRule="auto"/>
        <w:tabs>
          <w:tab w:leader="none" w:pos="1943"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4"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rFonts w:ascii="Times New Roman" w:cs="Times New Roman" w:eastAsia="Times New Roman" w:hAnsi="Times New Roman"/>
          <w:sz w:val="20"/>
          <w:szCs w:val="20"/>
          <w:color w:val="auto"/>
        </w:rPr>
      </w:pPr>
    </w:p>
    <w:p>
      <w:pPr>
        <w:ind w:left="660" w:firstLine="903"/>
        <w:spacing w:after="0" w:line="269" w:lineRule="auto"/>
        <w:tabs>
          <w:tab w:leader="none" w:pos="1945"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68" w:lineRule="exact"/>
        <w:rPr>
          <w:rFonts w:ascii="Times New Roman" w:cs="Times New Roman" w:eastAsia="Times New Roman" w:hAnsi="Times New Roman"/>
          <w:sz w:val="20"/>
          <w:szCs w:val="20"/>
          <w:color w:val="auto"/>
        </w:rPr>
      </w:pPr>
    </w:p>
    <w:p>
      <w:pPr>
        <w:ind w:left="660" w:firstLine="903"/>
        <w:spacing w:after="0" w:line="287" w:lineRule="auto"/>
        <w:tabs>
          <w:tab w:leader="none" w:pos="1947"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12 U.S.C. 5390(c)(8)(D).</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12.25</w:t>
      </w:r>
      <w:r>
        <w:rPr>
          <w:sz w:val="20"/>
          <w:szCs w:val="20"/>
          <w:color w:val="auto"/>
        </w:rPr>
        <w:tab/>
      </w:r>
      <w:r>
        <w:rPr>
          <w:rFonts w:ascii="Times New Roman" w:cs="Times New Roman" w:eastAsia="Times New Roman" w:hAnsi="Times New Roman"/>
          <w:sz w:val="19"/>
          <w:szCs w:val="19"/>
          <w:u w:val="single" w:color="auto"/>
          <w:color w:val="auto"/>
        </w:rPr>
        <w:t>Certain ERISA Matters.</w:t>
      </w:r>
    </w:p>
    <w:p>
      <w:pPr>
        <w:spacing w:after="0" w:line="229" w:lineRule="exact"/>
        <w:rPr>
          <w:sz w:val="20"/>
          <w:szCs w:val="20"/>
          <w:color w:val="auto"/>
        </w:rPr>
      </w:pPr>
    </w:p>
    <w:p>
      <w:pPr>
        <w:jc w:val="both"/>
        <w:ind w:firstLine="656"/>
        <w:spacing w:after="0" w:line="258" w:lineRule="auto"/>
        <w:tabs>
          <w:tab w:leader="none" w:pos="1286"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3"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1" w:lineRule="exact"/>
        <w:rPr>
          <w:rFonts w:ascii="Times New Roman" w:cs="Times New Roman" w:eastAsia="Times New Roman" w:hAnsi="Times New Roman"/>
          <w:sz w:val="20"/>
          <w:szCs w:val="20"/>
          <w:color w:val="auto"/>
        </w:rPr>
      </w:pPr>
    </w:p>
    <w:p>
      <w:pPr>
        <w:jc w:val="both"/>
        <w:ind w:left="660" w:firstLine="903"/>
        <w:spacing w:after="0" w:line="251" w:lineRule="auto"/>
        <w:tabs>
          <w:tab w:leader="none" w:pos="1944"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jc w:val="both"/>
        <w:ind w:left="660" w:firstLine="903"/>
        <w:spacing w:after="0" w:line="253" w:lineRule="auto"/>
        <w:tabs>
          <w:tab w:leader="none" w:pos="1945"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256</w:t>
      </w:r>
    </w:p>
    <w:p>
      <w:pPr>
        <w:sectPr>
          <w:pgSz w:w="11900" w:h="16838" w:orient="portrait"/>
          <w:cols w:equalWidth="0" w:num="1">
            <w:col w:w="11240"/>
          </w:cols>
          <w:pgMar w:left="320" w:top="1413" w:right="339" w:bottom="1440" w:gutter="0" w:footer="0" w:header="0"/>
        </w:sectPr>
      </w:pPr>
    </w:p>
    <w:bookmarkStart w:id="384" w:name="page385"/>
    <w:bookmarkEnd w:id="384"/>
    <w:p>
      <w:pPr>
        <w:ind w:left="660"/>
        <w:spacing w:after="0" w:line="283" w:lineRule="auto"/>
        <w:rPr>
          <w:sz w:val="20"/>
          <w:szCs w:val="20"/>
          <w:color w:val="auto"/>
        </w:rPr>
      </w:pPr>
      <w:r>
        <w:rPr>
          <w:rFonts w:ascii="Times New Roman" w:cs="Times New Roman" w:eastAsia="Times New Roman" w:hAnsi="Times New Roman"/>
          <w:sz w:val="20"/>
          <w:szCs w:val="20"/>
          <w:color w:val="auto"/>
        </w:rPr>
        <w:t>such Lender’s entrance into, participation in, administration of and performance of the Loans, the Letters of Credit, the Commitments and this Agreement, or</w:t>
      </w:r>
    </w:p>
    <w:p>
      <w:pPr>
        <w:spacing w:after="0" w:line="146" w:lineRule="exact"/>
        <w:rPr>
          <w:sz w:val="20"/>
          <w:szCs w:val="20"/>
          <w:color w:val="auto"/>
        </w:rPr>
      </w:pPr>
    </w:p>
    <w:p>
      <w:pPr>
        <w:ind w:left="660" w:firstLine="903"/>
        <w:spacing w:after="0" w:line="283" w:lineRule="auto"/>
        <w:tabs>
          <w:tab w:leader="none" w:pos="1947"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Agents, in their sole discretion, and such Lender.</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16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0"/>
          <w:szCs w:val="20"/>
          <w:b w:val="1"/>
          <w:bCs w:val="1"/>
          <w:color w:val="auto"/>
        </w:rPr>
        <w:t>ARTICLE XIII</w:t>
      </w:r>
    </w:p>
    <w:p>
      <w:pPr>
        <w:jc w:val="center"/>
        <w:ind w:left="960"/>
        <w:spacing w:after="0"/>
        <w:rPr>
          <w:sz w:val="20"/>
          <w:szCs w:val="20"/>
          <w:color w:val="auto"/>
        </w:rPr>
      </w:pPr>
      <w:r>
        <w:rPr>
          <w:rFonts w:ascii="Times New Roman" w:cs="Times New Roman" w:eastAsia="Times New Roman" w:hAnsi="Times New Roman"/>
          <w:sz w:val="20"/>
          <w:szCs w:val="20"/>
          <w:b w:val="1"/>
          <w:bCs w:val="1"/>
          <w:u w:val="single" w:color="auto"/>
          <w:color w:val="auto"/>
        </w:rPr>
        <w:t>COLLECTION ACTION MECHANISM</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the extent permitted by applicable law and regulation: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Implementation of CAM</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On the CAM Exchange Date, to the extent not otherwise prohibited by a Requirement of Law or otherwise, each Multicurrency Revolving Lender shall immediately be deemed to have acquired (and shall promptly make payment therefor to Swing Line Lender in accordance with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Times New Roman" w:cs="Times New Roman" w:eastAsia="Times New Roman" w:hAnsi="Times New Roman"/>
          <w:sz w:val="20"/>
          <w:szCs w:val="20"/>
          <w:u w:val="single" w:color="auto"/>
          <w:color w:val="auto"/>
        </w:rPr>
        <w:t>Loans to be Converted</w:t>
      </w:r>
      <w:r>
        <w:rPr>
          <w:rFonts w:ascii="Times New Roman" w:cs="Times New Roman" w:eastAsia="Times New Roman" w:hAnsi="Times New Roman"/>
          <w:sz w:val="20"/>
          <w:szCs w:val="20"/>
          <w:color w:val="auto"/>
        </w:rPr>
        <w:t>”) shall be converted into Dollars (calculated on the basis of the relevant Exchange Rates as of the Business Day immediately preceding the CAM Exchange Date) (“</w:t>
      </w:r>
      <w:r>
        <w:rPr>
          <w:rFonts w:ascii="Times New Roman" w:cs="Times New Roman" w:eastAsia="Times New Roman" w:hAnsi="Times New Roman"/>
          <w:sz w:val="20"/>
          <w:szCs w:val="20"/>
          <w:u w:val="single" w:color="auto"/>
          <w:color w:val="auto"/>
        </w:rPr>
        <w:t>Converted Loans</w:t>
      </w:r>
      <w:r>
        <w:rPr>
          <w:rFonts w:ascii="Times New Roman" w:cs="Times New Roman" w:eastAsia="Times New Roman" w:hAnsi="Times New Roman"/>
          <w:sz w:val="20"/>
          <w:szCs w:val="20"/>
          <w:color w:val="auto"/>
        </w:rPr>
        <w:t>”), (iii) on each date on or after the CAM Exchange Date on which any B/As or B/A Equivalent Loans shall mature such B/As or B/A Equivalent Loans (“</w:t>
      </w:r>
      <w:r>
        <w:rPr>
          <w:rFonts w:ascii="Times New Roman" w:cs="Times New Roman" w:eastAsia="Times New Roman" w:hAnsi="Times New Roman"/>
          <w:sz w:val="20"/>
          <w:szCs w:val="20"/>
          <w:u w:val="single" w:color="auto"/>
          <w:color w:val="auto"/>
        </w:rPr>
        <w:t>Acceptances to be Converted</w:t>
      </w:r>
      <w:r>
        <w:rPr>
          <w:rFonts w:ascii="Times New Roman" w:cs="Times New Roman" w:eastAsia="Times New Roman" w:hAnsi="Times New Roman"/>
          <w:sz w:val="20"/>
          <w:szCs w:val="20"/>
          <w:color w:val="auto"/>
        </w:rPr>
        <w:t>”) shall be converted into Canadian Revolving Loans denominated in Dollars (calculated on the basis of the Exchange Rate as of the Business Day immediately preceding such maturity date) (“</w:t>
      </w:r>
      <w:r>
        <w:rPr>
          <w:rFonts w:ascii="Times New Roman" w:cs="Times New Roman" w:eastAsia="Times New Roman" w:hAnsi="Times New Roman"/>
          <w:sz w:val="20"/>
          <w:szCs w:val="20"/>
          <w:u w:val="single" w:color="auto"/>
          <w:color w:val="auto"/>
        </w:rPr>
        <w:t>Converted Acceptances</w:t>
      </w:r>
      <w:r>
        <w:rPr>
          <w:rFonts w:ascii="Times New Roman" w:cs="Times New Roman" w:eastAsia="Times New Roman" w:hAnsi="Times New Roman"/>
          <w:sz w:val="20"/>
          <w:szCs w:val="20"/>
          <w:color w:val="auto"/>
        </w:rPr>
        <w:t>”), (iv) on the CAM Exchange Date (with respect to Loans described in the foregoing clause (ii)), and on the respective maturity date (with respect to B/As and B/A Equivalent Loans described in the foregoing clause (iii))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and Converted Acceptances in an amount equal to its CAM Percentage of (x) the outstanding principal amount of the Loans (including Converted Loans) and (y) the face amount of matured B/As and B/A Equivalent Loans, as applicable. All Converted Loans and Converted Acceptances (which shall have been converted into Canadian Revolving Loans denominated in Dollars) shall bear interest at the rate which would otherwise be applicable to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257</w:t>
      </w:r>
    </w:p>
    <w:p>
      <w:pPr>
        <w:sectPr>
          <w:pgSz w:w="11900" w:h="16838" w:orient="portrait"/>
          <w:cols w:equalWidth="0" w:num="1">
            <w:col w:w="11240"/>
          </w:cols>
          <w:pgMar w:left="320" w:top="1413" w:right="339" w:bottom="1440" w:gutter="0" w:footer="0" w:header="0"/>
        </w:sectPr>
      </w:pPr>
    </w:p>
    <w:bookmarkStart w:id="385" w:name="page386"/>
    <w:bookmarkEnd w:id="385"/>
    <w:p>
      <w:pPr>
        <w:jc w:val="both"/>
        <w:spacing w:after="0" w:line="253" w:lineRule="auto"/>
        <w:rPr>
          <w:sz w:val="20"/>
          <w:szCs w:val="20"/>
          <w:color w:val="auto"/>
        </w:rPr>
      </w:pPr>
      <w:r>
        <w:rPr>
          <w:rFonts w:ascii="Times New Roman" w:cs="Times New Roman" w:eastAsia="Times New Roman" w:hAnsi="Times New Roman"/>
          <w:sz w:val="20"/>
          <w:szCs w:val="20"/>
          <w:color w:val="auto"/>
        </w:rPr>
        <w:t>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 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192" w:lineRule="exact"/>
        <w:rPr>
          <w:sz w:val="20"/>
          <w:szCs w:val="20"/>
          <w:color w:val="auto"/>
        </w:rPr>
      </w:pPr>
    </w:p>
    <w:p>
      <w:pPr>
        <w:jc w:val="both"/>
        <w:ind w:firstLine="656"/>
        <w:spacing w:after="0" w:line="252" w:lineRule="auto"/>
        <w:tabs>
          <w:tab w:leader="none" w:pos="1284"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the Loans to be Converted or Acceptances to be Converted, as the case may be, may not be converted into Dollars in the manner contemplated by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(i) Administrative Agent shall determine the Dollar Equivalent of the Loans to be Converted or Acceptances to be Converted, as the case may be (calculated on the basis of the Exchange Rate as of the Business Day immediately preceding the date on which such conversion would otherwise occur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and (ii) effective on such CAM Exchange Date, each Lender severally, unconditionally and irrevocably agrees that it shall purchase in Dollars a participating interest in such Loans to be Converted or Acceptances to be Converted, as the case may be, in an amount equal to its CAM Percentage of such Loans to be Converted or Acceptances to be converted, as the case may be.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17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Taxes are required to be withheld from any amounts payable by a Lender (the “</w:t>
      </w:r>
      <w:r>
        <w:rPr>
          <w:rFonts w:ascii="Times New Roman" w:cs="Times New Roman" w:eastAsia="Times New Roman" w:hAnsi="Times New Roman"/>
          <w:sz w:val="20"/>
          <w:szCs w:val="20"/>
          <w:u w:val="single" w:color="auto"/>
          <w:color w:val="auto"/>
        </w:rPr>
        <w:t>First Lender</w:t>
      </w:r>
      <w:r>
        <w:rPr>
          <w:rFonts w:ascii="Times New Roman" w:cs="Times New Roman" w:eastAsia="Times New Roman" w:hAnsi="Times New Roman"/>
          <w:sz w:val="20"/>
          <w:szCs w:val="20"/>
          <w:color w:val="auto"/>
        </w:rPr>
        <w:t>”) to another Lender (the “</w:t>
      </w:r>
      <w:r>
        <w:rPr>
          <w:rFonts w:ascii="Times New Roman" w:cs="Times New Roman" w:eastAsia="Times New Roman" w:hAnsi="Times New Roman"/>
          <w:sz w:val="20"/>
          <w:szCs w:val="20"/>
          <w:u w:val="single" w:color="auto"/>
          <w:color w:val="auto"/>
        </w:rPr>
        <w:t>Other Lender</w:t>
      </w:r>
      <w:r>
        <w:rPr>
          <w:rFonts w:ascii="Times New Roman" w:cs="Times New Roman" w:eastAsia="Times New Roman" w:hAnsi="Times New Roman"/>
          <w:sz w:val="20"/>
          <w:szCs w:val="20"/>
          <w:color w:val="auto"/>
        </w:rPr>
        <w:t xml:space="preserve">”) in connection with its participating interest in any Loan or Converted Acceptance, each Borrower, with respect to the relevant Loans made to it, shall be required to pay additional amounts to the Other Lender receiving such payments from the First Lender to the same extent they would be required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if such Borrower were making payments with respect to the participating interest directly to the Other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2" w:lineRule="auto"/>
        <w:tabs>
          <w:tab w:leader="none" w:pos="1286"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Letters of Credit, each Dollar Revolving Lender with respect to Dollar Letters of Credit and each Canadian Revolving Lender with respect to each Canadian Letter of Credit shall promptly pay over to Administrative 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258</w:t>
      </w:r>
    </w:p>
    <w:p>
      <w:pPr>
        <w:sectPr>
          <w:pgSz w:w="11900" w:h="16838" w:orient="portrait"/>
          <w:cols w:equalWidth="0" w:num="1">
            <w:col w:w="11240"/>
          </w:cols>
          <w:pgMar w:left="320" w:top="1413" w:right="339" w:bottom="1440" w:gutter="0" w:footer="0" w:header="0"/>
        </w:sectPr>
      </w:pPr>
    </w:p>
    <w:bookmarkStart w:id="386" w:name="page387"/>
    <w:bookmarkEnd w:id="386"/>
    <w:p>
      <w:pPr>
        <w:jc w:val="both"/>
        <w:spacing w:after="0" w:line="250" w:lineRule="auto"/>
        <w:rPr>
          <w:sz w:val="20"/>
          <w:szCs w:val="20"/>
          <w:color w:val="auto"/>
        </w:rPr>
      </w:pPr>
      <w:r>
        <w:rPr>
          <w:rFonts w:ascii="Times New Roman" w:cs="Times New Roman" w:eastAsia="Times New Roman" w:hAnsi="Times New Roman"/>
          <w:sz w:val="20"/>
          <w:szCs w:val="20"/>
          <w:color w:val="auto"/>
        </w:rPr>
        <w:t>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Times New Roman" w:cs="Times New Roman" w:eastAsia="Times New Roman" w:hAnsi="Times New Roman"/>
          <w:sz w:val="20"/>
          <w:szCs w:val="20"/>
          <w:u w:val="single" w:color="auto"/>
          <w:color w:val="auto"/>
        </w:rPr>
        <w:t>LC Reserve Account</w:t>
      </w:r>
      <w:r>
        <w:rPr>
          <w:rFonts w:ascii="Times New Roman" w:cs="Times New Roman" w:eastAsia="Times New Roman" w:hAnsi="Times New Roman"/>
          <w:sz w:val="20"/>
          <w:szCs w:val="20"/>
          <w:color w:val="auto"/>
        </w:rPr>
        <w:t xml:space="preserve">”) for the 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 (d) 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line="265" w:lineRule="auto"/>
        <w:tabs>
          <w:tab w:leader="none" w:pos="1284"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In the event any Revolving Lender shall default on its obligation to pay over any amount to Administrative Agent in respect of any Letter of Credit as provided in this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 xml:space="preserve">, Facing Agent shall, in the event of a drawing thereunder, have a claim against such Revolving Lender to the same extent as if such Lender had defaulted on its obligations under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but shall have no claim against any other Lender in respect of such defaulted amount, notwithstanding the exchange of interests in Borrowers’ reimbursement obligations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Each other Lender shall have a claim against such defaulting Revolving Lender for any damages sustained by it as a result of such default, including, in the event such Letter of Credit shall expire undrawn, its CAM Percentage of the defaulted amount.</w:t>
      </w:r>
    </w:p>
    <w:p>
      <w:pPr>
        <w:spacing w:after="0" w:line="167"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6"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the withdrawal by any Lender of any amounts from its LC Reserve Account as contemplated by the above paragraphs, Administrative Agent will, at the direction of such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259</w:t>
      </w:r>
    </w:p>
    <w:p>
      <w:pPr>
        <w:sectPr>
          <w:pgSz w:w="11900" w:h="16838" w:orient="portrait"/>
          <w:cols w:equalWidth="0" w:num="1">
            <w:col w:w="11240"/>
          </w:cols>
          <w:pgMar w:left="320" w:top="1413" w:right="339" w:bottom="1440" w:gutter="0" w:footer="0" w:header="0"/>
        </w:sectPr>
      </w:pPr>
    </w:p>
    <w:bookmarkStart w:id="387" w:name="page388"/>
    <w:bookmarkEnd w:id="387"/>
    <w:p>
      <w:pPr>
        <w:jc w:val="both"/>
        <w:spacing w:after="0" w:line="276" w:lineRule="auto"/>
        <w:rPr>
          <w:sz w:val="20"/>
          <w:szCs w:val="20"/>
          <w:color w:val="auto"/>
        </w:rPr>
      </w:pPr>
      <w:r>
        <w:rPr>
          <w:rFonts w:ascii="Times New Roman" w:cs="Times New Roman" w:eastAsia="Times New Roman" w:hAnsi="Times New Roman"/>
          <w:sz w:val="19"/>
          <w:szCs w:val="19"/>
          <w:color w:val="auto"/>
        </w:rPr>
        <w:t>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 at intervals reasonably specified by any Administrative Agent, to withdraw the earnings on investments so made by such Administrative Agent with amounts in its LC Reserve Account and to retain such earnings for its own account.</w:t>
      </w:r>
    </w:p>
    <w:p>
      <w:pPr>
        <w:spacing w:after="0" w:line="13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0"/>
          <w:szCs w:val="20"/>
          <w:b w:val="1"/>
          <w:bCs w:val="1"/>
          <w:color w:val="auto"/>
        </w:rPr>
        <w:t>ARTICLE XIV</w:t>
      </w:r>
    </w:p>
    <w:p>
      <w:pPr>
        <w:jc w:val="center"/>
        <w:ind w:left="960"/>
        <w:spacing w:after="0"/>
        <w:rPr>
          <w:sz w:val="20"/>
          <w:szCs w:val="20"/>
          <w:color w:val="auto"/>
        </w:rPr>
      </w:pPr>
      <w:r>
        <w:rPr>
          <w:rFonts w:ascii="Times New Roman" w:cs="Times New Roman" w:eastAsia="Times New Roman" w:hAnsi="Times New Roman"/>
          <w:sz w:val="20"/>
          <w:szCs w:val="20"/>
          <w:b w:val="1"/>
          <w:bCs w:val="1"/>
          <w:u w:val="single" w:color="auto"/>
          <w:color w:val="auto"/>
        </w:rPr>
        <w:t>GUARANTY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Guarantee of Each of the Parent Guarantors</w:t>
      </w:r>
      <w:r>
        <w:rPr>
          <w:rFonts w:ascii="Times New Roman" w:cs="Times New Roman" w:eastAsia="Times New Roman" w:hAnsi="Times New Roman"/>
          <w:sz w:val="20"/>
          <w:szCs w:val="20"/>
          <w:color w:val="auto"/>
        </w:rPr>
        <w:t xml:space="preserve">.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Each Parent Guarantor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 Guarantor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19"/>
          <w:szCs w:val="19"/>
          <w:u w:val="single" w:color="auto"/>
          <w:color w:val="auto"/>
        </w:rPr>
        <w:t>Guarantee of European Borrower</w:t>
      </w:r>
      <w:r>
        <w:rPr>
          <w:rFonts w:ascii="Times New Roman" w:cs="Times New Roman" w:eastAsia="Times New Roman" w:hAnsi="Times New Roman"/>
          <w:sz w:val="19"/>
          <w:szCs w:val="19"/>
          <w:color w:val="auto"/>
        </w:rPr>
        <w:t>.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 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260</w:t>
      </w:r>
    </w:p>
    <w:p>
      <w:pPr>
        <w:sectPr>
          <w:pgSz w:w="11900" w:h="16838" w:orient="portrait"/>
          <w:cols w:equalWidth="0" w:num="1">
            <w:col w:w="11240"/>
          </w:cols>
          <w:pgMar w:left="320" w:top="1413" w:right="339" w:bottom="1440" w:gutter="0" w:footer="0" w:header="0"/>
        </w:sectPr>
      </w:pPr>
    </w:p>
    <w:bookmarkStart w:id="388" w:name="page389"/>
    <w:bookmarkEnd w:id="38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Subsidiary Borrower Obligations and Canadian Obligations are paid in full and the Commitments are terminated.</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or such Multicurrency Revolving Lender or Canadian Revolving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Subsidiary Borrower Obligations and Canadian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Subsidiary Borrower Obligations and Canadian Obligations are paid in full and the Commitments are terminated.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u w:val="single" w:color="auto"/>
          <w:color w:val="auto"/>
        </w:rPr>
        <w:t>Guarantee of Crown Finance</w:t>
      </w:r>
      <w:r>
        <w:rPr>
          <w:rFonts w:ascii="Times New Roman" w:cs="Times New Roman" w:eastAsia="Times New Roman" w:hAnsi="Times New Roman"/>
          <w:sz w:val="20"/>
          <w:szCs w:val="20"/>
          <w:color w:val="auto"/>
        </w:rPr>
        <w:t xml:space="preserve">.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Crown Finance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u w:val="single" w:color="auto"/>
          <w:color w:val="auto"/>
        </w:rPr>
        <w:t>Amendments, etc. with Respect to the Applicable Obligations</w:t>
      </w:r>
      <w:r>
        <w:rPr>
          <w:rFonts w:ascii="Times New Roman" w:cs="Times New Roman" w:eastAsia="Times New Roman" w:hAnsi="Times New Roman"/>
          <w:sz w:val="20"/>
          <w:szCs w:val="20"/>
          <w:color w:val="auto"/>
        </w:rPr>
        <w:t xml:space="preserve">. Each Guarantor shall remain obligated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261</w:t>
      </w:r>
    </w:p>
    <w:p>
      <w:pPr>
        <w:sectPr>
          <w:pgSz w:w="11900" w:h="16838" w:orient="portrait"/>
          <w:cols w:equalWidth="0" w:num="1">
            <w:col w:w="11240"/>
          </w:cols>
          <w:pgMar w:left="320" w:top="1413" w:right="339" w:bottom="1440" w:gutter="0" w:footer="0" w:header="0"/>
        </w:sectPr>
      </w:pPr>
    </w:p>
    <w:bookmarkStart w:id="389" w:name="page390"/>
    <w:bookmarkEnd w:id="389"/>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 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any property subject thereto.</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14.5 </w:t>
      </w:r>
      <w:r>
        <w:rPr>
          <w:rFonts w:ascii="Times New Roman" w:cs="Times New Roman" w:eastAsia="Times New Roman" w:hAnsi="Times New Roman"/>
          <w:sz w:val="19"/>
          <w:szCs w:val="19"/>
          <w:u w:val="single" w:color="auto"/>
          <w:color w:val="auto"/>
        </w:rPr>
        <w:t>Guarantee Absolute and Unconditional</w:t>
      </w:r>
      <w:r>
        <w:rPr>
          <w:rFonts w:ascii="Times New Roman" w:cs="Times New Roman" w:eastAsia="Times New Roman" w:hAnsi="Times New Roman"/>
          <w:sz w:val="19"/>
          <w:szCs w:val="19"/>
          <w:color w:val="auto"/>
        </w:rPr>
        <w:t xml:space="preserve">. Each Guarantor waives any and all notice of the creation, renewal, extension or accrual of any of the applicable Obligations and notice of or proof of reliance by the Agents, any Facing Agent or any Lender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acceptance of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the applicable Obligations, and any of them, shall conclusively be deemed to have been created, contracted or incurred, or renewed, extended, amended or waived, in reliance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The Agents will, to the extent permitted by applicable law, request payment of any applicable Obligation from the applicable Borrower before making any claim against the applicable Guarantor under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shall be construed as a continuing, absolute and unconditional guarantee of payment without regard to (a) the validity or enforceability of this Agreement or any other Loan Document, any of the applicable Obligations or any collateral security therefor or guarantee or right of offset with respect thereto at any time or from time to time held by any Agent, any Facing Agent or any Lender, (b) the legality under applicable laws of repayment by the relevant Borrower of any 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w:t>
      </w:r>
    </w:p>
    <w:p>
      <w:pPr>
        <w:spacing w:after="0" w:line="4" w:lineRule="exact"/>
        <w:rPr>
          <w:sz w:val="20"/>
          <w:szCs w:val="20"/>
          <w:color w:val="auto"/>
        </w:rPr>
      </w:pPr>
    </w:p>
    <w:p>
      <w:pPr>
        <w:jc w:val="both"/>
        <w:ind w:firstLine="8"/>
        <w:spacing w:after="0" w:line="249" w:lineRule="auto"/>
        <w:tabs>
          <w:tab w:leader="none" w:pos="302"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in bankruptcy or in any other instance. When any Agent, any Facing Agent or any Lender is pursuing its rights and remedies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262</w:t>
      </w:r>
    </w:p>
    <w:p>
      <w:pPr>
        <w:sectPr>
          <w:pgSz w:w="11900" w:h="16838" w:orient="portrait"/>
          <w:cols w:equalWidth="0" w:num="1">
            <w:col w:w="11240"/>
          </w:cols>
          <w:pgMar w:left="320" w:top="1413" w:right="339" w:bottom="1440" w:gutter="0" w:footer="0" w:header="0"/>
        </w:sectPr>
      </w:pPr>
    </w:p>
    <w:bookmarkStart w:id="390" w:name="page391"/>
    <w:bookmarkEnd w:id="390"/>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and shall not impair or affect the rights and remedies, whether express, implied or available as a matter of law, of the Agents, the Facing Agents and the Lenders against any Guarantor.</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xml:space="preserve">. Each of the guarantees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shall continue to be effective, or be reinstated, as the case may be, if at any time payment, or any part thereof, of any of the 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Each Guarantor hereby agrees that any payments in respect of the applicable Obligations pursuant to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u w:val="single" w:color="auto"/>
          <w:color w:val="auto"/>
        </w:rPr>
        <w:t>Independent Obligations</w:t>
      </w:r>
      <w:r>
        <w:rPr>
          <w:rFonts w:ascii="Times New Roman" w:cs="Times New Roman" w:eastAsia="Times New Roman" w:hAnsi="Times New Roman"/>
          <w:sz w:val="20"/>
          <w:szCs w:val="20"/>
          <w:color w:val="auto"/>
        </w:rPr>
        <w:t xml:space="preserve">. The obligations of each Guarantor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14.9 </w:t>
      </w:r>
      <w:r>
        <w:rPr>
          <w:rFonts w:ascii="Times New Roman" w:cs="Times New Roman" w:eastAsia="Times New Roman" w:hAnsi="Times New Roman"/>
          <w:sz w:val="19"/>
          <w:szCs w:val="19"/>
          <w:u w:val="single" w:color="auto"/>
          <w:color w:val="auto"/>
        </w:rPr>
        <w:t>Guarantee Limitations for French Guarantees</w:t>
      </w:r>
      <w:r>
        <w:rPr>
          <w:rFonts w:ascii="Times New Roman" w:cs="Times New Roman" w:eastAsia="Times New Roman" w:hAnsi="Times New Roman"/>
          <w:sz w:val="19"/>
          <w:szCs w:val="19"/>
          <w:color w:val="auto"/>
        </w:rPr>
        <w:t xml:space="preserve">. The Obligations of any Guarantor incorporated under the laws of France under the Loan Documents (a) will not include any obligation or liability which if incurred would cause the infringement of the provision of financial assistance within the meaning of Article L. 225-216 of the French Commercial Code and/or would constitute a “misuse of corporate assets or powers” within the meaning of Article L. 241-3 or L. 242-6 of the French Commercial Code (such articles are applicable to </w:t>
      </w:r>
      <w:r>
        <w:rPr>
          <w:rFonts w:ascii="Times New Roman" w:cs="Times New Roman" w:eastAsia="Times New Roman" w:hAnsi="Times New Roman"/>
          <w:sz w:val="19"/>
          <w:szCs w:val="19"/>
          <w:i w:val="1"/>
          <w:iCs w:val="1"/>
          <w:color w:val="auto"/>
        </w:rPr>
        <w:t>societés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par actions simplifiées </w:t>
      </w:r>
      <w:r>
        <w:rPr>
          <w:rFonts w:ascii="Times New Roman" w:cs="Times New Roman" w:eastAsia="Times New Roman" w:hAnsi="Times New Roman"/>
          <w:sz w:val="19"/>
          <w:szCs w:val="19"/>
          <w:color w:val="auto"/>
        </w:rPr>
        <w:t>pursuant to Article L. 244-1 of the French Commercial Code); and (b) shall be limited to the extent required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law to the maximum amount any such Guarantor can pay without exceeding its financial capacity or otherwise resulting in insolvency of such Guarantor, as 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14.10 </w:t>
      </w:r>
      <w:r>
        <w:rPr>
          <w:rFonts w:ascii="Times New Roman" w:cs="Times New Roman" w:eastAsia="Times New Roman" w:hAnsi="Times New Roman"/>
          <w:sz w:val="20"/>
          <w:szCs w:val="20"/>
          <w:u w:val="single" w:color="auto"/>
          <w:color w:val="auto"/>
        </w:rPr>
        <w:t>Guarantee Limitations for Luxembourg Guarantees</w:t>
      </w:r>
      <w:r>
        <w:rPr>
          <w:rFonts w:ascii="Times New Roman" w:cs="Times New Roman" w:eastAsia="Times New Roman" w:hAnsi="Times New Roman"/>
          <w:sz w:val="20"/>
          <w:szCs w:val="20"/>
          <w:color w:val="auto"/>
        </w:rPr>
        <w:t>. Notwithstanding any provision to the contrary in this Agreement, the liability of any Guarantor incorporated under the laws of Luxembourg (a “</w:t>
      </w:r>
      <w:r>
        <w:rPr>
          <w:rFonts w:ascii="Times New Roman" w:cs="Times New Roman" w:eastAsia="Times New Roman" w:hAnsi="Times New Roman"/>
          <w:sz w:val="20"/>
          <w:szCs w:val="20"/>
          <w:u w:val="single" w:color="auto"/>
          <w:color w:val="auto"/>
        </w:rPr>
        <w:t>Luxembourg Guarantor</w:t>
      </w:r>
      <w:r>
        <w:rPr>
          <w:rFonts w:ascii="Times New Roman" w:cs="Times New Roman" w:eastAsia="Times New Roman" w:hAnsi="Times New Roman"/>
          <w:sz w:val="20"/>
          <w:szCs w:val="20"/>
          <w:color w:val="auto"/>
        </w:rPr>
        <w:t xml:space="preserve">”)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Guaranty</w:t>
      </w:r>
      <w:r>
        <w:rPr>
          <w:rFonts w:ascii="Times New Roman" w:cs="Times New Roman" w:eastAsia="Times New Roman" w:hAnsi="Times New Roman"/>
          <w:sz w:val="20"/>
          <w:szCs w:val="20"/>
          <w:color w:val="auto"/>
        </w:rPr>
        <w:t>) for the obligations of any Credit Party, which is not a direct or indirect subsidiary of that Luxembourg Guarantor, may not exceed, in aggregate, the Maximum Amount (as defined below).</w:t>
      </w:r>
    </w:p>
    <w:p>
      <w:pPr>
        <w:spacing w:after="0" w:line="187" w:lineRule="exact"/>
        <w:rPr>
          <w:sz w:val="20"/>
          <w:szCs w:val="20"/>
          <w:color w:val="auto"/>
        </w:rPr>
      </w:pPr>
    </w:p>
    <w:p>
      <w:pPr>
        <w:ind w:left="1300" w:hanging="644"/>
        <w:spacing w:after="0"/>
        <w:tabs>
          <w:tab w:leader="none" w:pos="130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in relation to a Luxembourg Guarantor, means an amount equal to the aggregate (without double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263</w:t>
      </w:r>
    </w:p>
    <w:p>
      <w:pPr>
        <w:sectPr>
          <w:pgSz w:w="11900" w:h="16838" w:orient="portrait"/>
          <w:cols w:equalWidth="0" w:num="1">
            <w:col w:w="11240"/>
          </w:cols>
          <w:pgMar w:left="320" w:top="1413" w:right="339" w:bottom="1440" w:gutter="0" w:footer="0" w:header="0"/>
        </w:sectPr>
      </w:pPr>
    </w:p>
    <w:bookmarkStart w:id="391" w:name="page392"/>
    <w:bookmarkEnd w:id="391"/>
    <w:p>
      <w:pPr>
        <w:ind w:left="1940" w:hanging="377"/>
        <w:spacing w:after="0"/>
        <w:tabs>
          <w:tab w:leader="none" w:pos="1940" w:val="left"/>
        </w:tabs>
        <w:numPr>
          <w:ilvl w:val="2"/>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moneys received by that Luxembourg Guarantor or its direct and indirect subsidiaries as a borrower under this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0"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4" w:val="left"/>
        </w:tabs>
        <w:numPr>
          <w:ilvl w:val="2"/>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177"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2"/>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one hundred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cent 100% of the greater of:</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87" w:val="left"/>
        </w:tabs>
        <w:numPr>
          <w:ilvl w:val="3"/>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eighty per cent. (80%) of the sum of (i) the Luxembourg Guarantor’s own funds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Times New Roman" w:cs="Times New Roman" w:eastAsia="Times New Roman" w:hAnsi="Times New Roman"/>
          <w:sz w:val="20"/>
          <w:szCs w:val="20"/>
          <w:u w:val="single" w:color="auto"/>
          <w:color w:val="auto"/>
        </w:rPr>
        <w:t>Own Funds</w:t>
      </w:r>
      <w:r>
        <w:rPr>
          <w:rFonts w:ascii="Times New Roman" w:cs="Times New Roman" w:eastAsia="Times New Roman" w:hAnsi="Times New Roman"/>
          <w:sz w:val="20"/>
          <w:szCs w:val="20"/>
          <w:color w:val="auto"/>
        </w:rPr>
        <w:t>”) and</w:t>
      </w:r>
    </w:p>
    <w:p>
      <w:pPr>
        <w:spacing w:after="0" w:line="2" w:lineRule="exact"/>
        <w:rPr>
          <w:rFonts w:ascii="Times New Roman" w:cs="Times New Roman" w:eastAsia="Times New Roman" w:hAnsi="Times New Roman"/>
          <w:sz w:val="20"/>
          <w:szCs w:val="20"/>
          <w:color w:val="auto"/>
        </w:rPr>
      </w:pPr>
    </w:p>
    <w:p>
      <w:pPr>
        <w:jc w:val="both"/>
        <w:ind w:left="1300" w:firstLine="4"/>
        <w:spacing w:after="0" w:line="253" w:lineRule="auto"/>
        <w:tabs>
          <w:tab w:leader="none" w:pos="1607"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Luxembourg Guarantor’s debt which is subordinated in right of payment (whether generally or specifically) to any claim of any Lender under any of the Loan Documents (the “</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in each case as determined on the basis of the then latest available annual accounts of the Luxembourg Guarantor duly established in accordance with applicable accounting rules, as at the date of this Agreement; and</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68" w:lineRule="auto"/>
        <w:tabs>
          <w:tab w:leader="none" w:pos="2590" w:val="left"/>
        </w:tabs>
        <w:numPr>
          <w:ilvl w:val="3"/>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is called.</w:t>
      </w:r>
    </w:p>
    <w:p>
      <w:pPr>
        <w:spacing w:after="0" w:line="16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 Luxembourg Guarantor 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any Luxembourg Guarantor shall not extend to the guaranteeing or securing of any amount which would breach the prohibitions on financial assistance as set out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264</w:t>
      </w:r>
    </w:p>
    <w:p>
      <w:pPr>
        <w:sectPr>
          <w:pgSz w:w="11900" w:h="16838" w:orient="portrait"/>
          <w:cols w:equalWidth="0" w:num="1">
            <w:col w:w="11240"/>
          </w:cols>
          <w:pgMar w:left="320" w:top="1413" w:right="3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20"/>
          <w:szCs w:val="20"/>
          <w:color w:val="auto"/>
        </w:rPr>
        <w:t>Luxembourg law of 10 August 1915 on commercial companies, as amended (the “</w:t>
      </w:r>
      <w:r>
        <w:rPr>
          <w:rFonts w:ascii="Times New Roman" w:cs="Times New Roman" w:eastAsia="Times New Roman" w:hAnsi="Times New Roman"/>
          <w:sz w:val="20"/>
          <w:szCs w:val="20"/>
          <w:u w:val="single" w:color="auto"/>
          <w:color w:val="auto"/>
        </w:rPr>
        <w:t>Luxembourg Law of 1915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61" w:lineRule="auto"/>
        <w:tabs>
          <w:tab w:leader="none" w:pos="1286"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14.11 </w:t>
      </w:r>
      <w:r>
        <w:rPr>
          <w:rFonts w:ascii="Times New Roman" w:cs="Times New Roman" w:eastAsia="Times New Roman" w:hAnsi="Times New Roman"/>
          <w:sz w:val="20"/>
          <w:szCs w:val="20"/>
          <w:u w:val="single" w:color="auto"/>
          <w:color w:val="auto"/>
        </w:rPr>
        <w:t>Guarantee Limitations for Spanish Guarantees and Security</w:t>
      </w:r>
      <w:r>
        <w:rPr>
          <w:rFonts w:ascii="Times New Roman" w:cs="Times New Roman" w:eastAsia="Times New Roman" w:hAnsi="Times New Roman"/>
          <w:sz w:val="20"/>
          <w:szCs w:val="20"/>
          <w:color w:val="auto"/>
        </w:rPr>
        <w:t xml:space="preserve">.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Times New Roman" w:cs="Times New Roman" w:eastAsia="Times New Roman" w:hAnsi="Times New Roman"/>
          <w:sz w:val="20"/>
          <w:szCs w:val="20"/>
          <w:i w:val="1"/>
          <w:iCs w:val="1"/>
          <w:color w:val="auto"/>
        </w:rPr>
        <w:t>sociedad anónima</w:t>
      </w:r>
      <w:r>
        <w:rPr>
          <w:rFonts w:ascii="Times New Roman" w:cs="Times New Roman" w:eastAsia="Times New Roman" w:hAnsi="Times New Roman"/>
          <w:sz w:val="20"/>
          <w:szCs w:val="20"/>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Times New Roman" w:cs="Times New Roman" w:eastAsia="Times New Roman" w:hAnsi="Times New Roman"/>
          <w:sz w:val="20"/>
          <w:szCs w:val="20"/>
          <w:i w:val="1"/>
          <w:iCs w:val="1"/>
          <w:color w:val="auto"/>
        </w:rPr>
        <w:t>sociedades de responsabilidad limitada</w:t>
      </w:r>
      <w:r>
        <w:rPr>
          <w:rFonts w:ascii="Times New Roman" w:cs="Times New Roman" w:eastAsia="Times New Roman" w:hAnsi="Times New Roman"/>
          <w:sz w:val="20"/>
          <w:szCs w:val="20"/>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14.12</w:t>
      </w:r>
      <w:r>
        <w:rPr>
          <w:sz w:val="20"/>
          <w:szCs w:val="20"/>
          <w:color w:val="auto"/>
        </w:rPr>
        <w:tab/>
      </w:r>
      <w:r>
        <w:rPr>
          <w:rFonts w:ascii="Times New Roman" w:cs="Times New Roman" w:eastAsia="Times New Roman" w:hAnsi="Times New Roman"/>
          <w:sz w:val="19"/>
          <w:szCs w:val="19"/>
          <w:u w:val="single" w:color="auto"/>
          <w:color w:val="auto"/>
        </w:rPr>
        <w:t>Guarantee Limitations for German Guarantees and Security.</w:t>
      </w:r>
    </w:p>
    <w:p>
      <w:pPr>
        <w:spacing w:after="0" w:line="229" w:lineRule="exact"/>
        <w:rPr>
          <w:sz w:val="20"/>
          <w:szCs w:val="20"/>
          <w:color w:val="auto"/>
        </w:rPr>
      </w:pPr>
    </w:p>
    <w:p>
      <w:pPr>
        <w:jc w:val="both"/>
        <w:ind w:firstLine="656"/>
        <w:spacing w:after="0" w:line="251" w:lineRule="auto"/>
        <w:tabs>
          <w:tab w:leader="none" w:pos="128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enforcement of the guarantee given by any Guarantor incorporated under the laws of Germany by the Administrative Agent would cause, in breach of sections 30 and 31 of the German Limited Liability Companies Act (</w:t>
      </w:r>
      <w:r>
        <w:rPr>
          <w:rFonts w:ascii="Times New Roman" w:cs="Times New Roman" w:eastAsia="Times New Roman" w:hAnsi="Times New Roman"/>
          <w:sz w:val="20"/>
          <w:szCs w:val="20"/>
          <w:i w:val="1"/>
          <w:iCs w:val="1"/>
          <w:color w:val="auto"/>
        </w:rPr>
        <w:t>Gesetz betreffend die Gesellschaften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mit beschränkter Haftung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GmbHG</w:t>
      </w:r>
      <w:r>
        <w:rPr>
          <w:rFonts w:ascii="Times New Roman" w:cs="Times New Roman" w:eastAsia="Times New Roman" w:hAnsi="Times New Roman"/>
          <w:sz w:val="20"/>
          <w:szCs w:val="20"/>
          <w:color w:val="auto"/>
        </w:rPr>
        <w:t>”)), the net assets (</w:t>
      </w:r>
      <w:r>
        <w:rPr>
          <w:rFonts w:ascii="Times New Roman" w:cs="Times New Roman" w:eastAsia="Times New Roman" w:hAnsi="Times New Roman"/>
          <w:sz w:val="20"/>
          <w:szCs w:val="20"/>
          <w:i w:val="1"/>
          <w:iCs w:val="1"/>
          <w:color w:val="auto"/>
        </w:rPr>
        <w:t xml:space="preserve">Reinvermögen </w:t>
      </w:r>
      <w:r>
        <w:rPr>
          <w:rFonts w:ascii="Times New Roman" w:cs="Times New Roman" w:eastAsia="Times New Roman" w:hAnsi="Times New Roman"/>
          <w:sz w:val="20"/>
          <w:szCs w:val="20"/>
          <w:color w:val="auto"/>
        </w:rPr>
        <w:t>– being the total assets less liabilities) of the relevant Guarantor to fall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the amount of its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the Administrative Agent may not enforce the guarantee to the extent enforcement would require payment by the relevant Guarantor out of assets necessary to preserve its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For the purposes of the calculation, whether the net assets of the relevant Guarantor would fall below the amount of the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(if any), the following balance sheet items shall be adjusted as follows:</w:t>
      </w:r>
    </w:p>
    <w:p>
      <w:pPr>
        <w:spacing w:after="0" w:line="192" w:lineRule="exact"/>
        <w:rPr>
          <w:rFonts w:ascii="Times New Roman" w:cs="Times New Roman" w:eastAsia="Times New Roman" w:hAnsi="Times New Roman"/>
          <w:sz w:val="20"/>
          <w:szCs w:val="20"/>
          <w:color w:val="auto"/>
        </w:rPr>
      </w:pPr>
    </w:p>
    <w:p>
      <w:pPr>
        <w:ind w:left="660" w:firstLine="903"/>
        <w:spacing w:after="0" w:line="269" w:lineRule="auto"/>
        <w:tabs>
          <w:tab w:leader="none" w:pos="1943"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increase in the nominal share capital which was carried out after the date hereof without the prior written consent of the Administrative Agent shall be deducted from the nominal share capital,</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61" w:lineRule="auto"/>
        <w:tabs>
          <w:tab w:leader="none" w:pos="1944"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provided to the relevant Guarantor by any third party, as far as such loans are (or would in insolvency proceedings be) subordinated pursuant to Section 39 para. 1 no. 5 or para. 2 of the German Insolvency Code (</w:t>
      </w:r>
      <w:r>
        <w:rPr>
          <w:rFonts w:ascii="Times New Roman" w:cs="Times New Roman" w:eastAsia="Times New Roman" w:hAnsi="Times New Roman"/>
          <w:sz w:val="20"/>
          <w:szCs w:val="20"/>
          <w:i w:val="1"/>
          <w:iCs w:val="1"/>
          <w:color w:val="auto"/>
        </w:rPr>
        <w:t>Insolvenzverordnung</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ind w:left="660" w:firstLine="903"/>
        <w:spacing w:after="0" w:line="269" w:lineRule="auto"/>
        <w:tabs>
          <w:tab w:leader="none" w:pos="1945"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funds borrowed by any Borrower under the Credit Agreement which have been on lent to the relevant Guarantor shall be disregarded.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relevant Guarantor, if and to the extent legally permissible,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265</w:t>
      </w:r>
    </w:p>
    <w:p>
      <w:pPr>
        <w:sectPr>
          <w:pgSz w:w="11900" w:h="16838" w:orient="portrait"/>
          <w:cols w:equalWidth="0" w:num="1">
            <w:col w:w="11240"/>
          </w:cols>
          <w:pgMar w:left="320" w:top="1413" w:right="339" w:bottom="1440" w:gutter="0" w:footer="0" w:header="0"/>
        </w:sectPr>
      </w:pPr>
    </w:p>
    <w:bookmarkStart w:id="393" w:name="page394"/>
    <w:bookmarkEnd w:id="393"/>
    <w:p>
      <w:pPr>
        <w:jc w:val="both"/>
        <w:ind w:left="660" w:firstLine="903"/>
        <w:spacing w:after="0" w:line="258" w:lineRule="auto"/>
        <w:tabs>
          <w:tab w:leader="none" w:pos="1943"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situation where enforcement of the guarantee is limited pursuant to the paragraph (a) above, sell any and all of its assets that are reflected on its balance sheet with a book value that is significantly lower than the market value of the asset if such asset is not essential for the conduct of business (</w:t>
      </w:r>
      <w:r>
        <w:rPr>
          <w:rFonts w:ascii="Times New Roman" w:cs="Times New Roman" w:eastAsia="Times New Roman" w:hAnsi="Times New Roman"/>
          <w:sz w:val="20"/>
          <w:szCs w:val="20"/>
          <w:i w:val="1"/>
          <w:iCs w:val="1"/>
          <w:color w:val="auto"/>
        </w:rPr>
        <w:t>nicht betriebsnotwendig</w:t>
      </w:r>
      <w:r>
        <w:rPr>
          <w:rFonts w:ascii="Times New Roman" w:cs="Times New Roman" w:eastAsia="Times New Roman" w:hAnsi="Times New Roman"/>
          <w:sz w:val="20"/>
          <w:szCs w:val="20"/>
          <w:color w:val="auto"/>
        </w:rPr>
        <w:t>) and if through such realization, the amount which may be enforced pursuant to paragraph (a) above, can be increased, and,</w:t>
      </w:r>
    </w:p>
    <w:p>
      <w:pPr>
        <w:spacing w:after="0" w:line="172" w:lineRule="exact"/>
        <w:rPr>
          <w:rFonts w:ascii="Times New Roman" w:cs="Times New Roman" w:eastAsia="Times New Roman" w:hAnsi="Times New Roman"/>
          <w:sz w:val="20"/>
          <w:szCs w:val="20"/>
          <w:color w:val="auto"/>
        </w:rPr>
      </w:pPr>
    </w:p>
    <w:p>
      <w:pPr>
        <w:jc w:val="both"/>
        <w:ind w:left="660" w:firstLine="903"/>
        <w:spacing w:after="0" w:line="268" w:lineRule="auto"/>
        <w:tabs>
          <w:tab w:leader="none" w:pos="194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14.13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xml:space="preserve">.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14.14</w:t>
      </w:r>
      <w:r>
        <w:rPr>
          <w:sz w:val="20"/>
          <w:szCs w:val="20"/>
          <w:color w:val="auto"/>
        </w:rPr>
        <w:tab/>
      </w:r>
      <w:r>
        <w:rPr>
          <w:rFonts w:ascii="Times New Roman" w:cs="Times New Roman" w:eastAsia="Times New Roman" w:hAnsi="Times New Roman"/>
          <w:sz w:val="19"/>
          <w:szCs w:val="19"/>
          <w:u w:val="single" w:color="auto"/>
          <w:color w:val="auto"/>
        </w:rPr>
        <w:t>Executive Proceedings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65" w:lineRule="auto"/>
        <w:tabs>
          <w:tab w:leader="none" w:pos="1286"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January) (“</w:t>
      </w:r>
      <w:r>
        <w:rPr>
          <w:rFonts w:ascii="Times New Roman" w:cs="Times New Roman" w:eastAsia="Times New Roman" w:hAnsi="Times New Roman"/>
          <w:sz w:val="20"/>
          <w:szCs w:val="20"/>
          <w:i w:val="1"/>
          <w:iCs w:val="1"/>
          <w:color w:val="auto"/>
        </w:rPr>
        <w:t>Ley de Ejuiciamiento Civil</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Civil Procedural Law</w:t>
      </w:r>
      <w:r>
        <w:rPr>
          <w:rFonts w:ascii="Times New Roman" w:cs="Times New Roman" w:eastAsia="Times New Roman" w:hAnsi="Times New Roman"/>
          <w:sz w:val="20"/>
          <w:szCs w:val="20"/>
          <w:color w:val="auto"/>
        </w:rPr>
        <w:t>”).</w:t>
      </w:r>
    </w:p>
    <w:p>
      <w:pPr>
        <w:spacing w:after="0" w:line="9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enforcement, the sum payable by any Spanish Obligor shall be the total aggregate amount of the balance of the accounts maintained by the Administrative Agent (or the relevant Lender, as the case may be). For the purposes of Articles 517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of the Civil Procedural Law, the Credit Parties expressly agree that such balances shall be considered as due, liquid and payable and may be claimed pursuant to the same provisions of such law.</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 of the provisions of Art, 571,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of the Civil Procedural Law, it is expressly agreed by the Credit Parties that the 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191" w:lineRule="exact"/>
        <w:rPr>
          <w:rFonts w:ascii="Times New Roman" w:cs="Times New Roman" w:eastAsia="Times New Roman" w:hAnsi="Times New Roman"/>
          <w:sz w:val="20"/>
          <w:szCs w:val="20"/>
          <w:color w:val="auto"/>
        </w:rPr>
      </w:pPr>
    </w:p>
    <w:p>
      <w:pPr>
        <w:ind w:left="1940" w:hanging="377"/>
        <w:spacing w:after="0"/>
        <w:tabs>
          <w:tab w:leader="none" w:pos="1940"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original notarial first or authentic copy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266</w:t>
      </w:r>
    </w:p>
    <w:p>
      <w:pPr>
        <w:sectPr>
          <w:pgSz w:w="11900" w:h="16838" w:orient="portrait"/>
          <w:cols w:equalWidth="0" w:num="1">
            <w:col w:w="11240"/>
          </w:cols>
          <w:pgMar w:left="320" w:top="1413" w:right="339" w:bottom="1440" w:gutter="0" w:footer="0" w:header="0"/>
        </w:sectPr>
      </w:pPr>
    </w:p>
    <w:bookmarkStart w:id="394" w:name="page395"/>
    <w:bookmarkEnd w:id="394"/>
    <w:p>
      <w:pPr>
        <w:ind w:left="1940" w:hanging="377"/>
        <w:spacing w:after="0"/>
        <w:tabs>
          <w:tab w:leader="none" w:pos="1940"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notarial certificate, if necessary, for the purposes described in paragraph (d) below;</w:t>
      </w:r>
    </w:p>
    <w:p>
      <w:pPr>
        <w:spacing w:after="0" w:line="225" w:lineRule="exact"/>
        <w:rPr>
          <w:rFonts w:ascii="Times New Roman" w:cs="Times New Roman" w:eastAsia="Times New Roman" w:hAnsi="Times New Roman"/>
          <w:sz w:val="20"/>
          <w:szCs w:val="20"/>
          <w:color w:val="auto"/>
        </w:rPr>
      </w:pPr>
    </w:p>
    <w:p>
      <w:pPr>
        <w:jc w:val="both"/>
        <w:ind w:left="660" w:firstLine="903"/>
        <w:spacing w:after="0" w:line="254" w:lineRule="auto"/>
        <w:tabs>
          <w:tab w:leader="none" w:pos="1945"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notarial document (</w:t>
      </w:r>
      <w:r>
        <w:rPr>
          <w:rFonts w:ascii="Times New Roman" w:cs="Times New Roman" w:eastAsia="Times New Roman" w:hAnsi="Times New Roman"/>
          <w:sz w:val="20"/>
          <w:szCs w:val="20"/>
          <w:i w:val="1"/>
          <w:iCs w:val="1"/>
          <w:color w:val="auto"/>
        </w:rPr>
        <w:t>acta notarial</w:t>
      </w:r>
      <w:r>
        <w:rPr>
          <w:rFonts w:ascii="Times New Roman" w:cs="Times New Roman" w:eastAsia="Times New Roman" w:hAnsi="Times New Roman"/>
          <w:sz w:val="20"/>
          <w:szCs w:val="20"/>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187" w:lineRule="exact"/>
        <w:rPr>
          <w:rFonts w:ascii="Times New Roman" w:cs="Times New Roman" w:eastAsia="Times New Roman" w:hAnsi="Times New Roman"/>
          <w:sz w:val="20"/>
          <w:szCs w:val="20"/>
          <w:color w:val="auto"/>
        </w:rPr>
      </w:pPr>
    </w:p>
    <w:p>
      <w:pPr>
        <w:ind w:left="660" w:firstLine="903"/>
        <w:spacing w:after="0" w:line="273" w:lineRule="auto"/>
        <w:tabs>
          <w:tab w:leader="none" w:pos="1947"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notarial document (</w:t>
      </w:r>
      <w:r>
        <w:rPr>
          <w:rFonts w:ascii="Times New Roman" w:cs="Times New Roman" w:eastAsia="Times New Roman" w:hAnsi="Times New Roman"/>
          <w:sz w:val="20"/>
          <w:szCs w:val="20"/>
          <w:i w:val="1"/>
          <w:iCs w:val="1"/>
          <w:color w:val="auto"/>
        </w:rPr>
        <w:t>acta notarial</w:t>
      </w:r>
      <w:r>
        <w:rPr>
          <w:rFonts w:ascii="Times New Roman" w:cs="Times New Roman" w:eastAsia="Times New Roman" w:hAnsi="Times New Roman"/>
          <w:sz w:val="20"/>
          <w:szCs w:val="20"/>
          <w:color w:val="auto"/>
        </w:rPr>
        <w:t>) evidencing that the Spanish Obligor has been served notice of the amount that is due and payable.</w:t>
      </w:r>
    </w:p>
    <w:p>
      <w:pPr>
        <w:spacing w:after="0" w:line="16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balances so established shall be notified to the Spanish Obligor in an attestable manner at least three (3) days in advance of exercising the executive action set out in paragraph (c) above.</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14.15 </w:t>
      </w:r>
      <w:r>
        <w:rPr>
          <w:rFonts w:ascii="Times New Roman" w:cs="Times New Roman" w:eastAsia="Times New Roman" w:hAnsi="Times New Roman"/>
          <w:sz w:val="20"/>
          <w:szCs w:val="20"/>
          <w:u w:val="single" w:color="auto"/>
          <w:color w:val="auto"/>
        </w:rPr>
        <w:t>Spanish Public Document</w:t>
      </w:r>
      <w:r>
        <w:rPr>
          <w:rFonts w:ascii="Times New Roman" w:cs="Times New Roman" w:eastAsia="Times New Roman" w:hAnsi="Times New Roman"/>
          <w:sz w:val="20"/>
          <w:szCs w:val="20"/>
          <w:color w:val="auto"/>
        </w:rPr>
        <w:t>. Upon demand by the Administrative Agent or the Collateral Agents, each Spanish Obligor agrees to participate in the raising of this Agreement to the status of a Spanish Public Document (</w:t>
      </w:r>
      <w:r>
        <w:rPr>
          <w:rFonts w:ascii="Times New Roman" w:cs="Times New Roman" w:eastAsia="Times New Roman" w:hAnsi="Times New Roman"/>
          <w:sz w:val="20"/>
          <w:szCs w:val="20"/>
          <w:i w:val="1"/>
          <w:iCs w:val="1"/>
          <w:color w:val="auto"/>
        </w:rPr>
        <w:t>elevación a público</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14.16 </w:t>
      </w:r>
      <w:r>
        <w:rPr>
          <w:rFonts w:ascii="Times New Roman" w:cs="Times New Roman" w:eastAsia="Times New Roman" w:hAnsi="Times New Roman"/>
          <w:sz w:val="20"/>
          <w:szCs w:val="20"/>
          <w:u w:val="single" w:color="auto"/>
          <w:color w:val="auto"/>
        </w:rPr>
        <w:t>Guarantee of Each U.S. Borrower</w:t>
      </w:r>
      <w:r>
        <w:rPr>
          <w:rFonts w:ascii="Times New Roman" w:cs="Times New Roman" w:eastAsia="Times New Roman" w:hAnsi="Times New Roman"/>
          <w:sz w:val="20"/>
          <w:szCs w:val="20"/>
          <w:color w:val="auto"/>
        </w:rPr>
        <w:t xml:space="preserve">. 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U.S. Borrower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it will notify such Agent, the applicable Facing Agent and such Lender in writing that such payment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267</w:t>
      </w:r>
    </w:p>
    <w:p>
      <w:pPr>
        <w:sectPr>
          <w:pgSz w:w="11900" w:h="16838" w:orient="portrait"/>
          <w:cols w:equalWidth="0" w:num="1">
            <w:col w:w="11240"/>
          </w:cols>
          <w:pgMar w:left="320" w:top="1413" w:right="339" w:bottom="1440" w:gutter="0" w:footer="0" w:header="0"/>
        </w:sectPr>
      </w:pPr>
    </w:p>
    <w:bookmarkStart w:id="395" w:name="page396"/>
    <w:bookmarkEnd w:id="39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268</w:t>
      </w:r>
    </w:p>
    <w:p>
      <w:pPr>
        <w:sectPr>
          <w:pgSz w:w="11900" w:h="16838" w:orient="portrait"/>
          <w:cols w:equalWidth="0" w:num="1">
            <w:col w:w="11240"/>
          </w:cols>
          <w:pgMar w:left="320" w:top="1413" w:right="339" w:bottom="1440" w:gutter="0" w:footer="0" w:header="0"/>
        </w:sectPr>
      </w:pPr>
    </w:p>
    <w:bookmarkStart w:id="396" w:name="page397"/>
    <w:bookmarkEnd w:id="396"/>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officers thereunto duly authorized, as of the date first above written.</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AMERICAS LLC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CROWN EUROPEAN HOLDINGS S.A.</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HOLDINGS,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INTERNATIONAL HOLDINGS,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CROWN CORK &amp; SEAL COMPANY,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BUSINESS.32171861.3</w:t>
      </w:r>
    </w:p>
    <w:p>
      <w:pPr>
        <w:sectPr>
          <w:pgSz w:w="11900" w:h="16838" w:orient="portrait"/>
          <w:cols w:equalWidth="0" w:num="1">
            <w:col w:w="11240"/>
          </w:cols>
          <w:pgMar w:left="320" w:top="1413" w:right="339" w:bottom="1440" w:gutter="0" w:footer="0" w:header="0"/>
        </w:sectPr>
      </w:pPr>
    </w:p>
    <w:bookmarkStart w:id="397" w:name="page398"/>
    <w:bookmarkEnd w:id="397"/>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METAL PACKAGING CANADA LP</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by its general partner, </w:t>
      </w:r>
      <w:r>
        <w:rPr>
          <w:rFonts w:ascii="Times New Roman" w:cs="Times New Roman" w:eastAsia="Times New Roman" w:hAnsi="Times New Roman"/>
          <w:sz w:val="19"/>
          <w:szCs w:val="19"/>
          <w:b w:val="1"/>
          <w:bCs w:val="1"/>
          <w:color w:val="auto"/>
        </w:rPr>
        <w:t>CROWN METAL PACKAGING CANADA INC.</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BUSINESS.32171861.3</w:t>
      </w:r>
    </w:p>
    <w:p>
      <w:pPr>
        <w:sectPr>
          <w:pgSz w:w="11900" w:h="16838" w:orient="portrait"/>
          <w:cols w:equalWidth="0" w:num="1">
            <w:col w:w="9019"/>
          </w:cols>
          <w:pgMar w:left="1440" w:top="1440" w:right="1440" w:bottom="1440" w:gutter="0" w:footer="0" w:header="0"/>
        </w:sectPr>
      </w:pPr>
    </w:p>
    <w:bookmarkStart w:id="398" w:name="page399"/>
    <w:bookmarkEnd w:id="398"/>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CROWN UK HOLDINGS LIMITED</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2"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20"/>
          <w:szCs w:val="20"/>
          <w:b w:val="1"/>
          <w:bCs w:val="1"/>
          <w:color w:val="auto"/>
        </w:rPr>
        <w:t>CROWN CORK &amp; SEAL DEUTSCHLAND HOLDINGS GMBH</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VERPAKKING NEDERLAND B.V.</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BUSINESS.32171861.3</w:t>
      </w:r>
    </w:p>
    <w:p>
      <w:pPr>
        <w:sectPr>
          <w:pgSz w:w="11900" w:h="16838" w:orient="portrait"/>
          <w:cols w:equalWidth="0" w:num="1">
            <w:col w:w="9019"/>
          </w:cols>
          <w:pgMar w:left="1440" w:top="1440" w:right="1440" w:bottom="1440" w:gutter="0" w:footer="0" w:header="0"/>
        </w:sectPr>
      </w:pPr>
    </w:p>
    <w:bookmarkStart w:id="399" w:name="page400"/>
    <w:bookmarkEnd w:id="399"/>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DEUTSCHE BANK AG NEW YORK BRANCH</w:t>
      </w:r>
      <w:r>
        <w:rPr>
          <w:rFonts w:ascii="Times New Roman" w:cs="Times New Roman" w:eastAsia="Times New Roman" w:hAnsi="Times New Roman"/>
          <w:sz w:val="20"/>
          <w:szCs w:val="20"/>
          <w:color w:val="auto"/>
        </w:rPr>
        <w:t>, in its individual capacity and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U.S. Collateral Agent and Euro Collateral Agent</w:t>
      </w: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DEUTSCHE BANK AG LONDON BRANCH</w:t>
      </w:r>
      <w:r>
        <w:rPr>
          <w:rFonts w:ascii="Times New Roman" w:cs="Times New Roman" w:eastAsia="Times New Roman" w:hAnsi="Times New Roman"/>
          <w:sz w:val="20"/>
          <w:szCs w:val="20"/>
          <w:color w:val="auto"/>
        </w:rPr>
        <w:t>, as U.K. Administrative Agent</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BUSINESS.32171861.3</w:t>
      </w:r>
    </w:p>
    <w:p>
      <w:pPr>
        <w:sectPr>
          <w:pgSz w:w="11900" w:h="16838" w:orient="portrait"/>
          <w:cols w:equalWidth="0" w:num="1">
            <w:col w:w="9500"/>
          </w:cols>
          <w:pgMar w:left="1440" w:top="1409" w:right="959" w:bottom="1440" w:gutter="0" w:footer="0" w:header="0"/>
        </w:sectPr>
      </w:pPr>
    </w:p>
    <w:bookmarkStart w:id="400" w:name="page401"/>
    <w:bookmarkEnd w:id="400"/>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DEUTSCHE BANK AG CANADA BRANCH</w:t>
      </w:r>
      <w:r>
        <w:rPr>
          <w:rFonts w:ascii="Times New Roman" w:cs="Times New Roman" w:eastAsia="Times New Roman" w:hAnsi="Times New Roman"/>
          <w:sz w:val="20"/>
          <w:szCs w:val="20"/>
          <w:color w:val="auto"/>
        </w:rPr>
        <w:t>, as Canadian Administrative Agent</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BUSINESS.32171861.3</w:t>
      </w:r>
    </w:p>
    <w:p>
      <w:pPr>
        <w:sectPr>
          <w:pgSz w:w="11900" w:h="16838" w:orient="portrait"/>
          <w:cols w:equalWidth="0" w:num="1">
            <w:col w:w="9480"/>
          </w:cols>
          <w:pgMar w:left="1440" w:top="1440" w:right="979" w:bottom="1440" w:gutter="0" w:footer="0" w:header="0"/>
        </w:sectPr>
      </w:pPr>
    </w:p>
    <w:bookmarkStart w:id="401" w:name="page402"/>
    <w:bookmarkEnd w:id="401"/>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Crown Holdings, Inc.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Exhibit 21 - Subsidiaries of Registrant</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and Seal Receivables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Receivables III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Investment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Crownway Insurance Company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Vermont</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Australia Pty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Australia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(Barbados)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Barbados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Belgium BVBA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Verpakking België NV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Belgium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Hanoi Investment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Bermuda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Brasil Holdings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bl>
    <w:p>
      <w:pPr>
        <w:sectPr>
          <w:pgSz w:w="11900" w:h="16838" w:orient="portrait"/>
          <w:cols w:equalWidth="0" w:num="1">
            <w:col w:w="11060"/>
          </w:cols>
          <w:pgMar w:left="420" w:top="758" w:right="419" w:bottom="1440" w:gutter="0" w:footer="0" w:header="0"/>
        </w:sectPr>
      </w:pPr>
    </w:p>
    <w:bookmarkStart w:id="402" w:name="page403"/>
    <w:bookmarkEnd w:id="4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Embalagens Métalicas da Amazonia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Brasil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Bulgaria EOOD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Bulgaria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(Cambodia)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Sihanoukville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Khmer Beverage Cans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LP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Canada ULC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CMB Machinery and Technology (Shanghai)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Hangzhou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Heshan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Huizhou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Putian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Ziyang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Continental Can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Crown Easy-Opening End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(Qingdao)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Colombiana,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Colombia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Denmark ApS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Denmark</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Finland Oy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Finland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Butimove</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Developpement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European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Services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Société Civile Immobilière des Baquets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Societe Civile Immobiliere Rousseau-Ivry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France Holdings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Deutschland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Mezger Heftsysteme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System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SMP Schwede Maschinenbau Weischlitz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Germany Service Management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Systems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Hellas Can Packaging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Greece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403" w:name="page404"/>
    <w:bookmarkEnd w:id="4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China Holdings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(H.K.)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Services Hungary Kft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Hungary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India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Beverage Cans Indonesia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Indonesia Trading</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Ireland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Ireland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Italia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Strapex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Jamaica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Jamaica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Japan K.K.</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Middle East Can Manufacturing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Jordan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Kenya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Kenya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Lux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Luxembourg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Industrial Packaging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Envases Mexico,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Famosa,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Fabricas Monterrey,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Mexico, S. de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 Del Istmo,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Silices De Veracruz, S.A. DE C.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De Mexico S. de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Vichisa,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Myanmar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Myanmar</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Packaging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New Zealand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New Zealand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Norway 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Norway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Poland sp. Z.o.o.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Portugal LDA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Portugal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Arabia Can Company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Saudi Arabia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Asia Pacific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Speciality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404" w:name="page405"/>
    <w:bookmarkEnd w:id="4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Investments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Multi-Packaging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Korea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South Korea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Espana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de Envases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Iberia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Josef Kihlberg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Switzerland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AP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and Closures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(Hat Yai)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(Nakhon Pathom)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 Packaging (Thailand) Public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TCP Beverage Cans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Pet Containers (Thailand)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(Thailand)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Trinidad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Trinidad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Maghreb Can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6"/>
              </w:rPr>
              <w:t>Tunisia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Türkiye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Form Koruyucu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Emirates Company Limited</w:t>
            </w:r>
          </w:p>
        </w:tc>
        <w:tc>
          <w:tcPr>
            <w:tcW w:w="31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United Arab Emirates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Engineering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Group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Overseas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Commercial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Distribution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Services EMEA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405" w:name="page406"/>
    <w:bookmarkEnd w:id="4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UK Holdings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CardnaudMetalbox Mec-A-Tec Services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Danang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(Dong Nai)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Hanoi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Saigon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Vung Tau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hanging="308"/>
        <w:spacing w:after="0"/>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includes only consolidated subsidiaries which are directly owned or indirectly owned by the Registrant.</w:t>
      </w:r>
    </w:p>
    <w:p>
      <w:pPr>
        <w:spacing w:after="0" w:line="27" w:lineRule="exact"/>
        <w:rPr>
          <w:rFonts w:ascii="Times New Roman" w:cs="Times New Roman" w:eastAsia="Times New Roman" w:hAnsi="Times New Roman"/>
          <w:sz w:val="18"/>
          <w:szCs w:val="18"/>
          <w:color w:val="auto"/>
        </w:rPr>
      </w:pPr>
    </w:p>
    <w:p>
      <w:pPr>
        <w:ind w:left="560" w:hanging="328"/>
        <w:spacing w:after="0" w:line="255" w:lineRule="auto"/>
        <w:tabs>
          <w:tab w:leader="none" w:pos="55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1100"/>
          </w:cols>
          <w:pgMar w:left="420" w:top="794" w:right="379" w:bottom="1440" w:gutter="0" w:footer="0" w:header="0"/>
        </w:sectPr>
      </w:pPr>
    </w:p>
    <w:bookmarkStart w:id="406" w:name="page407"/>
    <w:bookmarkEnd w:id="406"/>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December 31, 2024,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December 31, 2024,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35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560"/>
        <w:spacing w:after="0" w:line="257" w:lineRule="auto"/>
        <w:rPr>
          <w:sz w:val="20"/>
          <w:szCs w:val="20"/>
          <w:color w:val="auto"/>
        </w:rPr>
      </w:pPr>
      <w:r>
        <w:rPr>
          <w:rFonts w:ascii="Georgia" w:cs="Georgia" w:eastAsia="Georgia" w:hAnsi="Georgia"/>
          <w:sz w:val="17"/>
          <w:szCs w:val="17"/>
          <w:color w:val="auto"/>
        </w:rPr>
        <w:t>We hereby consent to the incorporation by reference in the Registration Statements on Form S-8 (Nos. 333- 188568, 333-166764, 333-140991, 333-230008, and 333-268351) of Crown Holdings, Inc. of our report dated March 3, 2025 relating to the financial statements</w:t>
      </w:r>
      <w:r>
        <w:rPr>
          <w:rFonts w:ascii="Georgia" w:cs="Georgia" w:eastAsia="Georgia" w:hAnsi="Georgia"/>
          <w:sz w:val="17"/>
          <w:szCs w:val="17"/>
          <w:b w:val="1"/>
          <w:bCs w:val="1"/>
          <w:color w:val="auto"/>
        </w:rPr>
        <w:t>,</w:t>
      </w:r>
      <w:r>
        <w:rPr>
          <w:rFonts w:ascii="Georgia" w:cs="Georgia" w:eastAsia="Georgia" w:hAnsi="Georgia"/>
          <w:sz w:val="17"/>
          <w:szCs w:val="17"/>
          <w:color w:val="auto"/>
        </w:rPr>
        <w:t xml:space="preserve"> financial statement schedule and the effectiveness of internal control over financial reporting, which appears in this Form 10-K.</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8" w:lineRule="auto"/>
        <w:rPr>
          <w:sz w:val="20"/>
          <w:szCs w:val="20"/>
          <w:color w:val="auto"/>
        </w:rPr>
      </w:pPr>
      <w:r>
        <w:rPr>
          <w:rFonts w:ascii="Georgia" w:cs="Georgia" w:eastAsia="Georgia" w:hAnsi="Georgia"/>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March 3, 2025</w:t>
      </w:r>
    </w:p>
    <w:p>
      <w:pPr>
        <w:sectPr>
          <w:pgSz w:w="11900" w:h="16838" w:orient="portrait"/>
          <w:cols w:equalWidth="0" w:num="1">
            <w:col w:w="11240"/>
          </w:cols>
          <w:pgMar w:left="320" w:top="1134" w:right="339" w:bottom="1440" w:gutter="0" w:footer="0" w:header="0"/>
        </w:sectPr>
      </w:pPr>
    </w:p>
    <w:bookmarkStart w:id="408" w:name="page409"/>
    <w:bookmarkEnd w:id="40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 Donahue,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3, 2025</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409" w:name="page410"/>
    <w:bookmarkEnd w:id="40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Clothier,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3, 2025</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9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of Crown Holdings, Inc. (the “Company”) on Form 10-K for the period ending December 31, 2024 (the “Report”), each of the undersigned officers certify, pursuant to 18 U.S.C. § 1350, as adopted pursuant to § 906 of the Sarbanes-Oxley Act of 2002, that:</w:t>
      </w:r>
    </w:p>
    <w:p>
      <w:pPr>
        <w:spacing w:after="0" w:line="27" w:lineRule="exact"/>
        <w:rPr>
          <w:sz w:val="20"/>
          <w:szCs w:val="20"/>
          <w:color w:val="auto"/>
        </w:rPr>
      </w:pPr>
    </w:p>
    <w:p>
      <w:pPr>
        <w:ind w:left="260" w:hanging="252"/>
        <w:spacing w:after="0"/>
        <w:tabs>
          <w:tab w:leader="none" w:pos="2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position and results of operations of the Company.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3, 2025</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3, 2025</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B13A31"/>
    <w:multiLevelType w:val="hybridMultilevel"/>
    <w:lvl w:ilvl="0">
      <w:lvlJc w:val="left"/>
      <w:lvlText w:val="☒"/>
      <w:numFmt w:val="bullet"/>
      <w:start w:val="1"/>
    </w:lvl>
  </w:abstractNum>
  <w:abstractNum w:abstractNumId="1">
    <w:nsid w:val="64429599"/>
    <w:multiLevelType w:val="hybridMultilevel"/>
    <w:lvl w:ilvl="0">
      <w:lvlJc w:val="left"/>
      <w:lvlText w:val="☐"/>
      <w:numFmt w:val="bullet"/>
      <w:start w:val="1"/>
    </w:lvl>
  </w:abstractNum>
  <w:abstractNum w:abstractNumId="2">
    <w:nsid w:val="631F1690"/>
    <w:multiLevelType w:val="hybridMultilevel"/>
    <w:lvl w:ilvl="0">
      <w:lvlJc w:val="left"/>
      <w:lvlText w:val="•"/>
      <w:numFmt w:val="bullet"/>
      <w:start w:val="1"/>
    </w:lvl>
  </w:abstractNum>
  <w:abstractNum w:abstractNumId="3">
    <w:nsid w:val="25973E32"/>
    <w:multiLevelType w:val="hybridMultilevel"/>
    <w:lvl w:ilvl="0">
      <w:lvlJc w:val="left"/>
      <w:lvlText w:val="•"/>
      <w:numFmt w:val="bullet"/>
      <w:start w:val="1"/>
    </w:lvl>
  </w:abstractNum>
  <w:abstractNum w:abstractNumId="4">
    <w:nsid w:val="EAD6F57"/>
    <w:multiLevelType w:val="hybridMultilevel"/>
    <w:lvl w:ilvl="0">
      <w:lvlJc w:val="left"/>
      <w:lvlText w:val="•"/>
      <w:numFmt w:val="bullet"/>
      <w:start w:val="1"/>
    </w:lvl>
  </w:abstractNum>
  <w:abstractNum w:abstractNumId="5">
    <w:nsid w:val="6EC9D844"/>
    <w:multiLevelType w:val="hybridMultilevel"/>
    <w:lvl w:ilvl="0">
      <w:lvlJc w:val="left"/>
      <w:lvlText w:val="•"/>
      <w:numFmt w:val="bullet"/>
      <w:start w:val="1"/>
    </w:lvl>
  </w:abstractNum>
  <w:abstractNum w:abstractNumId="6">
    <w:nsid w:val="5C49EAEE"/>
    <w:multiLevelType w:val="hybridMultilevel"/>
    <w:lvl w:ilvl="0">
      <w:lvlJc w:val="left"/>
      <w:lvlText w:val="•"/>
      <w:numFmt w:val="bullet"/>
      <w:start w:val="1"/>
    </w:lvl>
  </w:abstractNum>
  <w:abstractNum w:abstractNumId="7">
    <w:nsid w:val="64AF49B"/>
    <w:multiLevelType w:val="hybridMultilevel"/>
    <w:lvl w:ilvl="0">
      <w:lvlJc w:val="left"/>
      <w:lvlText w:val="•"/>
      <w:numFmt w:val="bullet"/>
      <w:start w:val="1"/>
    </w:lvl>
  </w:abstractNum>
  <w:abstractNum w:abstractNumId="8">
    <w:nsid w:val="397C46BC"/>
    <w:multiLevelType w:val="hybridMultilevel"/>
    <w:lvl w:ilvl="0">
      <w:lvlJc w:val="left"/>
      <w:lvlText w:val="•"/>
      <w:numFmt w:val="bullet"/>
      <w:start w:val="1"/>
    </w:lvl>
  </w:abstractNum>
  <w:abstractNum w:abstractNumId="9">
    <w:nsid w:val="7E448DE9"/>
    <w:multiLevelType w:val="hybridMultilevel"/>
    <w:lvl w:ilvl="0">
      <w:lvlJc w:val="left"/>
      <w:lvlText w:val="%1:"/>
      <w:numFmt w:val="upperLetter"/>
      <w:start w:val="16"/>
    </w:lvl>
  </w:abstractNum>
  <w:abstractNum w:abstractNumId="10">
    <w:nsid w:val="5A9CC3E5"/>
    <w:multiLevelType w:val="hybridMultilevel"/>
    <w:lvl w:ilvl="0">
      <w:lvlJc w:val="left"/>
      <w:lvlText w:val="%1:"/>
      <w:numFmt w:val="upperLetter"/>
      <w:start w:val="19"/>
    </w:lvl>
  </w:abstractNum>
  <w:abstractNum w:abstractNumId="11">
    <w:nsid w:val="1AFE3625"/>
    <w:multiLevelType w:val="hybridMultilevel"/>
    <w:lvl w:ilvl="0">
      <w:lvlJc w:val="left"/>
      <w:lvlText w:val="(%1)"/>
      <w:numFmt w:val="decimal"/>
      <w:start w:val="1"/>
    </w:lvl>
  </w:abstractNum>
  <w:abstractNum w:abstractNumId="12">
    <w:nsid w:val="3CA88ECF"/>
    <w:multiLevelType w:val="hybridMultilevel"/>
    <w:lvl w:ilvl="0">
      <w:lvlJc w:val="left"/>
      <w:lvlText w:val="(%1)"/>
      <w:numFmt w:val="lowerLetter"/>
      <w:start w:val="1"/>
    </w:lvl>
  </w:abstractNum>
  <w:abstractNum w:abstractNumId="13">
    <w:nsid w:val="6EBE4208"/>
    <w:multiLevelType w:val="hybridMultilevel"/>
    <w:lvl w:ilvl="0">
      <w:lvlJc w:val="left"/>
      <w:lvlText w:val="(%1)"/>
      <w:numFmt w:val="decimal"/>
      <w:start w:val="1"/>
    </w:lvl>
  </w:abstractNum>
  <w:abstractNum w:abstractNumId="14">
    <w:nsid w:val="C058DF5"/>
    <w:multiLevelType w:val="hybridMultilevel"/>
    <w:lvl w:ilvl="0">
      <w:lvlJc w:val="left"/>
      <w:lvlText w:val="•"/>
      <w:numFmt w:val="bullet"/>
      <w:start w:val="1"/>
    </w:lvl>
  </w:abstractNum>
  <w:abstractNum w:abstractNumId="15">
    <w:nsid w:val="CBE5BE9"/>
    <w:multiLevelType w:val="hybridMultilevel"/>
    <w:lvl w:ilvl="0">
      <w:lvlJc w:val="left"/>
      <w:lvlText w:val="•"/>
      <w:numFmt w:val="bullet"/>
      <w:start w:val="1"/>
    </w:lvl>
  </w:abstractNum>
  <w:abstractNum w:abstractNumId="16">
    <w:nsid w:val="3102BBE2"/>
    <w:multiLevelType w:val="hybridMultilevel"/>
    <w:lvl w:ilvl="0">
      <w:lvlJc w:val="left"/>
      <w:lvlText w:val="(%1)"/>
      <w:numFmt w:val="decimal"/>
      <w:start w:val="1"/>
    </w:lvl>
  </w:abstractNum>
  <w:abstractNum w:abstractNumId="17">
    <w:nsid w:val="26A02C5E"/>
    <w:multiLevelType w:val="hybridMultilevel"/>
    <w:lvl w:ilvl="0">
      <w:lvlJc w:val="left"/>
      <w:lvlText w:val="(%1)"/>
      <w:numFmt w:val="decimal"/>
      <w:start w:val="1"/>
    </w:lvl>
  </w:abstractNum>
  <w:abstractNum w:abstractNumId="18">
    <w:nsid w:val="541C8153"/>
    <w:multiLevelType w:val="hybridMultilevel"/>
    <w:lvl w:ilvl="0">
      <w:lvlJc w:val="left"/>
      <w:lvlText w:val="•"/>
      <w:numFmt w:val="bullet"/>
      <w:start w:val="1"/>
    </w:lvl>
  </w:abstractNum>
  <w:abstractNum w:abstractNumId="19">
    <w:nsid w:val="67906F60"/>
    <w:multiLevelType w:val="hybridMultilevel"/>
    <w:lvl w:ilvl="0">
      <w:lvlJc w:val="left"/>
      <w:lvlText w:val="(%1)"/>
      <w:numFmt w:val="decimal"/>
      <w:start w:val="1"/>
    </w:lvl>
  </w:abstractNum>
  <w:abstractNum w:abstractNumId="20">
    <w:nsid w:val="10DB9DAA"/>
    <w:multiLevelType w:val="hybridMultilevel"/>
    <w:lvl w:ilvl="0">
      <w:lvlJc w:val="left"/>
      <w:lvlText w:val="%1)"/>
      <w:numFmt w:val="lowerLetter"/>
      <w:start w:val="1"/>
    </w:lvl>
    <w:lvl w:ilvl="1">
      <w:lvlJc w:val="left"/>
      <w:lvlText w:val="(%2)"/>
      <w:numFmt w:val="decimal"/>
      <w:start w:val="1"/>
    </w:lvl>
  </w:abstractNum>
  <w:abstractNum w:abstractNumId="21">
    <w:nsid w:val="697D2D2"/>
    <w:multiLevelType w:val="hybridMultilevel"/>
    <w:lvl w:ilvl="0">
      <w:lvlJc w:val="left"/>
      <w:lvlText w:val="(%1)"/>
      <w:numFmt w:val="decimal"/>
      <w:start w:val="3"/>
    </w:lvl>
  </w:abstractNum>
  <w:abstractNum w:abstractNumId="22">
    <w:nsid w:val="6D68AB2"/>
    <w:multiLevelType w:val="hybridMultilevel"/>
    <w:lvl w:ilvl="0">
      <w:lvlJc w:val="left"/>
      <w:lvlText w:val="%1."/>
      <w:numFmt w:val="decimal"/>
      <w:start w:val="4"/>
    </w:lvl>
  </w:abstractNum>
  <w:abstractNum w:abstractNumId="23">
    <w:nsid w:val="3A966CD0"/>
    <w:multiLevelType w:val="hybridMultilevel"/>
    <w:lvl w:ilvl="0">
      <w:lvlJc w:val="left"/>
      <w:lvlText w:val="%1."/>
      <w:numFmt w:val="decimal"/>
      <w:start w:val="4"/>
    </w:lvl>
  </w:abstractNum>
  <w:abstractNum w:abstractNumId="24">
    <w:nsid w:val="63F37E85"/>
    <w:multiLevelType w:val="hybridMultilevel"/>
    <w:lvl w:ilvl="0">
      <w:lvlJc w:val="left"/>
      <w:lvlText w:val="%1."/>
      <w:numFmt w:val="decimal"/>
      <w:start w:val="4"/>
    </w:lvl>
  </w:abstractNum>
  <w:abstractNum w:abstractNumId="25">
    <w:nsid w:val="5895F5FA"/>
    <w:multiLevelType w:val="hybridMultilevel"/>
    <w:lvl w:ilvl="0">
      <w:lvlJc w:val="left"/>
      <w:lvlText w:val="&amp;"/>
      <w:numFmt w:val="bullet"/>
      <w:start w:val="1"/>
    </w:lvl>
  </w:abstractNum>
  <w:abstractNum w:abstractNumId="26">
    <w:nsid w:val="38A5D054"/>
    <w:multiLevelType w:val="hybridMultilevel"/>
    <w:lvl w:ilvl="0">
      <w:lvlJc w:val="left"/>
      <w:lvlText w:val="(%1)"/>
      <w:numFmt w:val="decimal"/>
      <w:start w:val="1"/>
    </w:lvl>
  </w:abstractNum>
  <w:abstractNum w:abstractNumId="27">
    <w:nsid w:val="F3F09D8"/>
    <w:multiLevelType w:val="hybridMultilevel"/>
    <w:lvl w:ilvl="0">
      <w:lvlJc w:val="left"/>
      <w:lvlText w:val="(%1)"/>
      <w:numFmt w:val="decimal"/>
      <w:start w:val="4"/>
    </w:lvl>
  </w:abstractNum>
  <w:abstractNum w:abstractNumId="28">
    <w:nsid w:val="4B793735"/>
    <w:multiLevelType w:val="hybridMultilevel"/>
    <w:lvl w:ilvl="0">
      <w:lvlJc w:val="left"/>
      <w:lvlText w:val="(%1)"/>
      <w:numFmt w:val="decimal"/>
      <w:start w:val="1"/>
    </w:lvl>
  </w:abstractNum>
  <w:abstractNum w:abstractNumId="29">
    <w:nsid w:val="4A10B4E8"/>
    <w:multiLevelType w:val="hybridMultilevel"/>
    <w:lvl w:ilvl="0">
      <w:lvlJc w:val="left"/>
      <w:lvlText w:val="%1"/>
      <w:numFmt w:val="decimal"/>
      <w:start w:val="21"/>
    </w:lvl>
  </w:abstractNum>
  <w:abstractNum w:abstractNumId="30">
    <w:nsid w:val="43D3BCD4"/>
    <w:multiLevelType w:val="hybridMultilevel"/>
    <w:lvl w:ilvl="0">
      <w:lvlJc w:val="left"/>
      <w:lvlText w:val="%1"/>
      <w:numFmt w:val="decimal"/>
      <w:start w:val="32"/>
    </w:lvl>
    <w:lvl w:ilvl="1">
      <w:lvlJc w:val="left"/>
      <w:lvlText w:val="%2"/>
      <w:numFmt w:val="upperLetter"/>
      <w:start w:val="1"/>
    </w:lvl>
  </w:abstractNum>
  <w:abstractNum w:abstractNumId="31">
    <w:nsid w:val="4C2A7166"/>
    <w:multiLevelType w:val="hybridMultilevel"/>
    <w:lvl w:ilvl="0">
      <w:lvlJc w:val="left"/>
      <w:lvlText w:val="%1"/>
      <w:numFmt w:val="decimal"/>
      <w:start w:val="97"/>
    </w:lvl>
  </w:abstractNum>
  <w:abstractNum w:abstractNumId="32">
    <w:nsid w:val="2E534A82"/>
    <w:multiLevelType w:val="hybridMultilevel"/>
    <w:lvl w:ilvl="0">
      <w:lvlJc w:val="left"/>
      <w:lvlText w:val="%1"/>
      <w:numFmt w:val="decimal"/>
      <w:start w:val="101"/>
    </w:lvl>
  </w:abstractNum>
  <w:abstractNum w:abstractNumId="33">
    <w:nsid w:val="26F2D364"/>
    <w:multiLevelType w:val="hybridMultilevel"/>
    <w:lvl w:ilvl="0">
      <w:lvlJc w:val="left"/>
      <w:lvlText w:val="%1"/>
      <w:numFmt w:val="decimal"/>
      <w:start w:val="104"/>
    </w:lvl>
  </w:abstractNum>
  <w:abstractNum w:abstractNumId="34">
    <w:nsid w:val="71C1AF98"/>
    <w:multiLevelType w:val="hybridMultilevel"/>
    <w:lvl w:ilvl="0">
      <w:lvlJc w:val="left"/>
      <w:lvlText w:val="(%1)"/>
      <w:numFmt w:val="lowerLetter"/>
      <w:start w:val="1"/>
    </w:lvl>
  </w:abstractNum>
  <w:abstractNum w:abstractNumId="35">
    <w:nsid w:val="3D00B9D9"/>
    <w:multiLevelType w:val="hybridMultilevel"/>
    <w:lvl w:ilvl="0">
      <w:lvlJc w:val="left"/>
      <w:lvlText w:val="(%1)"/>
      <w:numFmt w:val="lowerLetter"/>
      <w:start w:val="1"/>
    </w:lvl>
  </w:abstractNum>
  <w:abstractNum w:abstractNumId="36">
    <w:nsid w:val="15BCABA8"/>
    <w:multiLevelType w:val="hybridMultilevel"/>
    <w:lvl w:ilvl="0">
      <w:lvlJc w:val="left"/>
      <w:lvlText w:val="(%1)"/>
      <w:numFmt w:val="lowerLetter"/>
      <w:start w:val="4"/>
    </w:lvl>
  </w:abstractNum>
  <w:abstractNum w:abstractNumId="37">
    <w:nsid w:val="4E0B9A87"/>
    <w:multiLevelType w:val="hybridMultilevel"/>
    <w:lvl w:ilvl="0">
      <w:lvlJc w:val="left"/>
      <w:lvlText w:val="(%1)"/>
      <w:numFmt w:val="lowerRoman"/>
      <w:start w:val="2"/>
    </w:lvl>
  </w:abstractNum>
  <w:abstractNum w:abstractNumId="38">
    <w:nsid w:val="434BAE75"/>
    <w:multiLevelType w:val="hybridMultilevel"/>
    <w:lvl w:ilvl="0">
      <w:lvlJc w:val="left"/>
      <w:lvlText w:val="(%1)"/>
      <w:numFmt w:val="lowerLetter"/>
      <w:start w:val="2"/>
    </w:lvl>
  </w:abstractNum>
  <w:abstractNum w:abstractNumId="39">
    <w:nsid w:val="4F38F265"/>
    <w:multiLevelType w:val="hybridMultilevel"/>
    <w:lvl w:ilvl="0">
      <w:lvlJc w:val="left"/>
      <w:lvlText w:val="(%1)"/>
      <w:numFmt w:val="lowerLetter"/>
      <w:start w:val="1"/>
    </w:lvl>
  </w:abstractNum>
  <w:abstractNum w:abstractNumId="40">
    <w:nsid w:val="4C502870"/>
    <w:multiLevelType w:val="hybridMultilevel"/>
    <w:lvl w:ilvl="0">
      <w:lvlJc w:val="left"/>
      <w:lvlText w:val="(%1)"/>
      <w:numFmt w:val="lowerLetter"/>
      <w:start w:val="2"/>
    </w:lvl>
  </w:abstractNum>
  <w:abstractNum w:abstractNumId="41">
    <w:nsid w:val="1DE8725A"/>
    <w:multiLevelType w:val="hybridMultilevel"/>
    <w:lvl w:ilvl="0">
      <w:lvlJc w:val="left"/>
      <w:lvlText w:val="(%1)"/>
      <w:numFmt w:val="lowerRoman"/>
      <w:start w:val="2"/>
    </w:lvl>
  </w:abstractNum>
  <w:abstractNum w:abstractNumId="42">
    <w:nsid w:val="6A37288A"/>
    <w:multiLevelType w:val="hybridMultilevel"/>
    <w:lvl w:ilvl="0">
      <w:lvlJc w:val="left"/>
      <w:lvlText w:val="1"/>
      <w:numFmt w:val="bullet"/>
      <w:start w:val="1"/>
    </w:lvl>
  </w:abstractNum>
  <w:abstractNum w:abstractNumId="43">
    <w:nsid w:val="8F8B73F"/>
    <w:multiLevelType w:val="hybridMultilevel"/>
    <w:lvl w:ilvl="0">
      <w:lvlJc w:val="left"/>
      <w:lvlText w:val="&amp;"/>
      <w:numFmt w:val="bullet"/>
      <w:start w:val="1"/>
    </w:lvl>
  </w:abstractNum>
  <w:abstractNum w:abstractNumId="44">
    <w:nsid w:val="CA6B462"/>
    <w:multiLevelType w:val="hybridMultilevel"/>
    <w:lvl w:ilvl="0">
      <w:lvlJc w:val="left"/>
      <w:lvlText w:val="(%1)"/>
      <w:numFmt w:val="lowerLetter"/>
      <w:start w:val="1"/>
    </w:lvl>
  </w:abstractNum>
  <w:abstractNum w:abstractNumId="45">
    <w:nsid w:val="763CB680"/>
    <w:multiLevelType w:val="hybridMultilevel"/>
    <w:lvl w:ilvl="0">
      <w:lvlJc w:val="left"/>
      <w:lvlText w:val="(%1)"/>
      <w:numFmt w:val="lowerLetter"/>
      <w:start w:val="1"/>
    </w:lvl>
  </w:abstractNum>
  <w:abstractNum w:abstractNumId="46">
    <w:nsid w:val="15B71329"/>
    <w:multiLevelType w:val="hybridMultilevel"/>
    <w:lvl w:ilvl="0">
      <w:lvlJc w:val="left"/>
      <w:lvlText w:val="(%1)"/>
      <w:numFmt w:val="lowerLetter"/>
      <w:start w:val="1"/>
    </w:lvl>
  </w:abstractNum>
  <w:abstractNum w:abstractNumId="47">
    <w:nsid w:val="3DA97044"/>
    <w:multiLevelType w:val="hybridMultilevel"/>
    <w:lvl w:ilvl="0">
      <w:lvlJc w:val="left"/>
      <w:lvlText w:val="(%1)"/>
      <w:numFmt w:val="lowerLetter"/>
      <w:start w:val="1"/>
    </w:lvl>
  </w:abstractNum>
  <w:abstractNum w:abstractNumId="48">
    <w:nsid w:val="1CDCE2DE"/>
    <w:multiLevelType w:val="hybridMultilevel"/>
    <w:lvl w:ilvl="0">
      <w:lvlJc w:val="left"/>
      <w:lvlText w:val="(%1)"/>
      <w:numFmt w:val="lowerLetter"/>
      <w:start w:val="2"/>
    </w:lvl>
  </w:abstractNum>
  <w:abstractNum w:abstractNumId="49">
    <w:nsid w:val="69D3947C"/>
    <w:multiLevelType w:val="hybridMultilevel"/>
    <w:lvl w:ilvl="0">
      <w:lvlJc w:val="left"/>
      <w:lvlText w:val="(%1)"/>
      <w:numFmt w:val="lowerRoman"/>
      <w:start w:val="1"/>
    </w:lvl>
  </w:abstractNum>
  <w:abstractNum w:abstractNumId="50">
    <w:nsid w:val="2539DFA5"/>
    <w:multiLevelType w:val="hybridMultilevel"/>
    <w:lvl w:ilvl="0">
      <w:lvlJc w:val="left"/>
      <w:lvlText w:val="(%1)"/>
      <w:numFmt w:val="lowerLetter"/>
      <w:start w:val="2"/>
    </w:lvl>
  </w:abstractNum>
  <w:abstractNum w:abstractNumId="51">
    <w:nsid w:val="2DB88089"/>
    <w:multiLevelType w:val="hybridMultilevel"/>
    <w:lvl w:ilvl="0">
      <w:lvlJc w:val="left"/>
      <w:lvlText w:val="(%1)"/>
      <w:numFmt w:val="lowerLetter"/>
      <w:start w:val="1"/>
    </w:lvl>
  </w:abstractNum>
  <w:abstractNum w:abstractNumId="52">
    <w:nsid w:val="706B674E"/>
    <w:multiLevelType w:val="hybridMultilevel"/>
    <w:lvl w:ilvl="0">
      <w:lvlJc w:val="left"/>
      <w:lvlText w:val="(%1)"/>
      <w:numFmt w:val="decimal"/>
      <w:start w:val="1"/>
    </w:lvl>
  </w:abstractNum>
  <w:abstractNum w:abstractNumId="53">
    <w:nsid w:val="2C106A57"/>
    <w:multiLevelType w:val="hybridMultilevel"/>
    <w:lvl w:ilvl="0">
      <w:lvlJc w:val="left"/>
      <w:lvlText w:val="(%1)"/>
      <w:numFmt w:val="decimal"/>
      <w:start w:val="2"/>
    </w:lvl>
  </w:abstractNum>
  <w:abstractNum w:abstractNumId="54">
    <w:nsid w:val="684EED59"/>
    <w:multiLevelType w:val="hybridMultilevel"/>
    <w:lvl w:ilvl="0">
      <w:lvlJc w:val="left"/>
      <w:lvlText w:val="(%1)"/>
      <w:numFmt w:val="lowerRoman"/>
      <w:start w:val="1"/>
    </w:lvl>
  </w:abstractNum>
  <w:abstractNum w:abstractNumId="55">
    <w:nsid w:val="545EE5D3"/>
    <w:multiLevelType w:val="hybridMultilevel"/>
    <w:lvl w:ilvl="0">
      <w:lvlJc w:val="left"/>
      <w:lvlText w:val="(%1)"/>
      <w:numFmt w:val="upperLetter"/>
      <w:start w:val="2"/>
    </w:lvl>
    <w:lvl w:ilvl="1">
      <w:lvlJc w:val="left"/>
      <w:lvlText w:val="(%2)"/>
      <w:numFmt w:val="lowerRoman"/>
      <w:start w:val="3"/>
    </w:lvl>
  </w:abstractNum>
  <w:abstractNum w:abstractNumId="56">
    <w:nsid w:val="4A66051"/>
    <w:multiLevelType w:val="hybridMultilevel"/>
    <w:lvl w:ilvl="0">
      <w:lvlJc w:val="left"/>
      <w:lvlText w:val="(%1)"/>
      <w:numFmt w:val="lowerRoman"/>
      <w:start w:val="1"/>
    </w:lvl>
  </w:abstractNum>
  <w:abstractNum w:abstractNumId="57">
    <w:nsid w:val="20F4BDAD"/>
    <w:multiLevelType w:val="hybridMultilevel"/>
    <w:lvl w:ilvl="0">
      <w:lvlJc w:val="left"/>
      <w:lvlText w:val="(%1)"/>
      <w:numFmt w:val="lowerLetter"/>
      <w:start w:val="1"/>
    </w:lvl>
  </w:abstractNum>
  <w:abstractNum w:abstractNumId="58">
    <w:nsid w:val="639DEFAC"/>
    <w:multiLevelType w:val="hybridMultilevel"/>
    <w:lvl w:ilvl="0">
      <w:lvlJc w:val="left"/>
      <w:lvlText w:val="(%1)"/>
      <w:numFmt w:val="lowerLetter"/>
      <w:start w:val="1"/>
    </w:lvl>
  </w:abstractNum>
  <w:abstractNum w:abstractNumId="59">
    <w:nsid w:val="501F9786"/>
    <w:multiLevelType w:val="hybridMultilevel"/>
    <w:lvl w:ilvl="0">
      <w:lvlJc w:val="left"/>
      <w:lvlText w:val="(%1)"/>
      <w:numFmt w:val="lowerLetter"/>
      <w:start w:val="3"/>
    </w:lvl>
  </w:abstractNum>
  <w:abstractNum w:abstractNumId="60">
    <w:nsid w:val="6B057295"/>
    <w:multiLevelType w:val="hybridMultilevel"/>
    <w:lvl w:ilvl="0">
      <w:lvlJc w:val="left"/>
      <w:lvlText w:val="(%1)"/>
      <w:numFmt w:val="lowerLetter"/>
      <w:start w:val="1"/>
    </w:lvl>
  </w:abstractNum>
  <w:abstractNum w:abstractNumId="61">
    <w:nsid w:val="2771AC80"/>
    <w:multiLevelType w:val="hybridMultilevel"/>
    <w:lvl w:ilvl="0">
      <w:lvlJc w:val="left"/>
      <w:lvlText w:val="(%1)"/>
      <w:numFmt w:val="lowerRoman"/>
      <w:start w:val="1"/>
    </w:lvl>
  </w:abstractNum>
  <w:abstractNum w:abstractNumId="62">
    <w:nsid w:val="1C4A08EC"/>
    <w:multiLevelType w:val="hybridMultilevel"/>
    <w:lvl w:ilvl="0">
      <w:lvlJc w:val="left"/>
      <w:lvlText w:val="(%1)"/>
      <w:numFmt w:val="lowerRoman"/>
      <w:start w:val="5"/>
    </w:lvl>
  </w:abstractNum>
  <w:abstractNum w:abstractNumId="63">
    <w:nsid w:val="1958BD17"/>
    <w:multiLevelType w:val="hybridMultilevel"/>
    <w:lvl w:ilvl="0">
      <w:lvlJc w:val="left"/>
      <w:lvlText w:val="(%1)"/>
      <w:numFmt w:val="lowerLetter"/>
      <w:start w:val="2"/>
    </w:lvl>
  </w:abstractNum>
  <w:abstractNum w:abstractNumId="64">
    <w:nsid w:val="4E647FE4"/>
    <w:multiLevelType w:val="hybridMultilevel"/>
    <w:lvl w:ilvl="0">
      <w:lvlJc w:val="left"/>
      <w:lvlText w:val="(%1)"/>
      <w:numFmt w:val="lowerLetter"/>
      <w:start w:val="1"/>
    </w:lvl>
  </w:abstractNum>
  <w:abstractNum w:abstractNumId="65">
    <w:nsid w:val="E0BB885"/>
    <w:multiLevelType w:val="hybridMultilevel"/>
    <w:lvl w:ilvl="0">
      <w:lvlJc w:val="left"/>
      <w:lvlText w:val="(%1)"/>
      <w:numFmt w:val="lowerLetter"/>
      <w:start w:val="3"/>
    </w:lvl>
  </w:abstractNum>
  <w:abstractNum w:abstractNumId="66">
    <w:nsid w:val="565976F1"/>
    <w:multiLevelType w:val="hybridMultilevel"/>
    <w:lvl w:ilvl="0">
      <w:lvlJc w:val="left"/>
      <w:lvlText w:val="(%1)"/>
      <w:numFmt w:val="lowerLetter"/>
      <w:start w:val="1"/>
    </w:lvl>
  </w:abstractNum>
  <w:abstractNum w:abstractNumId="67">
    <w:nsid w:val="64212B8C"/>
    <w:multiLevelType w:val="hybridMultilevel"/>
    <w:lvl w:ilvl="0">
      <w:lvlJc w:val="left"/>
      <w:lvlText w:val="%1"/>
      <w:numFmt w:val="lowerLetter"/>
      <w:start w:val="1"/>
    </w:lvl>
    <w:lvl w:ilvl="1">
      <w:lvlJc w:val="left"/>
      <w:lvlText w:val="(%2)"/>
      <w:numFmt w:val="lowerLetter"/>
      <w:start w:val="4"/>
    </w:lvl>
  </w:abstractNum>
  <w:abstractNum w:abstractNumId="68">
    <w:nsid w:val="5C17530C"/>
    <w:multiLevelType w:val="hybridMultilevel"/>
    <w:lvl w:ilvl="0">
      <w:lvlJc w:val="left"/>
      <w:lvlText w:val="(%1)"/>
      <w:numFmt w:val="lowerLetter"/>
      <w:start w:val="25"/>
    </w:lvl>
    <w:lvl w:ilvl="1">
      <w:lvlJc w:val="left"/>
      <w:lvlText w:val="%2"/>
      <w:numFmt w:val="lowerLetter"/>
      <w:start w:val="1"/>
    </w:lvl>
  </w:abstractNum>
  <w:abstractNum w:abstractNumId="69">
    <w:nsid w:val="19A52566"/>
    <w:multiLevelType w:val="hybridMultilevel"/>
    <w:lvl w:ilvl="0">
      <w:lvlJc w:val="left"/>
      <w:lvlText w:val="(%1)"/>
      <w:numFmt w:val="lowerRoman"/>
      <w:start w:val="1"/>
    </w:lvl>
  </w:abstractNum>
  <w:abstractNum w:abstractNumId="70">
    <w:nsid w:val="335A1DF1"/>
    <w:multiLevelType w:val="hybridMultilevel"/>
    <w:lvl w:ilvl="0">
      <w:lvlJc w:val="left"/>
      <w:lvlText w:val="(%1)"/>
      <w:numFmt w:val="lowerRoman"/>
      <w:start w:val="3"/>
    </w:lvl>
  </w:abstractNum>
  <w:abstractNum w:abstractNumId="71">
    <w:nsid w:val="28677B7C"/>
    <w:multiLevelType w:val="hybridMultilevel"/>
    <w:lvl w:ilvl="0">
      <w:lvlJc w:val="left"/>
      <w:lvlText w:val="(%1)"/>
      <w:numFmt w:val="lowerRoman"/>
      <w:start w:val="6"/>
    </w:lvl>
  </w:abstractNum>
  <w:abstractNum w:abstractNumId="72">
    <w:nsid w:val="378D97C0"/>
    <w:multiLevelType w:val="hybridMultilevel"/>
    <w:lvl w:ilvl="0">
      <w:lvlJc w:val="left"/>
      <w:lvlText w:val="(%1)"/>
      <w:numFmt w:val="lowerLetter"/>
      <w:start w:val="25"/>
    </w:lvl>
  </w:abstractNum>
  <w:abstractNum w:abstractNumId="73">
    <w:nsid w:val="1D91467C"/>
    <w:multiLevelType w:val="hybridMultilevel"/>
    <w:lvl w:ilvl="0">
      <w:lvlJc w:val="left"/>
      <w:lvlText w:val="(%1)."/>
      <w:numFmt w:val="lowerLetter"/>
      <w:start w:val="2"/>
    </w:lvl>
  </w:abstractNum>
  <w:abstractNum w:abstractNumId="74">
    <w:nsid w:val="316032BB"/>
    <w:multiLevelType w:val="hybridMultilevel"/>
    <w:lvl w:ilvl="0">
      <w:lvlJc w:val="left"/>
      <w:lvlText w:val="(%1)"/>
      <w:numFmt w:val="lowerRoman"/>
      <w:start w:val="1"/>
    </w:lvl>
  </w:abstractNum>
  <w:abstractNum w:abstractNumId="75">
    <w:nsid w:val="44344C22"/>
    <w:multiLevelType w:val="hybridMultilevel"/>
    <w:lvl w:ilvl="0">
      <w:lvlJc w:val="left"/>
      <w:lvlText w:val="(%1)"/>
      <w:numFmt w:val="lowerRoman"/>
      <w:start w:val="5"/>
    </w:lvl>
  </w:abstractNum>
  <w:abstractNum w:abstractNumId="76">
    <w:nsid w:val="13CDFCFC"/>
    <w:multiLevelType w:val="hybridMultilevel"/>
    <w:lvl w:ilvl="0">
      <w:lvlJc w:val="left"/>
      <w:lvlText w:val="(%1)"/>
      <w:numFmt w:val="lowerRoman"/>
      <w:start w:val="1"/>
    </w:lvl>
  </w:abstractNum>
  <w:abstractNum w:abstractNumId="77">
    <w:nsid w:val="471745E4"/>
    <w:multiLevelType w:val="hybridMultilevel"/>
    <w:lvl w:ilvl="0">
      <w:lvlJc w:val="left"/>
      <w:lvlText w:val="(%1)"/>
      <w:numFmt w:val="lowerLetter"/>
      <w:start w:val="6"/>
    </w:lvl>
  </w:abstractNum>
  <w:abstractNum w:abstractNumId="78">
    <w:nsid w:val="1DDBC66"/>
    <w:multiLevelType w:val="hybridMultilevel"/>
    <w:lvl w:ilvl="0">
      <w:lvlJc w:val="left"/>
      <w:lvlText w:val="(%1)"/>
      <w:numFmt w:val="lowerLetter"/>
      <w:start w:val="1"/>
    </w:lvl>
  </w:abstractNum>
  <w:abstractNum w:abstractNumId="79">
    <w:nsid w:val="30AADFDA"/>
    <w:multiLevelType w:val="hybridMultilevel"/>
    <w:lvl w:ilvl="0">
      <w:lvlJc w:val="left"/>
      <w:lvlText w:val="(%1)"/>
      <w:numFmt w:val="lowerLetter"/>
      <w:start w:val="24"/>
    </w:lvl>
  </w:abstractNum>
  <w:abstractNum w:abstractNumId="80">
    <w:nsid w:val="30EADA61"/>
    <w:multiLevelType w:val="hybridMultilevel"/>
    <w:lvl w:ilvl="0">
      <w:lvlJc w:val="left"/>
      <w:lvlText w:val="(%1)"/>
      <w:numFmt w:val="lowerRoman"/>
      <w:start w:val="2"/>
    </w:lvl>
    <w:lvl w:ilvl="1">
      <w:lvlJc w:val="left"/>
      <w:lvlText w:val="(%2)"/>
      <w:numFmt w:val="lowerRoman"/>
      <w:start w:val="1"/>
    </w:lvl>
  </w:abstractNum>
  <w:abstractNum w:abstractNumId="81">
    <w:nsid w:val="27179C0B"/>
    <w:multiLevelType w:val="hybridMultilevel"/>
    <w:lvl w:ilvl="0">
      <w:lvlJc w:val="left"/>
      <w:lvlText w:val="(%1)"/>
      <w:numFmt w:val="lowerLetter"/>
      <w:start w:val="1"/>
    </w:lvl>
  </w:abstractNum>
  <w:abstractNum w:abstractNumId="82">
    <w:nsid w:val="5E636063"/>
    <w:multiLevelType w:val="hybridMultilevel"/>
    <w:lvl w:ilvl="0">
      <w:lvlJc w:val="left"/>
      <w:lvlText w:val="(%1)"/>
      <w:numFmt w:val="lowerRoman"/>
      <w:start w:val="3"/>
    </w:lvl>
  </w:abstractNum>
  <w:abstractNum w:abstractNumId="83">
    <w:nsid w:val="215641AF"/>
    <w:multiLevelType w:val="hybridMultilevel"/>
    <w:lvl w:ilvl="0">
      <w:lvlJc w:val="left"/>
      <w:lvlText w:val="(%1)"/>
      <w:numFmt w:val="lowerRoman"/>
      <w:start w:val="10"/>
    </w:lvl>
  </w:abstractNum>
  <w:abstractNum w:abstractNumId="84">
    <w:nsid w:val="53280662"/>
    <w:multiLevelType w:val="hybridMultilevel"/>
    <w:lvl w:ilvl="0">
      <w:lvlJc w:val="left"/>
      <w:lvlText w:val="(%1)"/>
      <w:numFmt w:val="lowerLetter"/>
      <w:start w:val="1"/>
    </w:lvl>
  </w:abstractNum>
  <w:abstractNum w:abstractNumId="85">
    <w:nsid w:val="46B24DBC"/>
    <w:multiLevelType w:val="hybridMultilevel"/>
    <w:lvl w:ilvl="0">
      <w:lvlJc w:val="left"/>
      <w:lvlText w:val="(%1)"/>
      <w:numFmt w:val="lowerLetter"/>
      <w:start w:val="1"/>
    </w:lvl>
  </w:abstractNum>
  <w:abstractNum w:abstractNumId="86">
    <w:nsid w:val="75B52783"/>
    <w:multiLevelType w:val="hybridMultilevel"/>
    <w:lvl w:ilvl="0">
      <w:lvlJc w:val="left"/>
      <w:lvlText w:val="(%1)"/>
      <w:numFmt w:val="lowerLetter"/>
      <w:start w:val="1"/>
    </w:lvl>
  </w:abstractNum>
  <w:abstractNum w:abstractNumId="87">
    <w:nsid w:val="57CE66B4"/>
    <w:multiLevelType w:val="hybridMultilevel"/>
    <w:lvl w:ilvl="0">
      <w:lvlJc w:val="left"/>
      <w:lvlText w:val="(%1)"/>
      <w:numFmt w:val="lowerLetter"/>
      <w:start w:val="2"/>
    </w:lvl>
  </w:abstractNum>
  <w:abstractNum w:abstractNumId="88">
    <w:nsid w:val="67A70B69"/>
    <w:multiLevelType w:val="hybridMultilevel"/>
    <w:lvl w:ilvl="0">
      <w:lvlJc w:val="left"/>
      <w:lvlText w:val="(%1)"/>
      <w:numFmt w:val="lowerLetter"/>
      <w:start w:val="1"/>
    </w:lvl>
  </w:abstractNum>
  <w:abstractNum w:abstractNumId="89">
    <w:nsid w:val="5953172F"/>
    <w:multiLevelType w:val="hybridMultilevel"/>
    <w:lvl w:ilvl="0">
      <w:lvlJc w:val="left"/>
      <w:lvlText w:val="(%1)"/>
      <w:numFmt w:val="lowerRoman"/>
      <w:start w:val="2"/>
    </w:lvl>
  </w:abstractNum>
  <w:abstractNum w:abstractNumId="90">
    <w:nsid w:val="27EDFE3A"/>
    <w:multiLevelType w:val="hybridMultilevel"/>
    <w:lvl w:ilvl="0">
      <w:lvlJc w:val="left"/>
      <w:lvlText w:val="(%1)"/>
      <w:numFmt w:val="lowerLetter"/>
      <w:start w:val="1"/>
    </w:lvl>
  </w:abstractNum>
  <w:abstractNum w:abstractNumId="91">
    <w:nsid w:val="52AC7DFF"/>
    <w:multiLevelType w:val="hybridMultilevel"/>
    <w:lvl w:ilvl="0">
      <w:lvlJc w:val="left"/>
      <w:lvlText w:val="(%1)"/>
      <w:numFmt w:val="lowerLetter"/>
      <w:start w:val="1"/>
    </w:lvl>
  </w:abstractNum>
  <w:abstractNum w:abstractNumId="92">
    <w:nsid w:val="C4C3AF"/>
    <w:multiLevelType w:val="hybridMultilevel"/>
    <w:lvl w:ilvl="0">
      <w:lvlJc w:val="left"/>
      <w:lvlText w:val="(%1)"/>
      <w:numFmt w:val="lowerLetter"/>
      <w:start w:val="2"/>
    </w:lvl>
  </w:abstractNum>
  <w:abstractNum w:abstractNumId="93">
    <w:nsid w:val="44380727"/>
    <w:multiLevelType w:val="hybridMultilevel"/>
    <w:lvl w:ilvl="0">
      <w:lvlJc w:val="left"/>
      <w:lvlText w:val="(%1)"/>
      <w:numFmt w:val="lowerRoman"/>
      <w:start w:val="2"/>
    </w:lvl>
  </w:abstractNum>
  <w:abstractNum w:abstractNumId="94">
    <w:nsid w:val="6C053B16"/>
    <w:multiLevelType w:val="hybridMultilevel"/>
    <w:lvl w:ilvl="0">
      <w:lvlJc w:val="left"/>
      <w:lvlText w:val="(%1)"/>
      <w:numFmt w:val="lowerLetter"/>
      <w:start w:val="1"/>
    </w:lvl>
  </w:abstractNum>
  <w:abstractNum w:abstractNumId="95">
    <w:nsid w:val="4F294393"/>
    <w:multiLevelType w:val="hybridMultilevel"/>
    <w:lvl w:ilvl="0">
      <w:lvlJc w:val="left"/>
      <w:lvlText w:val="(%1)"/>
      <w:numFmt w:val="lowerLetter"/>
      <w:start w:val="2"/>
    </w:lvl>
  </w:abstractNum>
  <w:abstractNum w:abstractNumId="96">
    <w:nsid w:val="5243BFAC"/>
    <w:multiLevelType w:val="hybridMultilevel"/>
    <w:lvl w:ilvl="0">
      <w:lvlJc w:val="left"/>
      <w:lvlText w:val="(%1)"/>
      <w:numFmt w:val="lowerLetter"/>
      <w:start w:val="1"/>
    </w:lvl>
  </w:abstractNum>
  <w:abstractNum w:abstractNumId="97">
    <w:nsid w:val="425EB207"/>
    <w:multiLevelType w:val="hybridMultilevel"/>
    <w:lvl w:ilvl="0">
      <w:lvlJc w:val="left"/>
      <w:lvlText w:val="(%1)"/>
      <w:numFmt w:val="lowerLetter"/>
      <w:start w:val="1"/>
    </w:lvl>
    <w:lvl w:ilvl="1">
      <w:lvlJc w:val="left"/>
      <w:lvlText w:val="(%2)"/>
      <w:numFmt w:val="lowerRoman"/>
      <w:start w:val="1"/>
    </w:lvl>
  </w:abstractNum>
  <w:abstractNum w:abstractNumId="98">
    <w:nsid w:val="334A6F1F"/>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99">
    <w:nsid w:val="2E5B12B8"/>
    <w:multiLevelType w:val="hybridMultilevel"/>
    <w:lvl w:ilvl="0">
      <w:lvlJc w:val="left"/>
      <w:lvlText w:val="(%1)"/>
      <w:numFmt w:val="lowerLetter"/>
      <w:start w:val="3"/>
    </w:lvl>
    <w:lvl w:ilvl="1">
      <w:lvlJc w:val="left"/>
      <w:lvlText w:val="(%2)"/>
      <w:numFmt w:val="lowerRoman"/>
      <w:start w:val="1"/>
    </w:lvl>
  </w:abstractNum>
  <w:abstractNum w:abstractNumId="100">
    <w:nsid w:val="5C03D76D"/>
    <w:multiLevelType w:val="hybridMultilevel"/>
    <w:lvl w:ilvl="0">
      <w:lvlJc w:val="left"/>
      <w:lvlText w:val="(%1)"/>
      <w:numFmt w:val="lowerRoman"/>
      <w:start w:val="4"/>
    </w:lvl>
  </w:abstractNum>
  <w:abstractNum w:abstractNumId="101">
    <w:nsid w:val="66A48D11"/>
    <w:multiLevelType w:val="hybridMultilevel"/>
    <w:lvl w:ilvl="0">
      <w:lvlJc w:val="left"/>
      <w:lvlText w:val="(%1)"/>
      <w:numFmt w:val="lowerLetter"/>
      <w:start w:val="1"/>
    </w:lvl>
  </w:abstractNum>
  <w:abstractNum w:abstractNumId="102">
    <w:nsid w:val="56C28E34"/>
    <w:multiLevelType w:val="hybridMultilevel"/>
    <w:lvl w:ilvl="0">
      <w:lvlJc w:val="left"/>
      <w:lvlText w:val="(%1)"/>
      <w:numFmt w:val="lowerLetter"/>
      <w:start w:val="1"/>
    </w:lvl>
  </w:abstractNum>
  <w:abstractNum w:abstractNumId="103">
    <w:nsid w:val="13916F2D"/>
    <w:multiLevelType w:val="hybridMultilevel"/>
    <w:lvl w:ilvl="0">
      <w:lvlJc w:val="left"/>
      <w:lvlText w:val="(%1)"/>
      <w:numFmt w:val="lowerLetter"/>
      <w:start w:val="2"/>
    </w:lvl>
  </w:abstractNum>
  <w:abstractNum w:abstractNumId="104">
    <w:nsid w:val="435D38D"/>
    <w:multiLevelType w:val="hybridMultilevel"/>
    <w:lvl w:ilvl="0">
      <w:lvlJc w:val="left"/>
      <w:lvlText w:val="%1"/>
      <w:numFmt w:val="lowerLetter"/>
      <w:start w:val="1"/>
    </w:lvl>
    <w:lvl w:ilvl="1">
      <w:lvlJc w:val="left"/>
      <w:lvlText w:val="(%2)"/>
      <w:numFmt w:val="lowerLetter"/>
      <w:start w:val="5"/>
    </w:lvl>
  </w:abstractNum>
  <w:abstractNum w:abstractNumId="105">
    <w:nsid w:val="822C0EF"/>
    <w:multiLevelType w:val="hybridMultilevel"/>
    <w:lvl w:ilvl="0">
      <w:lvlJc w:val="left"/>
      <w:lvlText w:val="(%1)"/>
      <w:numFmt w:val="lowerLetter"/>
      <w:start w:val="35"/>
    </w:lvl>
    <w:lvl w:ilvl="1">
      <w:lvlJc w:val="left"/>
      <w:lvlText w:val="%2"/>
      <w:numFmt w:val="lowerLetter"/>
      <w:start w:val="1"/>
    </w:lvl>
  </w:abstractNum>
  <w:abstractNum w:abstractNumId="106">
    <w:nsid w:val="57C5BB4F"/>
    <w:multiLevelType w:val="hybridMultilevel"/>
    <w:lvl w:ilvl="0">
      <w:lvlJc w:val="left"/>
      <w:lvlText w:val="(%1)"/>
      <w:numFmt w:val="lowerLetter"/>
      <w:start w:val="6"/>
    </w:lvl>
  </w:abstractNum>
  <w:abstractNum w:abstractNumId="107">
    <w:nsid w:val="1803D089"/>
    <w:multiLevelType w:val="hybridMultilevel"/>
    <w:lvl w:ilvl="0">
      <w:lvlJc w:val="left"/>
      <w:lvlText w:val="(%1)"/>
      <w:numFmt w:val="lowerLetter"/>
      <w:start w:val="1"/>
    </w:lvl>
  </w:abstractNum>
  <w:abstractNum w:abstractNumId="108">
    <w:nsid w:val="4F3A06D4"/>
    <w:multiLevelType w:val="hybridMultilevel"/>
    <w:lvl w:ilvl="0">
      <w:lvlJc w:val="left"/>
      <w:lvlText w:val="(%1)"/>
      <w:numFmt w:val="upperLetter"/>
      <w:start w:val="25"/>
    </w:lvl>
  </w:abstractNum>
  <w:abstractNum w:abstractNumId="109">
    <w:nsid w:val="59A377B6"/>
    <w:multiLevelType w:val="hybridMultilevel"/>
    <w:lvl w:ilvl="0">
      <w:lvlJc w:val="left"/>
      <w:lvlText w:val="(%1)"/>
      <w:numFmt w:val="lowerLetter"/>
      <w:start w:val="2"/>
    </w:lvl>
  </w:abstractNum>
  <w:abstractNum w:abstractNumId="110">
    <w:nsid w:val="48AEB063"/>
    <w:multiLevelType w:val="hybridMultilevel"/>
    <w:lvl w:ilvl="0">
      <w:lvlJc w:val="left"/>
      <w:lvlText w:val="%1"/>
      <w:numFmt w:val="upperLetter"/>
      <w:start w:val="1"/>
    </w:lvl>
    <w:lvl w:ilvl="1">
      <w:lvlJc w:val="left"/>
      <w:lvlText w:val="(%2)"/>
      <w:numFmt w:val="lowerLetter"/>
      <w:start w:val="4"/>
    </w:lvl>
  </w:abstractNum>
  <w:abstractNum w:abstractNumId="111">
    <w:nsid w:val="24E135"/>
    <w:multiLevelType w:val="hybridMultilevel"/>
    <w:lvl w:ilvl="0">
      <w:lvlJc w:val="left"/>
      <w:lvlText w:val="(%1)"/>
      <w:numFmt w:val="upperLetter"/>
      <w:start w:val="24"/>
    </w:lvl>
    <w:lvl w:ilvl="1">
      <w:lvlJc w:val="left"/>
      <w:lvlText w:val="%2"/>
      <w:numFmt w:val="lowerLetter"/>
      <w:start w:val="1"/>
    </w:lvl>
  </w:abstractNum>
  <w:abstractNum w:abstractNumId="112">
    <w:nsid w:val="BB13C1"/>
    <w:multiLevelType w:val="hybridMultilevel"/>
    <w:lvl w:ilvl="0">
      <w:lvlJc w:val="left"/>
      <w:lvlText w:val="(%1)"/>
      <w:numFmt w:val="lowerLetter"/>
      <w:start w:val="5"/>
    </w:lvl>
  </w:abstractNum>
  <w:abstractNum w:abstractNumId="113">
    <w:nsid w:val="271210C7"/>
    <w:multiLevelType w:val="hybridMultilevel"/>
    <w:lvl w:ilvl="0">
      <w:lvlJc w:val="left"/>
      <w:lvlText w:val="(%1)"/>
      <w:numFmt w:val="lowerLetter"/>
      <w:start w:val="1"/>
    </w:lvl>
    <w:lvl w:ilvl="1">
      <w:lvlJc w:val="left"/>
      <w:lvlText w:val="(%2)"/>
      <w:numFmt w:val="lowerLetter"/>
      <w:start w:val="9"/>
    </w:lvl>
  </w:abstractNum>
  <w:abstractNum w:abstractNumId="114">
    <w:nsid w:val="217B22E4"/>
    <w:multiLevelType w:val="hybridMultilevel"/>
    <w:lvl w:ilvl="0">
      <w:lvlJc w:val="left"/>
      <w:lvlText w:val="(%1)"/>
      <w:numFmt w:val="lowerRoman"/>
      <w:start w:val="2"/>
    </w:lvl>
  </w:abstractNum>
  <w:abstractNum w:abstractNumId="115">
    <w:nsid w:val="53E31A2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6">
    <w:nsid w:val="6DC45E83"/>
    <w:multiLevelType w:val="hybridMultilevel"/>
    <w:lvl w:ilvl="0">
      <w:lvlJc w:val="left"/>
      <w:lvlText w:val="%1"/>
      <w:numFmt w:val="lowerLetter"/>
      <w:start w:val="1"/>
    </w:lvl>
    <w:lvl w:ilvl="1">
      <w:lvlJc w:val="left"/>
      <w:lvlText w:val="(%2)"/>
      <w:numFmt w:val="upperLetter"/>
      <w:start w:val="2"/>
    </w:lvl>
  </w:abstractNum>
  <w:abstractNum w:abstractNumId="117">
    <w:nsid w:val="17304A67"/>
    <w:multiLevelType w:val="hybridMultilevel"/>
    <w:lvl w:ilvl="0">
      <w:lvlJc w:val="left"/>
      <w:lvlText w:val="(%1)"/>
      <w:numFmt w:val="lowerLetter"/>
      <w:start w:val="3"/>
    </w:lvl>
    <w:lvl w:ilvl="1">
      <w:lvlJc w:val="left"/>
      <w:lvlText w:val="%2"/>
      <w:numFmt w:val="upperLetter"/>
      <w:start w:val="1"/>
    </w:lvl>
  </w:abstractNum>
  <w:abstractNum w:abstractNumId="118">
    <w:nsid w:val="2BB180D8"/>
    <w:multiLevelType w:val="hybridMultilevel"/>
    <w:lvl w:ilvl="0">
      <w:lvlJc w:val="left"/>
      <w:lvlText w:val="(%1)"/>
      <w:numFmt w:val="lowerLetter"/>
      <w:start w:val="4"/>
    </w:lvl>
  </w:abstractNum>
  <w:abstractNum w:abstractNumId="119">
    <w:nsid w:val="556B69ED"/>
    <w:multiLevelType w:val="hybridMultilevel"/>
    <w:lvl w:ilvl="0">
      <w:lvlJc w:val="left"/>
      <w:lvlText w:val="(%1)"/>
      <w:numFmt w:val="upperLetter"/>
      <w:start w:val="2"/>
    </w:lvl>
  </w:abstractNum>
  <w:abstractNum w:abstractNumId="120">
    <w:nsid w:val="70836196"/>
    <w:multiLevelType w:val="hybridMultilevel"/>
    <w:lvl w:ilvl="0">
      <w:lvlJc w:val="left"/>
      <w:lvlText w:val="(%1)"/>
      <w:numFmt w:val="lowerLetter"/>
      <w:start w:val="5"/>
    </w:lvl>
  </w:abstractNum>
  <w:abstractNum w:abstractNumId="121">
    <w:nsid w:val="539F7F12"/>
    <w:multiLevelType w:val="hybridMultilevel"/>
    <w:lvl w:ilvl="0">
      <w:lvlJc w:val="left"/>
      <w:lvlText w:val="(%1)"/>
      <w:numFmt w:val="lowerRoman"/>
      <w:start w:val="1"/>
    </w:lvl>
  </w:abstractNum>
  <w:abstractNum w:abstractNumId="122">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7148254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24">
    <w:nsid w:val="17D78639"/>
    <w:multiLevelType w:val="hybridMultilevel"/>
    <w:lvl w:ilvl="0">
      <w:lvlJc w:val="left"/>
      <w:lvlText w:val="%1"/>
      <w:numFmt w:val="lowerRoman"/>
      <w:start w:val="1"/>
    </w:lvl>
    <w:lvl w:ilvl="1">
      <w:lvlJc w:val="left"/>
      <w:lvlText w:val="(%2)"/>
      <w:numFmt w:val="lowerLetter"/>
      <w:start w:val="8"/>
    </w:lvl>
  </w:abstractNum>
  <w:abstractNum w:abstractNumId="125">
    <w:nsid w:val="141D2302"/>
    <w:multiLevelType w:val="hybridMultilevel"/>
    <w:lvl w:ilvl="0">
      <w:lvlJc w:val="left"/>
      <w:lvlText w:val="(%1)"/>
      <w:numFmt w:val="lowerRoman"/>
      <w:start w:val="2"/>
    </w:lvl>
    <w:lvl w:ilvl="1">
      <w:lvlJc w:val="left"/>
      <w:lvlText w:val="%2"/>
      <w:numFmt w:val="lowerLetter"/>
      <w:start w:val="1"/>
    </w:lvl>
  </w:abstractNum>
  <w:abstractNum w:abstractNumId="126">
    <w:nsid w:val="407168D8"/>
    <w:multiLevelType w:val="hybridMultilevel"/>
    <w:lvl w:ilvl="0">
      <w:lvlJc w:val="left"/>
      <w:lvlText w:val="(%1)"/>
      <w:numFmt w:val="lowerRoman"/>
      <w:start w:val="4"/>
    </w:lvl>
    <w:lvl w:ilvl="1">
      <w:lvlJc w:val="left"/>
      <w:lvlText w:val="%2"/>
      <w:numFmt w:val="lowerLetter"/>
      <w:start w:val="1"/>
    </w:lvl>
  </w:abstractNum>
  <w:abstractNum w:abstractNumId="127">
    <w:nsid w:val="6A1B45E5"/>
    <w:multiLevelType w:val="hybridMultilevel"/>
    <w:lvl w:ilvl="0">
      <w:lvlJc w:val="left"/>
      <w:lvlText w:val="(%1)"/>
      <w:numFmt w:val="lowerRoman"/>
      <w:start w:val="1"/>
    </w:lvl>
  </w:abstractNum>
  <w:abstractNum w:abstractNumId="128">
    <w:nsid w:val="567BD50A"/>
    <w:multiLevelType w:val="hybridMultilevel"/>
    <w:lvl w:ilvl="0">
      <w:lvlJc w:val="left"/>
      <w:lvlText w:val="(%1)"/>
      <w:numFmt w:val="lowerLetter"/>
      <w:start w:val="10"/>
    </w:lvl>
  </w:abstractNum>
  <w:abstractNum w:abstractNumId="129">
    <w:nsid w:val="73BBD7F8"/>
    <w:multiLevelType w:val="hybridMultilevel"/>
    <w:lvl w:ilvl="0">
      <w:lvlJc w:val="left"/>
      <w:lvlText w:val="(%1)"/>
      <w:numFmt w:val="lowerLetter"/>
      <w:start w:val="1"/>
    </w:lvl>
    <w:lvl w:ilvl="1">
      <w:lvlJc w:val="left"/>
      <w:lvlText w:val="(%2)"/>
      <w:numFmt w:val="lowerRoman"/>
      <w:start w:val="1"/>
    </w:lvl>
  </w:abstractNum>
  <w:abstractNum w:abstractNumId="130">
    <w:nsid w:val="1876589D"/>
    <w:multiLevelType w:val="hybridMultilevel"/>
    <w:lvl w:ilvl="0">
      <w:lvlJc w:val="left"/>
      <w:lvlText w:val="(%1)"/>
      <w:numFmt w:val="lowerLetter"/>
      <w:start w:val="24"/>
    </w:lvl>
    <w:lvl w:ilvl="1">
      <w:lvlJc w:val="left"/>
      <w:lvlText w:val="(%2)"/>
      <w:numFmt w:val="lowerRoman"/>
      <w:start w:val="2"/>
    </w:lvl>
  </w:abstractNum>
  <w:abstractNum w:abstractNumId="131">
    <w:nsid w:val="327FAC77"/>
    <w:multiLevelType w:val="hybridMultilevel"/>
    <w:lvl w:ilvl="0">
      <w:lvlJc w:val="left"/>
      <w:lvlText w:val="(%1)"/>
      <w:numFmt w:val="lowerLetter"/>
      <w:start w:val="2"/>
    </w:lvl>
    <w:lvl w:ilvl="1">
      <w:lvlJc w:val="left"/>
      <w:lvlText w:val="(%2)"/>
      <w:numFmt w:val="lowerRoman"/>
      <w:start w:val="1"/>
    </w:lvl>
  </w:abstractNum>
  <w:abstractNum w:abstractNumId="132">
    <w:nsid w:val="5A606509"/>
    <w:multiLevelType w:val="hybridMultilevel"/>
    <w:lvl w:ilvl="0">
      <w:lvlJc w:val="left"/>
      <w:lvlText w:val="(%1)"/>
      <w:numFmt w:val="lowerLetter"/>
      <w:start w:val="5"/>
    </w:lvl>
  </w:abstractNum>
  <w:abstractNum w:abstractNumId="133">
    <w:nsid w:val="6F38E6D1"/>
    <w:multiLevelType w:val="hybridMultilevel"/>
    <w:lvl w:ilvl="0">
      <w:lvlJc w:val="left"/>
      <w:lvlText w:val="(%1)"/>
      <w:numFmt w:val="lowerLetter"/>
      <w:start w:val="1"/>
    </w:lvl>
  </w:abstractNum>
  <w:abstractNum w:abstractNumId="134">
    <w:nsid w:val="46111BA5"/>
    <w:multiLevelType w:val="hybridMultilevel"/>
    <w:lvl w:ilvl="0">
      <w:lvlJc w:val="left"/>
      <w:lvlText w:val="(%1)"/>
      <w:numFmt w:val="lowerLetter"/>
      <w:start w:val="6"/>
    </w:lvl>
    <w:lvl w:ilvl="1">
      <w:lvlJc w:val="left"/>
      <w:lvlText w:val="(%2)"/>
      <w:numFmt w:val="lowerLetter"/>
      <w:start w:val="2"/>
    </w:lvl>
  </w:abstractNum>
  <w:abstractNum w:abstractNumId="135">
    <w:nsid w:val="5E963896"/>
    <w:multiLevelType w:val="hybridMultilevel"/>
    <w:lvl w:ilvl="0">
      <w:lvlJc w:val="left"/>
      <w:lvlText w:val="(%1)"/>
      <w:numFmt w:val="lowerLetter"/>
      <w:start w:val="3"/>
    </w:lvl>
  </w:abstractNum>
  <w:abstractNum w:abstractNumId="136">
    <w:nsid w:val="775BA7C1"/>
    <w:multiLevelType w:val="hybridMultilevel"/>
    <w:lvl w:ilvl="0">
      <w:lvlJc w:val="left"/>
      <w:lvlText w:val="(%1)"/>
      <w:numFmt w:val="lowerLetter"/>
      <w:start w:val="1"/>
    </w:lvl>
  </w:abstractNum>
  <w:abstractNum w:abstractNumId="137">
    <w:nsid w:val="1DD6D6F4"/>
    <w:multiLevelType w:val="hybridMultilevel"/>
    <w:lvl w:ilvl="0">
      <w:lvlJc w:val="left"/>
      <w:lvlText w:val="(%1)"/>
      <w:numFmt w:val="lowerLetter"/>
      <w:start w:val="2"/>
    </w:lvl>
  </w:abstractNum>
  <w:abstractNum w:abstractNumId="138">
    <w:nsid w:val="769A091F"/>
    <w:multiLevelType w:val="hybridMultilevel"/>
    <w:lvl w:ilvl="0">
      <w:lvlJc w:val="left"/>
      <w:lvlText w:val="(%1)"/>
      <w:numFmt w:val="lowerLetter"/>
      <w:start w:val="1"/>
    </w:lvl>
  </w:abstractNum>
  <w:abstractNum w:abstractNumId="139">
    <w:nsid w:val="4695AE95"/>
    <w:multiLevelType w:val="hybridMultilevel"/>
    <w:lvl w:ilvl="0">
      <w:lvlJc w:val="left"/>
      <w:lvlText w:val="(%1)"/>
      <w:numFmt w:val="lowerLetter"/>
      <w:start w:val="2"/>
    </w:lvl>
  </w:abstractNum>
  <w:abstractNum w:abstractNumId="140">
    <w:nsid w:val="777A4EAA"/>
    <w:multiLevelType w:val="hybridMultilevel"/>
    <w:lvl w:ilvl="0">
      <w:lvlJc w:val="left"/>
      <w:lvlText w:val="(%1)"/>
      <w:numFmt w:val="lowerLetter"/>
      <w:start w:val="3"/>
    </w:lvl>
  </w:abstractNum>
  <w:abstractNum w:abstractNumId="141">
    <w:nsid w:val="3F48B982"/>
    <w:multiLevelType w:val="hybridMultilevel"/>
    <w:lvl w:ilvl="0">
      <w:lvlJc w:val="left"/>
      <w:lvlText w:val="(%1)"/>
      <w:numFmt w:val="lowerRoman"/>
      <w:start w:val="1"/>
    </w:lvl>
  </w:abstractNum>
  <w:abstractNum w:abstractNumId="142">
    <w:nsid w:val="46BA8FCA"/>
    <w:multiLevelType w:val="hybridMultilevel"/>
    <w:lvl w:ilvl="0">
      <w:lvlJc w:val="left"/>
      <w:lvlText w:val="(%1)"/>
      <w:numFmt w:val="lowerLetter"/>
      <w:start w:val="1"/>
    </w:lvl>
  </w:abstractNum>
  <w:abstractNum w:abstractNumId="143">
    <w:nsid w:val="7835626C"/>
    <w:multiLevelType w:val="hybridMultilevel"/>
    <w:lvl w:ilvl="0">
      <w:lvlJc w:val="left"/>
      <w:lvlText w:val="%1"/>
      <w:numFmt w:val="decimal"/>
      <w:start w:val="1"/>
    </w:lvl>
    <w:lvl w:ilvl="1">
      <w:lvlJc w:val="left"/>
      <w:lvlText w:val="(%2)"/>
      <w:numFmt w:val="lowerLetter"/>
      <w:start w:val="4"/>
    </w:lvl>
  </w:abstractNum>
  <w:abstractNum w:abstractNumId="144">
    <w:nsid w:val="665ACA49"/>
    <w:multiLevelType w:val="hybridMultilevel"/>
    <w:lvl w:ilvl="0">
      <w:lvlJc w:val="left"/>
      <w:lvlText w:val="(%1)"/>
      <w:numFmt w:val="decimal"/>
      <w:start w:val="2"/>
    </w:lvl>
    <w:lvl w:ilvl="1">
      <w:lvlJc w:val="left"/>
      <w:lvlText w:val="%2"/>
      <w:numFmt w:val="lowerLetter"/>
      <w:start w:val="1"/>
    </w:lvl>
  </w:abstractNum>
  <w:abstractNum w:abstractNumId="145">
    <w:nsid w:val="6835B2AE"/>
    <w:multiLevelType w:val="hybridMultilevel"/>
    <w:lvl w:ilvl="0">
      <w:lvlJc w:val="left"/>
      <w:lvlText w:val="(%1)"/>
      <w:numFmt w:val="lowerLetter"/>
      <w:start w:val="5"/>
    </w:lvl>
  </w:abstractNum>
  <w:abstractNum w:abstractNumId="146">
    <w:nsid w:val="4C187C90"/>
    <w:multiLevelType w:val="hybridMultilevel"/>
    <w:lvl w:ilvl="0">
      <w:lvlJc w:val="left"/>
      <w:lvlText w:val="(%1)"/>
      <w:numFmt w:val="lowerLetter"/>
      <w:start w:val="1"/>
    </w:lvl>
  </w:abstractNum>
  <w:abstractNum w:abstractNumId="147">
    <w:nsid w:val="541F28CD"/>
    <w:multiLevelType w:val="hybridMultilevel"/>
    <w:lvl w:ilvl="0">
      <w:lvlJc w:val="left"/>
      <w:lvlText w:val="(%1)"/>
      <w:numFmt w:val="lowerLetter"/>
      <w:start w:val="1"/>
    </w:lvl>
    <w:lvl w:ilvl="1">
      <w:lvlJc w:val="left"/>
      <w:lvlText w:val="(%2)"/>
      <w:numFmt w:val="lowerRoman"/>
      <w:start w:val="1"/>
    </w:lvl>
  </w:abstractNum>
  <w:abstractNum w:abstractNumId="148">
    <w:nsid w:val="7F65FD16"/>
    <w:multiLevelType w:val="hybridMultilevel"/>
    <w:lvl w:ilvl="0">
      <w:lvlJc w:val="left"/>
      <w:lvlText w:val="(%1)"/>
      <w:numFmt w:val="lowerLetter"/>
      <w:start w:val="4"/>
    </w:lvl>
  </w:abstractNum>
  <w:abstractNum w:abstractNumId="149">
    <w:nsid w:val="77C9FD68"/>
    <w:multiLevelType w:val="hybridMultilevel"/>
    <w:lvl w:ilvl="0">
      <w:lvlJc w:val="left"/>
      <w:lvlText w:val="(%1)"/>
      <w:numFmt w:val="lowerLetter"/>
      <w:start w:val="7"/>
    </w:lvl>
  </w:abstractNum>
  <w:abstractNum w:abstractNumId="150">
    <w:nsid w:val="298A92BA"/>
    <w:multiLevelType w:val="hybridMultilevel"/>
    <w:lvl w:ilvl="0">
      <w:lvlJc w:val="left"/>
      <w:lvlText w:val="(%1)"/>
      <w:numFmt w:val="lowerLetter"/>
      <w:start w:val="1"/>
    </w:lvl>
  </w:abstractNum>
  <w:abstractNum w:abstractNumId="151">
    <w:nsid w:val="6FE95EAC"/>
    <w:multiLevelType w:val="hybridMultilevel"/>
    <w:lvl w:ilvl="0">
      <w:lvlJc w:val="left"/>
      <w:lvlText w:val="(%1)"/>
      <w:numFmt w:val="lowerLetter"/>
      <w:start w:val="9"/>
    </w:lvl>
  </w:abstractNum>
  <w:abstractNum w:abstractNumId="152">
    <w:nsid w:val="4B697C7A"/>
    <w:multiLevelType w:val="hybridMultilevel"/>
    <w:lvl w:ilvl="0">
      <w:lvlJc w:val="left"/>
      <w:lvlText w:val="(%1)"/>
      <w:numFmt w:val="lowerLetter"/>
      <w:start w:val="13"/>
    </w:lvl>
  </w:abstractNum>
  <w:abstractNum w:abstractNumId="153">
    <w:nsid w:val="51A27AA6"/>
    <w:multiLevelType w:val="hybridMultilevel"/>
    <w:lvl w:ilvl="0">
      <w:lvlJc w:val="left"/>
      <w:lvlText w:val="(%1)"/>
      <w:numFmt w:val="lowerLetter"/>
      <w:start w:val="1"/>
    </w:lvl>
    <w:lvl w:ilvl="1">
      <w:lvlJc w:val="left"/>
      <w:lvlText w:val="(%2)"/>
      <w:numFmt w:val="lowerRoman"/>
      <w:start w:val="1"/>
    </w:lvl>
  </w:abstractNum>
  <w:abstractNum w:abstractNumId="154">
    <w:nsid w:val="613183F2"/>
    <w:multiLevelType w:val="hybridMultilevel"/>
    <w:lvl w:ilvl="0">
      <w:lvlJc w:val="left"/>
      <w:lvlText w:val="(%1)"/>
      <w:numFmt w:val="lowerLetter"/>
      <w:start w:val="35"/>
    </w:lvl>
    <w:lvl w:ilvl="1">
      <w:lvlJc w:val="left"/>
      <w:lvlText w:val="%2"/>
      <w:numFmt w:val="lowerRoman"/>
      <w:start w:val="1"/>
    </w:lvl>
  </w:abstractNum>
  <w:abstractNum w:abstractNumId="155">
    <w:nsid w:val="634102B4"/>
    <w:multiLevelType w:val="hybridMultilevel"/>
    <w:lvl w:ilvl="0">
      <w:lvlJc w:val="left"/>
      <w:lvlText w:val="%1"/>
      <w:numFmt w:val="lowerLetter"/>
      <w:start w:val="1"/>
    </w:lvl>
    <w:lvl w:ilvl="1">
      <w:lvlJc w:val="left"/>
      <w:lvlText w:val="(%2)"/>
      <w:numFmt w:val="lowerLetter"/>
      <w:start w:val="61"/>
    </w:lvl>
  </w:abstractNum>
  <w:abstractNum w:abstractNumId="156">
    <w:nsid w:val="65BF9DA8"/>
    <w:multiLevelType w:val="hybridMultilevel"/>
    <w:lvl w:ilvl="0">
      <w:lvlJc w:val="left"/>
      <w:lvlText w:val="(%1)"/>
      <w:numFmt w:val="lowerLetter"/>
      <w:start w:val="2"/>
    </w:lvl>
    <w:lvl w:ilvl="1">
      <w:lvlJc w:val="left"/>
      <w:lvlText w:val="%2"/>
      <w:numFmt w:val="lowerLetter"/>
      <w:start w:val="1"/>
    </w:lvl>
  </w:abstractNum>
  <w:abstractNum w:abstractNumId="157">
    <w:nsid w:val="21A2ECCA"/>
    <w:multiLevelType w:val="hybridMultilevel"/>
    <w:lvl w:ilvl="0">
      <w:lvlJc w:val="left"/>
      <w:lvlText w:val="(%1)"/>
      <w:numFmt w:val="lowerLetter"/>
      <w:start w:val="1"/>
    </w:lvl>
  </w:abstractNum>
  <w:abstractNum w:abstractNumId="158">
    <w:nsid w:val="4D5C4899"/>
    <w:multiLevelType w:val="hybridMultilevel"/>
    <w:lvl w:ilvl="0">
      <w:lvlJc w:val="left"/>
      <w:lvlText w:val="(%1)"/>
      <w:numFmt w:val="lowerLetter"/>
      <w:start w:val="2"/>
    </w:lvl>
  </w:abstractNum>
  <w:abstractNum w:abstractNumId="159">
    <w:nsid w:val="3C3B72B2"/>
    <w:multiLevelType w:val="hybridMultilevel"/>
    <w:lvl w:ilvl="0">
      <w:lvlJc w:val="left"/>
      <w:lvlText w:val="(%1)"/>
      <w:numFmt w:val="lowerLetter"/>
      <w:start w:val="1"/>
    </w:lvl>
  </w:abstractNum>
  <w:abstractNum w:abstractNumId="160">
    <w:nsid w:val="155EC4C2"/>
    <w:multiLevelType w:val="hybridMultilevel"/>
    <w:lvl w:ilvl="0">
      <w:lvlJc w:val="left"/>
      <w:lvlText w:val="(%1)"/>
      <w:numFmt w:val="lowerLetter"/>
      <w:start w:val="1"/>
    </w:lvl>
    <w:lvl w:ilvl="1">
      <w:lvlJc w:val="left"/>
      <w:lvlText w:val="(%2)"/>
      <w:numFmt w:val="lowerLetter"/>
      <w:start w:val="9"/>
    </w:lvl>
  </w:abstractNum>
  <w:abstractNum w:abstractNumId="161">
    <w:nsid w:val="65D2A137"/>
    <w:multiLevelType w:val="hybridMultilevel"/>
    <w:lvl w:ilvl="0">
      <w:lvlJc w:val="left"/>
      <w:lvlText w:val="(%1)"/>
      <w:numFmt w:val="lowerRoman"/>
      <w:start w:val="2"/>
    </w:lvl>
  </w:abstractNum>
  <w:abstractNum w:abstractNumId="162">
    <w:nsid w:val="6EBB1F2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3">
    <w:nsid w:val="6FBF29CB"/>
    <w:multiLevelType w:val="hybridMultilevel"/>
    <w:lvl w:ilvl="0">
      <w:lvlJc w:val="left"/>
      <w:lvlText w:val="(%1)"/>
      <w:numFmt w:val="lowerLetter"/>
      <w:start w:val="3"/>
    </w:lvl>
  </w:abstractNum>
  <w:abstractNum w:abstractNumId="164">
    <w:nsid w:val="550B8808"/>
    <w:multiLevelType w:val="hybridMultilevel"/>
    <w:lvl w:ilvl="0">
      <w:lvlJc w:val="left"/>
      <w:lvlText w:val="(%1)"/>
      <w:numFmt w:val="lowerLetter"/>
      <w:start w:val="4"/>
    </w:lvl>
  </w:abstractNum>
  <w:abstractNum w:abstractNumId="165">
    <w:nsid w:val="34CC3ACF"/>
    <w:multiLevelType w:val="hybridMultilevel"/>
    <w:lvl w:ilvl="0">
      <w:lvlJc w:val="left"/>
      <w:lvlText w:val="(%1)"/>
      <w:numFmt w:val="lowerLetter"/>
      <w:start w:val="1"/>
    </w:lvl>
  </w:abstractNum>
  <w:abstractNum w:abstractNumId="166">
    <w:nsid w:val="4E556261"/>
    <w:multiLevelType w:val="hybridMultilevel"/>
    <w:lvl w:ilvl="0">
      <w:lvlJc w:val="left"/>
      <w:lvlText w:val="(%1)"/>
      <w:numFmt w:val="lowerLetter"/>
      <w:start w:val="2"/>
    </w:lvl>
  </w:abstractNum>
  <w:abstractNum w:abstractNumId="167">
    <w:nsid w:val="4C672FC9"/>
    <w:multiLevelType w:val="hybridMultilevel"/>
    <w:lvl w:ilvl="0">
      <w:lvlJc w:val="left"/>
      <w:lvlText w:val="(%1)"/>
      <w:numFmt w:val="lowerLetter"/>
      <w:start w:val="1"/>
    </w:lvl>
  </w:abstractNum>
  <w:abstractNum w:abstractNumId="168">
    <w:nsid w:val="52A311C3"/>
    <w:multiLevelType w:val="hybridMultilevel"/>
    <w:lvl w:ilvl="0">
      <w:lvlJc w:val="left"/>
      <w:lvlText w:val="(%1)"/>
      <w:numFmt w:val="lowerLetter"/>
      <w:start w:val="4"/>
    </w:lvl>
  </w:abstractNum>
  <w:abstractNum w:abstractNumId="169">
    <w:nsid w:val="44EF6B80"/>
    <w:multiLevelType w:val="hybridMultilevel"/>
    <w:lvl w:ilvl="0">
      <w:lvlJc w:val="left"/>
      <w:lvlText w:val="(%1)"/>
      <w:numFmt w:val="decimal"/>
      <w:start w:val="1"/>
    </w:lvl>
  </w:abstractNum>
  <w:abstractNum w:abstractNumId="170">
    <w:nsid w:val="12FCDE5E"/>
    <w:multiLevelType w:val="hybridMultilevel"/>
    <w:lvl w:ilvl="0">
      <w:lvlJc w:val="left"/>
      <w:lvlText w:val="(%1)"/>
      <w:numFmt w:val="lowerLetter"/>
      <w:start w:val="1"/>
    </w:lvl>
  </w:abstractNum>
  <w:abstractNum w:abstractNumId="171">
    <w:nsid w:val="4A1D606E"/>
    <w:multiLevelType w:val="hybridMultilevel"/>
    <w:lvl w:ilvl="0">
      <w:lvlJc w:val="left"/>
      <w:lvlText w:val="(%1)"/>
      <w:numFmt w:val="lowerLetter"/>
      <w:start w:val="1"/>
    </w:lvl>
    <w:lvl w:ilvl="1">
      <w:lvlJc w:val="left"/>
      <w:lvlText w:val="(%2)"/>
      <w:numFmt w:val="lowerRoman"/>
      <w:start w:val="1"/>
    </w:lvl>
  </w:abstractNum>
  <w:abstractNum w:abstractNumId="172">
    <w:nsid w:val="4382503"/>
    <w:multiLevelType w:val="hybridMultilevel"/>
    <w:lvl w:ilvl="0">
      <w:lvlJc w:val="left"/>
      <w:lvlText w:val="(%1)"/>
      <w:numFmt w:val="lowerLetter"/>
      <w:start w:val="2"/>
    </w:lvl>
  </w:abstractNum>
  <w:abstractNum w:abstractNumId="173">
    <w:nsid w:val="59B76E28"/>
    <w:multiLevelType w:val="hybridMultilevel"/>
    <w:lvl w:ilvl="0">
      <w:lvlJc w:val="left"/>
      <w:lvlText w:val="%1"/>
      <w:numFmt w:val="lowerLetter"/>
      <w:start w:val="1"/>
    </w:lvl>
    <w:lvl w:ilvl="1">
      <w:lvlJc w:val="left"/>
      <w:lvlText w:val="(%2)"/>
      <w:numFmt w:val="lowerRoman"/>
      <w:start w:val="1"/>
    </w:lvl>
  </w:abstractNum>
  <w:abstractNum w:abstractNumId="174">
    <w:nsid w:val="4252C2DA"/>
    <w:multiLevelType w:val="hybridMultilevel"/>
    <w:lvl w:ilvl="0">
      <w:lvlJc w:val="left"/>
      <w:lvlText w:val="(%1)"/>
      <w:numFmt w:val="lowerLetter"/>
      <w:start w:val="7"/>
    </w:lvl>
    <w:lvl w:ilvl="1">
      <w:lvlJc w:val="left"/>
      <w:lvlText w:val="%2"/>
      <w:numFmt w:val="lowerRoman"/>
      <w:start w:val="1"/>
    </w:lvl>
  </w:abstractNum>
  <w:abstractNum w:abstractNumId="175">
    <w:nsid w:val="6A92EF4C"/>
    <w:multiLevelType w:val="hybridMultilevel"/>
    <w:lvl w:ilvl="0">
      <w:lvlJc w:val="left"/>
      <w:lvlText w:val="(%1)"/>
      <w:numFmt w:val="lowerLetter"/>
      <w:start w:val="1"/>
    </w:lvl>
  </w:abstractNum>
  <w:abstractNum w:abstractNumId="176">
    <w:nsid w:val="41ED20D7"/>
    <w:multiLevelType w:val="hybridMultilevel"/>
    <w:lvl w:ilvl="0">
      <w:lvlJc w:val="left"/>
      <w:lvlText w:val="(%1)"/>
      <w:numFmt w:val="lowerLetter"/>
      <w:start w:val="1"/>
    </w:lvl>
  </w:abstractNum>
  <w:abstractNum w:abstractNumId="177">
    <w:nsid w:val="E6B3F6A"/>
    <w:multiLevelType w:val="hybridMultilevel"/>
    <w:lvl w:ilvl="0">
      <w:lvlJc w:val="left"/>
      <w:lvlText w:val="(%1)"/>
      <w:numFmt w:val="lowerLetter"/>
      <w:start w:val="35"/>
    </w:lvl>
    <w:lvl w:ilvl="1">
      <w:lvlJc w:val="left"/>
      <w:lvlText w:val="(%2)"/>
      <w:numFmt w:val="lowerLetter"/>
      <w:start w:val="2"/>
    </w:lvl>
  </w:abstractNum>
  <w:abstractNum w:abstractNumId="178">
    <w:nsid w:val="3EB21819"/>
    <w:multiLevelType w:val="hybridMultilevel"/>
    <w:lvl w:ilvl="0">
      <w:lvlJc w:val="left"/>
      <w:lvlText w:val="(%1)"/>
      <w:numFmt w:val="lowerLetter"/>
      <w:start w:val="1"/>
    </w:lvl>
  </w:abstractNum>
  <w:abstractNum w:abstractNumId="179">
    <w:nsid w:val="41531DED"/>
    <w:multiLevelType w:val="hybridMultilevel"/>
    <w:lvl w:ilvl="0">
      <w:lvlJc w:val="left"/>
      <w:lvlText w:val="(%1)"/>
      <w:numFmt w:val="lowerLetter"/>
      <w:start w:val="4"/>
    </w:lvl>
    <w:lvl w:ilvl="1">
      <w:lvlJc w:val="left"/>
      <w:lvlText w:val="(%2)"/>
      <w:numFmt w:val="upperLetter"/>
      <w:start w:val="34"/>
    </w:lvl>
    <w:lvl w:ilvl="2">
      <w:lvlJc w:val="left"/>
      <w:lvlText w:val="(%3)"/>
      <w:numFmt w:val="upperLetter"/>
      <w:start w:val="61"/>
    </w:lvl>
    <w:lvl w:ilvl="3">
      <w:lvlJc w:val="left"/>
      <w:lvlText w:val="(%4)"/>
      <w:numFmt w:val="lowerRoman"/>
      <w:start w:val="1"/>
    </w:lvl>
    <w:lvl w:ilvl="4">
      <w:lvlJc w:val="left"/>
      <w:lvlText w:val="(%5)"/>
      <w:numFmt w:val="upperLetter"/>
      <w:start w:val="8"/>
    </w:lvl>
    <w:lvl w:ilvl="5">
      <w:lvlJc w:val="left"/>
      <w:lvlText w:val="(%6)"/>
      <w:numFmt w:val="upperLetter"/>
      <w:start w:val="1"/>
    </w:lvl>
  </w:abstractNum>
  <w:abstractNum w:abstractNumId="180">
    <w:nsid w:val="6353CD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2"/>
    </w:lvl>
    <w:lvl w:ilvl="3">
      <w:lvlJc w:val="left"/>
      <w:lvlText w:val="(%4)"/>
      <w:numFmt w:val="upperLetter"/>
      <w:start w:val="3"/>
    </w:lvl>
  </w:abstractNum>
  <w:abstractNum w:abstractNumId="181">
    <w:nsid w:val="683CAAD3"/>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lvl w:ilvl="3">
      <w:lvlJc w:val="left"/>
      <w:lvlText w:val="%4"/>
      <w:numFmt w:val="upperLetter"/>
      <w:start w:val="1"/>
    </w:lvl>
  </w:abstractNum>
  <w:abstractNum w:abstractNumId="182">
    <w:nsid w:val="313C7C99"/>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83">
    <w:nsid w:val="519EB94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5"/>
    </w:lvl>
    <w:lvl w:ilvl="3">
      <w:lvlJc w:val="left"/>
      <w:lvlText w:val="%4"/>
      <w:numFmt w:val="upperLetter"/>
      <w:start w:val="1"/>
    </w:lvl>
    <w:lvl w:ilvl="4">
      <w:lvlJc w:val="left"/>
      <w:lvlText w:val="%5"/>
      <w:numFmt w:val="upperLetter"/>
      <w:start w:val="1"/>
    </w:lvl>
  </w:abstractNum>
  <w:abstractNum w:abstractNumId="184">
    <w:nsid w:val="39DF2579"/>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lvl w:ilvl="3">
      <w:lvlJc w:val="left"/>
      <w:lvlText w:val="(%4)"/>
      <w:numFmt w:val="upperLetter"/>
      <w:start w:val="4"/>
    </w:lvl>
    <w:lvl w:ilvl="4">
      <w:lvlJc w:val="left"/>
      <w:lvlText w:val="(%5)"/>
      <w:numFmt w:val="upperLetter"/>
      <w:start w:val="1"/>
    </w:lvl>
  </w:abstractNum>
  <w:abstractNum w:abstractNumId="185">
    <w:nsid w:val="126E008B"/>
    <w:multiLevelType w:val="hybridMultilevel"/>
    <w:lvl w:ilvl="0">
      <w:lvlJc w:val="left"/>
      <w:lvlText w:val="(%1)"/>
      <w:numFmt w:val="lowerLetter"/>
      <w:start w:val="6"/>
    </w:lvl>
  </w:abstractNum>
  <w:abstractNum w:abstractNumId="186">
    <w:nsid w:val="34DFBC00"/>
    <w:multiLevelType w:val="hybridMultilevel"/>
    <w:lvl w:ilvl="0">
      <w:lvlJc w:val="left"/>
      <w:lvlText w:val="&amp;"/>
      <w:numFmt w:val="bullet"/>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187">
    <w:nsid w:val="1F9EC322"/>
    <w:multiLevelType w:val="hybridMultilevel"/>
    <w:lvl w:ilvl="0">
      <w:lvlJc w:val="left"/>
      <w:lvlText w:val="&amp;"/>
      <w:numFmt w:val="bullet"/>
      <w:start w:val="1"/>
    </w:lvl>
    <w:lvl w:ilvl="1">
      <w:lvlJc w:val="left"/>
      <w:lvlText w:val="(%2)"/>
      <w:numFmt w:val="upperLetter"/>
      <w:start w:val="9"/>
    </w:lvl>
    <w:lvl w:ilvl="2">
      <w:lvlJc w:val="left"/>
      <w:lvlText w:val="(%3)"/>
      <w:numFmt w:val="upperLetter"/>
      <w:start w:val="8"/>
    </w:lvl>
    <w:lvl w:ilvl="3">
      <w:lvlJc w:val="left"/>
      <w:lvlText w:val="(%4)"/>
      <w:numFmt w:val="upperLetter"/>
      <w:start w:val="35"/>
    </w:lvl>
    <w:lvl w:ilvl="4">
      <w:lvlJc w:val="left"/>
      <w:lvlText w:val="(%5)"/>
      <w:numFmt w:val="upperLetter"/>
      <w:start w:val="2"/>
    </w:lvl>
  </w:abstractNum>
  <w:abstractNum w:abstractNumId="188">
    <w:nsid w:val="3410ED56"/>
    <w:multiLevelType w:val="hybridMultilevel"/>
    <w:lvl w:ilvl="0">
      <w:lvlJc w:val="left"/>
      <w:lvlText w:val="(%1)"/>
      <w:numFmt w:val="upperLetter"/>
      <w:start w:val="35"/>
    </w:lvl>
  </w:abstractNum>
  <w:abstractNum w:abstractNumId="189">
    <w:nsid w:val="23C049A"/>
    <w:multiLevelType w:val="hybridMultilevel"/>
    <w:lvl w:ilvl="0">
      <w:lvlJc w:val="left"/>
      <w:lvlText w:val="%1"/>
      <w:numFmt w:val="upperLetter"/>
      <w:start w:val="1"/>
    </w:lvl>
    <w:lvl w:ilvl="1">
      <w:lvlJc w:val="left"/>
      <w:lvlText w:val="(%2)"/>
      <w:numFmt w:val="upperLetter"/>
      <w:start w:val="1"/>
    </w:lvl>
  </w:abstractNum>
  <w:abstractNum w:abstractNumId="190">
    <w:nsid w:val="5BDA35D4"/>
    <w:multiLevelType w:val="hybridMultilevel"/>
    <w:lvl w:ilvl="0">
      <w:lvlJc w:val="left"/>
      <w:lvlText w:val="(%1)"/>
      <w:numFmt w:val="upperLetter"/>
      <w:start w:val="9"/>
    </w:lvl>
    <w:lvl w:ilvl="1">
      <w:lvlJc w:val="left"/>
      <w:lvlText w:val="%2"/>
      <w:numFmt w:val="upperLetter"/>
      <w:start w:val="1"/>
    </w:lvl>
  </w:abstractNum>
  <w:abstractNum w:abstractNumId="191">
    <w:nsid w:val="496FB218"/>
    <w:multiLevelType w:val="hybridMultilevel"/>
    <w:lvl w:ilvl="0">
      <w:lvlJc w:val="left"/>
      <w:lvlText w:val="(%1)"/>
      <w:numFmt w:val="decimal"/>
      <w:start w:val="1"/>
    </w:lvl>
  </w:abstractNum>
  <w:abstractNum w:abstractNumId="192">
    <w:nsid w:val="680EA5D1"/>
    <w:multiLevelType w:val="hybridMultilevel"/>
    <w:lvl w:ilvl="0">
      <w:lvlJc w:val="left"/>
      <w:lvlText w:val="%1"/>
      <w:numFmt w:val="upperLetter"/>
      <w:start w:val="1"/>
    </w:lvl>
    <w:lvl w:ilvl="1">
      <w:lvlJc w:val="left"/>
      <w:lvlText w:val="(%2)"/>
      <w:numFmt w:val="decimal"/>
      <w:start w:val="2"/>
    </w:lvl>
  </w:abstractNum>
  <w:abstractNum w:abstractNumId="193">
    <w:nsid w:val="4A9554FE"/>
    <w:multiLevelType w:val="hybridMultilevel"/>
    <w:lvl w:ilvl="0">
      <w:lvlJc w:val="left"/>
      <w:lvlText w:val="(%1)"/>
      <w:numFmt w:val="upperLetter"/>
      <w:start w:val="35"/>
    </w:lvl>
    <w:lvl w:ilvl="1">
      <w:lvlJc w:val="left"/>
      <w:lvlText w:val="(%2)"/>
      <w:numFmt w:val="decimal"/>
      <w:start w:val="1"/>
    </w:lvl>
  </w:abstractNum>
  <w:abstractNum w:abstractNumId="194">
    <w:nsid w:val="392EDBE4"/>
    <w:multiLevelType w:val="hybridMultilevel"/>
    <w:lvl w:ilvl="0">
      <w:lvlJc w:val="left"/>
      <w:lvlText w:val="(%1)"/>
      <w:numFmt w:val="lowerLetter"/>
      <w:start w:val="1"/>
    </w:lvl>
  </w:abstractNum>
  <w:abstractNum w:abstractNumId="195">
    <w:nsid w:val="3D1A2DD9"/>
    <w:multiLevelType w:val="hybridMultilevel"/>
    <w:lvl w:ilvl="0">
      <w:lvlJc w:val="left"/>
      <w:lvlText w:val="%1"/>
      <w:numFmt w:val="upperLetter"/>
      <w:start w:val="1"/>
    </w:lvl>
    <w:lvl w:ilvl="1">
      <w:lvlJc w:val="left"/>
      <w:lvlText w:val="(%2)"/>
      <w:numFmt w:val="decimal"/>
      <w:start w:val="3"/>
    </w:lvl>
  </w:abstractNum>
  <w:abstractNum w:abstractNumId="196">
    <w:nsid w:val="7F618FCD"/>
    <w:multiLevelType w:val="hybridMultilevel"/>
    <w:lvl w:ilvl="0">
      <w:lvlJc w:val="left"/>
      <w:lvlText w:val="(%1)"/>
      <w:numFmt w:val="upperLetter"/>
      <w:start w:val="61"/>
    </w:lvl>
    <w:lvl w:ilvl="1">
      <w:lvlJc w:val="left"/>
      <w:lvlText w:val="%2"/>
      <w:numFmt w:val="decimal"/>
      <w:start w:val="1"/>
    </w:lvl>
  </w:abstractNum>
  <w:abstractNum w:abstractNumId="197">
    <w:nsid w:val="7843E45"/>
    <w:multiLevelType w:val="hybridMultilevel"/>
    <w:lvl w:ilvl="0">
      <w:lvlJc w:val="left"/>
      <w:lvlText w:val="(%1)"/>
      <w:numFmt w:val="upperLetter"/>
      <w:start w:val="2"/>
    </w:lvl>
  </w:abstractNum>
  <w:abstractNum w:abstractNumId="198">
    <w:nsid w:val="9815DA3"/>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99">
    <w:nsid w:val="5204A191"/>
    <w:multiLevelType w:val="hybridMultilevel"/>
    <w:lvl w:ilvl="0">
      <w:lvlJc w:val="left"/>
      <w:lvlText w:val="(%1)"/>
      <w:numFmt w:val="upperLetter"/>
      <w:start w:val="9"/>
    </w:lvl>
    <w:lvl w:ilvl="1">
      <w:lvlJc w:val="left"/>
      <w:lvlText w:val="(%2)"/>
      <w:numFmt w:val="upperLetter"/>
      <w:start w:val="35"/>
    </w:lvl>
    <w:lvl w:ilvl="2">
      <w:lvlJc w:val="left"/>
      <w:lvlText w:val="(%3)"/>
      <w:numFmt w:val="upperLetter"/>
      <w:start w:val="3"/>
    </w:lvl>
  </w:abstractNum>
  <w:abstractNum w:abstractNumId="200">
    <w:nsid w:val="4C73A9C6"/>
    <w:multiLevelType w:val="hybridMultilevel"/>
    <w:lvl w:ilvl="0">
      <w:lvlJc w:val="left"/>
      <w:lvlText w:val="(%1)"/>
      <w:numFmt w:val="upperLetter"/>
      <w:start w:val="1"/>
    </w:lvl>
  </w:abstractNum>
  <w:abstractNum w:abstractNumId="201">
    <w:nsid w:val="1C7E3C01"/>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202">
    <w:nsid w:val="1C2201FF"/>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203">
    <w:nsid w:val="50ABCEC9"/>
    <w:multiLevelType w:val="hybridMultilevel"/>
    <w:lvl w:ilvl="0">
      <w:lvlJc w:val="left"/>
      <w:lvlText w:val="(%1)"/>
      <w:numFmt w:val="upperLetter"/>
      <w:start w:val="3"/>
    </w:lvl>
    <w:lvl w:ilvl="1">
      <w:lvlJc w:val="left"/>
      <w:lvlText w:val="(%2)"/>
      <w:numFmt w:val="upperLetter"/>
      <w:start w:val="9"/>
    </w:lvl>
    <w:lvl w:ilvl="2">
      <w:lvlJc w:val="left"/>
      <w:lvlText w:val="(%3)"/>
      <w:numFmt w:val="upperLetter"/>
      <w:start w:val="35"/>
    </w:lvl>
    <w:lvl w:ilvl="3">
      <w:lvlJc w:val="left"/>
      <w:lvlText w:val="(%4)"/>
      <w:numFmt w:val="decimal"/>
      <w:start w:val="1"/>
    </w:lvl>
  </w:abstractNum>
  <w:abstractNum w:abstractNumId="204">
    <w:nsid w:val="7635AA2A"/>
    <w:multiLevelType w:val="hybridMultilevel"/>
    <w:lvl w:ilvl="0">
      <w:lvlJc w:val="left"/>
      <w:lvlText w:val="(%1)"/>
      <w:numFmt w:val="upperLetter"/>
      <w:start w:val="61"/>
    </w:lvl>
    <w:lvl w:ilvl="1">
      <w:lvlJc w:val="left"/>
      <w:lvlText w:val="(%2)"/>
      <w:numFmt w:val="decimal"/>
      <w:start w:val="1"/>
    </w:lvl>
  </w:abstractNum>
  <w:abstractNum w:abstractNumId="205">
    <w:nsid w:val="5E74C4D9"/>
    <w:multiLevelType w:val="hybridMultilevel"/>
    <w:lvl w:ilvl="0">
      <w:lvlJc w:val="left"/>
      <w:lvlText w:val="(%1)"/>
      <w:numFmt w:val="upperLetter"/>
      <w:start w:val="5"/>
    </w:lvl>
    <w:lvl w:ilvl="1">
      <w:lvlJc w:val="left"/>
      <w:lvlText w:val="(%2)"/>
      <w:numFmt w:val="upperLetter"/>
      <w:start w:val="35"/>
    </w:lvl>
    <w:lvl w:ilvl="2">
      <w:lvlJc w:val="left"/>
      <w:lvlText w:val="(%3)"/>
      <w:numFmt w:val="decimal"/>
      <w:start w:val="2"/>
    </w:lvl>
  </w:abstractNum>
  <w:abstractNum w:abstractNumId="206">
    <w:nsid w:val="3B3EBE15"/>
    <w:multiLevelType w:val="hybridMultilevel"/>
    <w:lvl w:ilvl="0">
      <w:lvlJc w:val="left"/>
      <w:lvlText w:val="(%1)"/>
      <w:numFmt w:val="upperLetter"/>
      <w:start w:val="8"/>
    </w:lvl>
    <w:lvl w:ilvl="1">
      <w:lvlJc w:val="left"/>
      <w:lvlText w:val="(%2)"/>
      <w:numFmt w:val="decimal"/>
      <w:start w:val="1"/>
    </w:lvl>
  </w:abstractNum>
  <w:abstractNum w:abstractNumId="207">
    <w:nsid w:val="3822CB01"/>
    <w:multiLevelType w:val="hybridMultilevel"/>
    <w:lvl w:ilvl="0">
      <w:lvlJc w:val="left"/>
      <w:lvlText w:val="%1"/>
      <w:numFmt w:val="lowerRoman"/>
      <w:start w:val="1"/>
    </w:lvl>
    <w:lvl w:ilvl="1">
      <w:lvlJc w:val="left"/>
      <w:lvlText w:val="(%2)"/>
      <w:numFmt w:val="upperLetter"/>
      <w:start w:val="9"/>
    </w:lvl>
    <w:lvl w:ilvl="2">
      <w:lvlJc w:val="left"/>
      <w:lvlText w:val="%3"/>
      <w:numFmt w:val="upperLetter"/>
      <w:start w:val="1"/>
    </w:lvl>
    <w:lvl w:ilvl="3">
      <w:lvlJc w:val="left"/>
      <w:lvlText w:val="%4"/>
      <w:numFmt w:val="decimal"/>
      <w:start w:val="1"/>
    </w:lvl>
  </w:abstractNum>
  <w:abstractNum w:abstractNumId="208">
    <w:nsid w:val="6CE00443"/>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9"/>
    </w:lvl>
    <w:lvl w:ilvl="3">
      <w:lvlJc w:val="left"/>
      <w:lvlText w:val="(%4)"/>
      <w:numFmt w:val="decimal"/>
      <w:start w:val="1"/>
    </w:lvl>
  </w:abstractNum>
  <w:abstractNum w:abstractNumId="209">
    <w:nsid w:val="79F0D62F"/>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5"/>
    </w:lvl>
    <w:lvl w:ilvl="3">
      <w:lvlJc w:val="left"/>
      <w:lvlText w:val="(%4)"/>
      <w:numFmt w:val="decimal"/>
      <w:start w:val="1"/>
    </w:lvl>
  </w:abstractNum>
  <w:abstractNum w:abstractNumId="210">
    <w:nsid w:val="7975E8EE"/>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lvl w:ilvl="3">
      <w:lvlJc w:val="left"/>
      <w:lvlText w:val="%4"/>
      <w:numFmt w:val="decimal"/>
      <w:start w:val="1"/>
    </w:lvl>
  </w:abstractNum>
  <w:abstractNum w:abstractNumId="211">
    <w:nsid w:val="73154115"/>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12">
    <w:nsid w:val="622D8102"/>
    <w:multiLevelType w:val="hybridMultilevel"/>
    <w:lvl w:ilvl="0">
      <w:lvlJc w:val="left"/>
      <w:lvlText w:val="(%1)"/>
      <w:numFmt w:val="lowerLetter"/>
      <w:start w:val="7"/>
    </w:lvl>
  </w:abstractNum>
  <w:abstractNum w:abstractNumId="213">
    <w:nsid w:val="2AB26587"/>
    <w:multiLevelType w:val="hybridMultilevel"/>
    <w:lvl w:ilvl="0">
      <w:lvlJc w:val="left"/>
      <w:lvlText w:val="(%1)"/>
      <w:numFmt w:val="lowerLetter"/>
      <w:start w:val="9"/>
    </w:lvl>
  </w:abstractNum>
  <w:abstractNum w:abstractNumId="214">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5">
    <w:nsid w:val="1C0CA6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16">
    <w:nsid w:val="3D20661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17">
    <w:nsid w:val="7993B6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8">
    <w:nsid w:val="3BAB699E"/>
    <w:multiLevelType w:val="hybridMultilevel"/>
    <w:lvl w:ilvl="0">
      <w:lvlJc w:val="left"/>
      <w:lvlText w:val="(%1)"/>
      <w:numFmt w:val="lowerLetter"/>
      <w:start w:val="3"/>
    </w:lvl>
    <w:lvl w:ilvl="1">
      <w:lvlJc w:val="left"/>
      <w:lvlText w:val="(%2)"/>
      <w:numFmt w:val="lowerRoman"/>
      <w:start w:val="1"/>
    </w:lvl>
  </w:abstractNum>
  <w:abstractNum w:abstractNumId="219">
    <w:nsid w:val="71315369"/>
    <w:multiLevelType w:val="hybridMultilevel"/>
    <w:lvl w:ilvl="0">
      <w:lvlJc w:val="left"/>
      <w:lvlText w:val="%1"/>
      <w:numFmt w:val="lowerLetter"/>
      <w:start w:val="1"/>
    </w:lvl>
    <w:lvl w:ilvl="1">
      <w:lvlJc w:val="left"/>
      <w:lvlText w:val="(%2)"/>
      <w:numFmt w:val="lowerRoman"/>
      <w:start w:val="3"/>
    </w:lvl>
  </w:abstractNum>
  <w:abstractNum w:abstractNumId="220">
    <w:nsid w:val="7BCFBAFC"/>
    <w:multiLevelType w:val="hybridMultilevel"/>
    <w:lvl w:ilvl="0">
      <w:lvlJc w:val="left"/>
      <w:lvlText w:val="(%1)"/>
      <w:numFmt w:val="lowerLetter"/>
      <w:start w:val="6"/>
    </w:lvl>
    <w:lvl w:ilvl="1">
      <w:lvlJc w:val="left"/>
      <w:lvlText w:val="(%2)"/>
      <w:numFmt w:val="lowerRoman"/>
      <w:start w:val="1"/>
    </w:lvl>
  </w:abstractNum>
  <w:abstractNum w:abstractNumId="221">
    <w:nsid w:val="17859F72"/>
    <w:multiLevelType w:val="hybridMultilevel"/>
    <w:lvl w:ilvl="0">
      <w:lvlJc w:val="left"/>
      <w:lvlText w:val="(%1)"/>
      <w:numFmt w:val="lowerLetter"/>
      <w:start w:val="1"/>
    </w:lvl>
  </w:abstractNum>
  <w:abstractNum w:abstractNumId="222">
    <w:nsid w:val="3AA10581"/>
    <w:multiLevelType w:val="hybridMultilevel"/>
    <w:lvl w:ilvl="0">
      <w:lvlJc w:val="left"/>
      <w:lvlText w:val="(%1)"/>
      <w:numFmt w:val="lowerLetter"/>
      <w:start w:val="2"/>
    </w:lvl>
    <w:lvl w:ilvl="1">
      <w:lvlJc w:val="left"/>
      <w:lvlText w:val="(%2)"/>
      <w:numFmt w:val="lowerRoman"/>
      <w:start w:val="1"/>
    </w:lvl>
  </w:abstractNum>
  <w:abstractNum w:abstractNumId="223">
    <w:nsid w:val="63DE60CD"/>
    <w:multiLevelType w:val="hybridMultilevel"/>
    <w:lvl w:ilvl="0">
      <w:lvlJc w:val="left"/>
      <w:lvlText w:val="(%1)"/>
      <w:numFmt w:val="lowerLetter"/>
      <w:start w:val="1"/>
    </w:lvl>
  </w:abstractNum>
  <w:abstractNum w:abstractNumId="224">
    <w:nsid w:val="621AF471"/>
    <w:multiLevelType w:val="hybridMultilevel"/>
    <w:lvl w:ilvl="0">
      <w:lvlJc w:val="left"/>
      <w:lvlText w:val="%1"/>
      <w:numFmt w:val="lowerLetter"/>
      <w:start w:val="1"/>
    </w:lvl>
    <w:lvl w:ilvl="1">
      <w:lvlJc w:val="left"/>
      <w:lvlText w:val="(%2)"/>
      <w:numFmt w:val="lowerLetter"/>
      <w:start w:val="2"/>
    </w:lvl>
  </w:abstractNum>
  <w:abstractNum w:abstractNumId="225">
    <w:nsid w:val="73CFE165"/>
    <w:multiLevelType w:val="hybridMultilevel"/>
    <w:lvl w:ilvl="0">
      <w:lvlJc w:val="left"/>
      <w:lvlText w:val="(%1)"/>
      <w:numFmt w:val="lowerLetter"/>
      <w:start w:val="61"/>
    </w:lvl>
    <w:lvl w:ilvl="1">
      <w:lvlJc w:val="left"/>
      <w:lvlText w:val="%2"/>
      <w:numFmt w:val="lowerLetter"/>
      <w:start w:val="1"/>
    </w:lvl>
  </w:abstractNum>
  <w:abstractNum w:abstractNumId="226">
    <w:nsid w:val="20F88EA6"/>
    <w:multiLevelType w:val="hybridMultilevel"/>
    <w:lvl w:ilvl="0">
      <w:lvlJc w:val="left"/>
      <w:lvlText w:val="(%1)"/>
      <w:numFmt w:val="lowerLetter"/>
      <w:start w:val="3"/>
    </w:lvl>
  </w:abstractNum>
  <w:abstractNum w:abstractNumId="227">
    <w:nsid w:val="617C843E"/>
    <w:multiLevelType w:val="hybridMultilevel"/>
    <w:lvl w:ilvl="0">
      <w:lvlJc w:val="left"/>
      <w:lvlText w:val="(%1)"/>
      <w:numFmt w:val="lowerLetter"/>
      <w:start w:val="1"/>
    </w:lvl>
  </w:abstractNum>
  <w:abstractNum w:abstractNumId="228">
    <w:nsid w:val="7B541FAB"/>
    <w:multiLevelType w:val="hybridMultilevel"/>
    <w:lvl w:ilvl="0">
      <w:lvlJc w:val="left"/>
      <w:lvlText w:val="%1"/>
      <w:numFmt w:val="lowerLetter"/>
      <w:start w:val="1"/>
    </w:lvl>
    <w:lvl w:ilvl="1">
      <w:lvlJc w:val="left"/>
      <w:lvlText w:val="(%2)"/>
      <w:numFmt w:val="lowerLetter"/>
      <w:start w:val="1"/>
    </w:lvl>
  </w:abstractNum>
  <w:abstractNum w:abstractNumId="229">
    <w:nsid w:val="2A79EC49"/>
    <w:multiLevelType w:val="hybridMultilevel"/>
    <w:lvl w:ilvl="0">
      <w:lvlJc w:val="left"/>
      <w:lvlText w:val="(%1)"/>
      <w:numFmt w:val="lowerLetter"/>
      <w:start w:val="9"/>
    </w:lvl>
    <w:lvl w:ilvl="1">
      <w:lvlJc w:val="left"/>
      <w:lvlText w:val="%2"/>
      <w:numFmt w:val="lowerLetter"/>
      <w:start w:val="1"/>
    </w:lvl>
  </w:abstractNum>
  <w:abstractNum w:abstractNumId="230">
    <w:nsid w:val="338125CF"/>
    <w:multiLevelType w:val="hybridMultilevel"/>
    <w:lvl w:ilvl="0">
      <w:lvlJc w:val="left"/>
      <w:lvlText w:val="(%1)"/>
      <w:numFmt w:val="lowerLetter"/>
      <w:start w:val="2"/>
    </w:lvl>
  </w:abstractNum>
  <w:abstractNum w:abstractNumId="231">
    <w:nsid w:val="47C7C971"/>
    <w:multiLevelType w:val="hybridMultilevel"/>
    <w:lvl w:ilvl="0">
      <w:lvlJc w:val="left"/>
      <w:lvlText w:val="(%1)"/>
      <w:numFmt w:val="lowerLetter"/>
      <w:start w:val="1"/>
    </w:lvl>
  </w:abstractNum>
  <w:abstractNum w:abstractNumId="232">
    <w:nsid w:val="46F8284B"/>
    <w:multiLevelType w:val="hybridMultilevel"/>
    <w:lvl w:ilvl="0">
      <w:lvlJc w:val="left"/>
      <w:lvlText w:val="(%1)"/>
      <w:numFmt w:val="lowerLetter"/>
      <w:start w:val="3"/>
    </w:lvl>
  </w:abstractNum>
  <w:abstractNum w:abstractNumId="233">
    <w:nsid w:val="4FA327CE"/>
    <w:multiLevelType w:val="hybridMultilevel"/>
    <w:lvl w:ilvl="0">
      <w:lvlJc w:val="left"/>
      <w:lvlText w:val="(%1)"/>
      <w:numFmt w:val="lowerLetter"/>
      <w:start w:val="1"/>
    </w:lvl>
  </w:abstractNum>
  <w:abstractNum w:abstractNumId="234">
    <w:nsid w:val="1873983A"/>
    <w:multiLevelType w:val="hybridMultilevel"/>
    <w:lvl w:ilvl="0">
      <w:lvlJc w:val="left"/>
      <w:lvlText w:val="(%1)"/>
      <w:numFmt w:val="lowerLetter"/>
      <w:start w:val="9"/>
    </w:lvl>
  </w:abstractNum>
  <w:abstractNum w:abstractNumId="235">
    <w:nsid w:val="3D2DD275"/>
    <w:multiLevelType w:val="hybridMultilevel"/>
    <w:lvl w:ilvl="0">
      <w:lvlJc w:val="left"/>
      <w:lvlText w:val="(%1)"/>
      <w:numFmt w:val="lowerLetter"/>
      <w:start w:val="1"/>
    </w:lvl>
    <w:lvl w:ilvl="1">
      <w:lvlJc w:val="left"/>
      <w:lvlText w:val="(%2)"/>
      <w:numFmt w:val="lowerRoman"/>
      <w:start w:val="1"/>
    </w:lvl>
  </w:abstractNum>
  <w:abstractNum w:abstractNumId="236">
    <w:nsid w:val="2E17ECA7"/>
    <w:multiLevelType w:val="hybridMultilevel"/>
    <w:lvl w:ilvl="0">
      <w:lvlJc w:val="left"/>
      <w:lvlText w:val="%1"/>
      <w:numFmt w:val="lowerLetter"/>
      <w:start w:val="1"/>
    </w:lvl>
    <w:lvl w:ilvl="1">
      <w:lvlJc w:val="left"/>
      <w:lvlText w:val="(%2)"/>
      <w:numFmt w:val="lowerRoman"/>
      <w:start w:val="3"/>
    </w:lvl>
  </w:abstractNum>
  <w:abstractNum w:abstractNumId="237">
    <w:nsid w:val="53B2564F"/>
    <w:multiLevelType w:val="hybridMultilevel"/>
    <w:lvl w:ilvl="0">
      <w:lvlJc w:val="left"/>
      <w:lvlText w:val="(%1)"/>
      <w:numFmt w:val="lowerLetter"/>
      <w:start w:val="3"/>
    </w:lvl>
    <w:lvl w:ilvl="1">
      <w:lvlJc w:val="left"/>
      <w:lvlText w:val="%2"/>
      <w:numFmt w:val="lowerRoman"/>
      <w:start w:val="1"/>
    </w:lvl>
  </w:abstractNum>
  <w:abstractNum w:abstractNumId="238">
    <w:nsid w:val="75509D76"/>
    <w:multiLevelType w:val="hybridMultilevel"/>
    <w:lvl w:ilvl="0">
      <w:lvlJc w:val="left"/>
      <w:lvlText w:val="(%1)"/>
      <w:numFmt w:val="lowerLetter"/>
      <w:start w:val="1"/>
    </w:lvl>
    <w:lvl w:ilvl="1">
      <w:lvlJc w:val="left"/>
      <w:lvlText w:val="(%2)"/>
      <w:numFmt w:val="lowerRoman"/>
      <w:start w:val="1"/>
    </w:lvl>
  </w:abstractNum>
  <w:abstractNum w:abstractNumId="239">
    <w:nsid w:val="1AF7F0EA"/>
    <w:multiLevelType w:val="hybridMultilevel"/>
    <w:lvl w:ilvl="0">
      <w:lvlJc w:val="left"/>
      <w:lvlText w:val="(%1)"/>
      <w:numFmt w:val="lowerRoman"/>
      <w:start w:val="2"/>
    </w:lvl>
  </w:abstractNum>
  <w:abstractNum w:abstractNumId="240">
    <w:nsid w:val="4DA32C7E"/>
    <w:multiLevelType w:val="hybridMultilevel"/>
    <w:lvl w:ilvl="0">
      <w:lvlJc w:val="left"/>
      <w:lvlText w:val="(%1)"/>
      <w:numFmt w:val="lowerLetter"/>
      <w:start w:val="1"/>
    </w:lvl>
  </w:abstractNum>
  <w:abstractNum w:abstractNumId="241">
    <w:nsid w:val="6EC68664"/>
    <w:multiLevelType w:val="hybridMultilevel"/>
    <w:lvl w:ilvl="0">
      <w:lvlJc w:val="left"/>
      <w:lvlText w:val="(%1)"/>
      <w:numFmt w:val="lowerLetter"/>
      <w:start w:val="1"/>
    </w:lvl>
  </w:abstractNum>
  <w:abstractNum w:abstractNumId="242">
    <w:nsid w:val="E0D31FF"/>
    <w:multiLevelType w:val="hybridMultilevel"/>
    <w:lvl w:ilvl="0">
      <w:lvlJc w:val="left"/>
      <w:lvlText w:val="(%1)"/>
      <w:numFmt w:val="lowerLetter"/>
      <w:start w:val="3"/>
    </w:lvl>
  </w:abstractNum>
  <w:abstractNum w:abstractNumId="243">
    <w:nsid w:val="2FD0AD81"/>
    <w:multiLevelType w:val="hybridMultilevel"/>
    <w:lvl w:ilvl="0">
      <w:lvlJc w:val="left"/>
      <w:lvlText w:val="(%1)"/>
      <w:numFmt w:val="lowerLetter"/>
      <w:start w:val="1"/>
    </w:lvl>
  </w:abstractNum>
  <w:abstractNum w:abstractNumId="244">
    <w:nsid w:val="1978EBEB"/>
    <w:multiLevelType w:val="hybridMultilevel"/>
    <w:lvl w:ilvl="0">
      <w:lvlJc w:val="left"/>
      <w:lvlText w:val="(%1)"/>
      <w:numFmt w:val="lowerRoman"/>
      <w:start w:val="1"/>
    </w:lvl>
  </w:abstractNum>
  <w:abstractNum w:abstractNumId="245">
    <w:nsid w:val="52C12C61"/>
    <w:multiLevelType w:val="hybridMultilevel"/>
    <w:lvl w:ilvl="0">
      <w:lvlJc w:val="left"/>
      <w:lvlText w:val="%1"/>
      <w:numFmt w:val="lowerLetter"/>
      <w:start w:val="1"/>
    </w:lvl>
    <w:lvl w:ilvl="1">
      <w:lvlJc w:val="left"/>
      <w:lvlText w:val="(%2)"/>
      <w:numFmt w:val="lowerLetter"/>
      <w:start w:val="1"/>
    </w:lvl>
  </w:abstractNum>
  <w:abstractNum w:abstractNumId="246">
    <w:nsid w:val="4BDD53FD"/>
    <w:multiLevelType w:val="hybridMultilevel"/>
    <w:lvl w:ilvl="0">
      <w:lvlJc w:val="left"/>
      <w:lvlText w:val="(%1)"/>
      <w:numFmt w:val="lowerLetter"/>
      <w:start w:val="9"/>
    </w:lvl>
    <w:lvl w:ilvl="1">
      <w:lvlJc w:val="left"/>
      <w:lvlText w:val="%2"/>
      <w:numFmt w:val="lowerLetter"/>
      <w:start w:val="1"/>
    </w:lvl>
  </w:abstractNum>
  <w:abstractNum w:abstractNumId="247">
    <w:nsid w:val="569951FE"/>
    <w:multiLevelType w:val="hybridMultilevel"/>
    <w:lvl w:ilvl="0">
      <w:lvlJc w:val="left"/>
      <w:lvlText w:val="(%1)"/>
      <w:numFmt w:val="lowerLetter"/>
      <w:start w:val="1"/>
    </w:lvl>
    <w:lvl w:ilvl="1">
      <w:lvlJc w:val="left"/>
      <w:lvlText w:val="(%2)"/>
      <w:numFmt w:val="lowerRoman"/>
      <w:start w:val="1"/>
    </w:lvl>
  </w:abstractNum>
  <w:abstractNum w:abstractNumId="248">
    <w:nsid w:val="4C54E2C3"/>
    <w:multiLevelType w:val="hybridMultilevel"/>
    <w:lvl w:ilvl="0">
      <w:lvlJc w:val="left"/>
      <w:lvlText w:val="(%1)"/>
      <w:numFmt w:val="lowerLetter"/>
      <w:start w:val="1"/>
    </w:lvl>
  </w:abstractNum>
  <w:abstractNum w:abstractNumId="249">
    <w:nsid w:val="788BD9B"/>
    <w:multiLevelType w:val="hybridMultilevel"/>
    <w:lvl w:ilvl="0">
      <w:lvlJc w:val="left"/>
      <w:lvlText w:val="(%1)"/>
      <w:numFmt w:val="lowerLetter"/>
      <w:start w:val="1"/>
    </w:lvl>
  </w:abstractNum>
  <w:abstractNum w:abstractNumId="250">
    <w:nsid w:val="47CAA567"/>
    <w:multiLevelType w:val="hybridMultilevel"/>
    <w:lvl w:ilvl="0">
      <w:lvlJc w:val="left"/>
      <w:lvlText w:val="(%1)"/>
      <w:numFmt w:val="lowerLetter"/>
      <w:start w:val="4"/>
    </w:lvl>
  </w:abstractNum>
  <w:abstractNum w:abstractNumId="251">
    <w:nsid w:val="48249DBF"/>
    <w:multiLevelType w:val="hybridMultilevel"/>
    <w:lvl w:ilvl="0">
      <w:lvlJc w:val="left"/>
      <w:lvlText w:val="(%1)"/>
      <w:numFmt w:val="lowerLetter"/>
      <w:start w:val="7"/>
    </w:lvl>
  </w:abstractNum>
  <w:abstractNum w:abstractNumId="252">
    <w:nsid w:val="1F0E5D0D"/>
    <w:multiLevelType w:val="hybridMultilevel"/>
    <w:lvl w:ilvl="0">
      <w:lvlJc w:val="left"/>
      <w:lvlText w:val="(%1)"/>
      <w:numFmt w:val="lowerLetter"/>
      <w:start w:val="1"/>
    </w:lvl>
  </w:abstractNum>
  <w:abstractNum w:abstractNumId="253">
    <w:nsid w:val="26BAAE9"/>
    <w:multiLevelType w:val="hybridMultilevel"/>
    <w:lvl w:ilvl="0">
      <w:lvlJc w:val="left"/>
      <w:lvlText w:val="%1"/>
      <w:numFmt w:val="lowerLetter"/>
      <w:start w:val="1"/>
    </w:lvl>
    <w:lvl w:ilvl="1">
      <w:lvlJc w:val="left"/>
      <w:lvlText w:val="(%2)"/>
      <w:numFmt w:val="lowerLetter"/>
      <w:start w:val="1"/>
    </w:lvl>
  </w:abstractNum>
  <w:abstractNum w:abstractNumId="254">
    <w:nsid w:val="2C02FE8C"/>
    <w:multiLevelType w:val="hybridMultilevel"/>
    <w:lvl w:ilvl="0">
      <w:lvlJc w:val="left"/>
      <w:lvlText w:val="(%1)"/>
      <w:numFmt w:val="lowerLetter"/>
      <w:start w:val="9"/>
    </w:lvl>
    <w:lvl w:ilvl="1">
      <w:lvlJc w:val="left"/>
      <w:lvlText w:val="%2"/>
      <w:numFmt w:val="lowerLetter"/>
      <w:start w:val="1"/>
    </w:lvl>
  </w:abstractNum>
  <w:abstractNum w:abstractNumId="255">
    <w:nsid w:val="129517E"/>
    <w:multiLevelType w:val="hybridMultilevel"/>
    <w:lvl w:ilvl="0">
      <w:lvlJc w:val="left"/>
      <w:lvlText w:val="(%1)"/>
      <w:numFmt w:val="lowerLetter"/>
      <w:start w:val="35"/>
    </w:lvl>
    <w:lvl w:ilvl="1">
      <w:lvlJc w:val="left"/>
      <w:lvlText w:val="(%2)"/>
      <w:numFmt w:val="lowerLetter"/>
      <w:start w:val="2"/>
    </w:lvl>
  </w:abstractNum>
  <w:abstractNum w:abstractNumId="256">
    <w:nsid w:val="763B8C4E"/>
    <w:multiLevelType w:val="hybridMultilevel"/>
    <w:lvl w:ilvl="0">
      <w:lvlJc w:val="left"/>
      <w:lvlText w:val="(%1)"/>
      <w:numFmt w:val="lowerLetter"/>
      <w:start w:val="1"/>
    </w:lvl>
    <w:lvl w:ilvl="1">
      <w:lvlJc w:val="left"/>
      <w:lvlText w:val="(%2)"/>
      <w:numFmt w:val="lowerLetter"/>
      <w:start w:val="9"/>
    </w:lvl>
  </w:abstractNum>
  <w:abstractNum w:abstractNumId="257">
    <w:nsid w:val="4CFB8D32"/>
    <w:multiLevelType w:val="hybridMultilevel"/>
    <w:lvl w:ilvl="0">
      <w:lvlJc w:val="left"/>
      <w:lvlText w:val="(%1)"/>
      <w:numFmt w:val="lowerRoman"/>
      <w:start w:val="2"/>
    </w:lvl>
  </w:abstractNum>
  <w:abstractNum w:abstractNumId="258">
    <w:nsid w:val="62A5D5BD"/>
    <w:multiLevelType w:val="hybridMultilevel"/>
    <w:lvl w:ilvl="0">
      <w:lvlJc w:val="left"/>
      <w:lvlText w:val="(%1)"/>
      <w:numFmt w:val="lowerRoman"/>
      <w:start w:val="13"/>
    </w:lvl>
  </w:abstractNum>
  <w:abstractNum w:abstractNumId="259">
    <w:nsid w:val="718FABF9"/>
    <w:multiLevelType w:val="hybridMultilevel"/>
    <w:lvl w:ilvl="0">
      <w:lvlJc w:val="left"/>
      <w:lvlText w:val="(%1)"/>
      <w:numFmt w:val="lowerRoman"/>
      <w:start w:val="17"/>
    </w:lvl>
  </w:abstractNum>
  <w:abstractNum w:abstractNumId="260">
    <w:nsid w:val="7775797C"/>
    <w:multiLevelType w:val="hybridMultilevel"/>
    <w:lvl w:ilvl="0">
      <w:lvlJc w:val="left"/>
      <w:lvlText w:val="(%1)"/>
      <w:numFmt w:val="lowerRoman"/>
      <w:start w:val="20"/>
    </w:lvl>
  </w:abstractNum>
  <w:abstractNum w:abstractNumId="261">
    <w:nsid w:val="1626FB8C"/>
    <w:multiLevelType w:val="hybridMultilevel"/>
    <w:lvl w:ilvl="0">
      <w:lvlJc w:val="left"/>
      <w:lvlText w:val="(%1)"/>
      <w:numFmt w:val="lowerRoman"/>
      <w:start w:val="22"/>
    </w:lvl>
  </w:abstractNum>
  <w:abstractNum w:abstractNumId="262">
    <w:nsid w:val="3957756A"/>
    <w:multiLevelType w:val="hybridMultilevel"/>
    <w:lvl w:ilvl="0">
      <w:lvlJc w:val="left"/>
      <w:lvlText w:val="(%1)"/>
      <w:numFmt w:val="lowerRoman"/>
      <w:start w:val="27"/>
    </w:lvl>
  </w:abstractNum>
  <w:abstractNum w:abstractNumId="263">
    <w:nsid w:val="3E6DA1C7"/>
    <w:multiLevelType w:val="hybridMultilevel"/>
    <w:lvl w:ilvl="0">
      <w:lvlJc w:val="left"/>
      <w:lvlText w:val="(%1)"/>
      <w:numFmt w:val="lowerRoman"/>
      <w:start w:val="31"/>
    </w:lvl>
  </w:abstractNum>
  <w:abstractNum w:abstractNumId="264">
    <w:nsid w:val="65CA235B"/>
    <w:multiLevelType w:val="hybridMultilevel"/>
    <w:lvl w:ilvl="0">
      <w:lvlJc w:val="left"/>
      <w:lvlText w:val="(%1)"/>
      <w:numFmt w:val="lowerLetter"/>
      <w:start w:val="1"/>
    </w:lvl>
  </w:abstractNum>
  <w:abstractNum w:abstractNumId="265">
    <w:nsid w:val="51CB0DA4"/>
    <w:multiLevelType w:val="hybridMultilevel"/>
    <w:lvl w:ilvl="0">
      <w:lvlJc w:val="left"/>
      <w:lvlText w:val="(%1)"/>
      <w:numFmt w:val="lowerLetter"/>
      <w:start w:val="2"/>
    </w:lvl>
  </w:abstractNum>
  <w:abstractNum w:abstractNumId="266">
    <w:nsid w:val="7B9B743C"/>
    <w:multiLevelType w:val="hybridMultilevel"/>
    <w:lvl w:ilvl="0">
      <w:lvlJc w:val="left"/>
      <w:lvlText w:val="(%1)"/>
      <w:numFmt w:val="lowerLetter"/>
      <w:start w:val="1"/>
    </w:lvl>
  </w:abstractNum>
  <w:abstractNum w:abstractNumId="267">
    <w:nsid w:val="13E21002"/>
    <w:multiLevelType w:val="hybridMultilevel"/>
    <w:lvl w:ilvl="0">
      <w:lvlJc w:val="left"/>
      <w:lvlText w:val="%1"/>
      <w:numFmt w:val="upperLetter"/>
      <w:start w:val="1"/>
    </w:lvl>
    <w:lvl w:ilvl="1">
      <w:lvlJc w:val="left"/>
      <w:lvlText w:val="(%2)"/>
      <w:numFmt w:val="lowerLetter"/>
      <w:start w:val="6"/>
    </w:lvl>
  </w:abstractNum>
  <w:abstractNum w:abstractNumId="268">
    <w:nsid w:val="257D63F4"/>
    <w:multiLevelType w:val="hybridMultilevel"/>
    <w:lvl w:ilvl="0">
      <w:lvlJc w:val="left"/>
      <w:lvlText w:val="(%1)"/>
      <w:numFmt w:val="upperLetter"/>
      <w:start w:val="2"/>
    </w:lvl>
    <w:lvl w:ilvl="1">
      <w:lvlJc w:val="left"/>
      <w:lvlText w:val="%2"/>
      <w:numFmt w:val="lowerLetter"/>
      <w:start w:val="1"/>
    </w:lvl>
  </w:abstractNum>
  <w:abstractNum w:abstractNumId="269">
    <w:nsid w:val="70EC11B2"/>
    <w:multiLevelType w:val="hybridMultilevel"/>
    <w:lvl w:ilvl="0">
      <w:lvlJc w:val="left"/>
      <w:lvlText w:val="(%1)"/>
      <w:numFmt w:val="lowerLetter"/>
      <w:start w:val="8"/>
    </w:lvl>
    <w:lvl w:ilvl="1">
      <w:lvlJc w:val="left"/>
      <w:lvlText w:val="(%2)"/>
      <w:numFmt w:val="decimal"/>
      <w:start w:val="1"/>
    </w:lvl>
  </w:abstractNum>
  <w:abstractNum w:abstractNumId="270">
    <w:nsid w:val="2EDA00ED"/>
    <w:multiLevelType w:val="hybridMultilevel"/>
    <w:lvl w:ilvl="0">
      <w:lvlJc w:val="left"/>
      <w:lvlText w:val="(%1)"/>
      <w:numFmt w:val="lowerLetter"/>
      <w:start w:val="11"/>
    </w:lvl>
  </w:abstractNum>
  <w:abstractNum w:abstractNumId="271">
    <w:nsid w:val="73209072"/>
    <w:multiLevelType w:val="hybridMultilevel"/>
    <w:lvl w:ilvl="0">
      <w:lvlJc w:val="left"/>
      <w:lvlText w:val="(%1)"/>
      <w:numFmt w:val="lowerLetter"/>
      <w:start w:val="22"/>
    </w:lvl>
  </w:abstractNum>
  <w:abstractNum w:abstractNumId="272">
    <w:nsid w:val="5FB29816"/>
    <w:multiLevelType w:val="hybridMultilevel"/>
    <w:lvl w:ilvl="0">
      <w:lvlJc w:val="left"/>
      <w:lvlText w:val="(%1)"/>
      <w:numFmt w:val="lowerLetter"/>
      <w:start w:val="27"/>
    </w:lvl>
  </w:abstractNum>
  <w:abstractNum w:abstractNumId="273">
    <w:nsid w:val="3CE732EC"/>
    <w:multiLevelType w:val="hybridMultilevel"/>
    <w:lvl w:ilvl="0">
      <w:lvlJc w:val="left"/>
      <w:lvlText w:val="(%1)"/>
      <w:numFmt w:val="lowerLetter"/>
      <w:start w:val="1"/>
    </w:lvl>
  </w:abstractNum>
  <w:abstractNum w:abstractNumId="274">
    <w:nsid w:val="22F13DF3"/>
    <w:multiLevelType w:val="hybridMultilevel"/>
    <w:lvl w:ilvl="0">
      <w:lvlJc w:val="left"/>
      <w:lvlText w:val="(%1)"/>
      <w:numFmt w:val="upperLetter"/>
      <w:start w:val="3"/>
    </w:lvl>
    <w:lvl w:ilvl="1">
      <w:lvlJc w:val="left"/>
      <w:lvlText w:val="(%2)"/>
      <w:numFmt w:val="lowerLetter"/>
      <w:start w:val="2"/>
    </w:lvl>
  </w:abstractNum>
  <w:abstractNum w:abstractNumId="275">
    <w:nsid w:val="792B8401"/>
    <w:multiLevelType w:val="hybridMultilevel"/>
    <w:lvl w:ilvl="0">
      <w:lvlJc w:val="left"/>
      <w:lvlText w:val="(%1)"/>
      <w:numFmt w:val="lowerLetter"/>
      <w:start w:val="3"/>
    </w:lvl>
  </w:abstractNum>
  <w:abstractNum w:abstractNumId="276">
    <w:nsid w:val="FA85F4D"/>
    <w:multiLevelType w:val="hybridMultilevel"/>
    <w:lvl w:ilvl="0">
      <w:lvlJc w:val="left"/>
      <w:lvlText w:val="(%1)"/>
      <w:numFmt w:val="lowerLetter"/>
      <w:start w:val="1"/>
    </w:lvl>
  </w:abstractNum>
  <w:abstractNum w:abstractNumId="277">
    <w:nsid w:val="6ECE91F0"/>
    <w:multiLevelType w:val="hybridMultilevel"/>
    <w:lvl w:ilvl="0">
      <w:lvlJc w:val="left"/>
      <w:lvlText w:val="(%1)"/>
      <w:numFmt w:val="lowerLetter"/>
      <w:start w:val="8"/>
    </w:lvl>
  </w:abstractNum>
  <w:abstractNum w:abstractNumId="278">
    <w:nsid w:val="4FC4D600"/>
    <w:multiLevelType w:val="hybridMultilevel"/>
    <w:lvl w:ilvl="0">
      <w:lvlJc w:val="left"/>
      <w:lvlText w:val="%1"/>
      <w:numFmt w:val="lowerLetter"/>
      <w:start w:val="1"/>
    </w:lvl>
    <w:lvl w:ilvl="1">
      <w:lvlJc w:val="left"/>
      <w:lvlText w:val="(%2)"/>
      <w:numFmt w:val="lowerLetter"/>
      <w:start w:val="19"/>
    </w:lvl>
  </w:abstractNum>
  <w:abstractNum w:abstractNumId="279">
    <w:nsid w:val="5BFD4210"/>
    <w:multiLevelType w:val="hybridMultilevel"/>
    <w:lvl w:ilvl="0">
      <w:lvlJc w:val="left"/>
      <w:lvlText w:val="(%1)"/>
      <w:numFmt w:val="lowerLetter"/>
      <w:start w:val="4"/>
    </w:lvl>
    <w:lvl w:ilvl="1">
      <w:lvlJc w:val="left"/>
      <w:lvlText w:val="%2"/>
      <w:numFmt w:val="lowerLetter"/>
      <w:start w:val="1"/>
    </w:lvl>
  </w:abstractNum>
  <w:abstractNum w:abstractNumId="280">
    <w:nsid w:val="76574F8B"/>
    <w:multiLevelType w:val="hybridMultilevel"/>
    <w:lvl w:ilvl="0">
      <w:lvlJc w:val="left"/>
      <w:lvlText w:val="(%1)"/>
      <w:numFmt w:val="lowerLetter"/>
      <w:start w:val="35"/>
    </w:lvl>
    <w:lvl w:ilvl="1">
      <w:lvlJc w:val="left"/>
      <w:lvlText w:val="(%2)"/>
      <w:numFmt w:val="lowerLetter"/>
      <w:start w:val="26"/>
    </w:lvl>
  </w:abstractNum>
  <w:abstractNum w:abstractNumId="281">
    <w:nsid w:val="178F7B67"/>
    <w:multiLevelType w:val="hybridMultilevel"/>
    <w:lvl w:ilvl="0">
      <w:lvlJc w:val="left"/>
      <w:lvlText w:val="(%1)"/>
      <w:numFmt w:val="lowerLetter"/>
      <w:start w:val="27"/>
    </w:lvl>
  </w:abstractNum>
  <w:abstractNum w:abstractNumId="282">
    <w:nsid w:val="2421DFCF"/>
    <w:multiLevelType w:val="hybridMultilevel"/>
    <w:lvl w:ilvl="0">
      <w:lvlJc w:val="left"/>
      <w:lvlText w:val="(%1)"/>
      <w:numFmt w:val="lowerLetter"/>
      <w:start w:val="1"/>
    </w:lvl>
  </w:abstractNum>
  <w:abstractNum w:abstractNumId="283">
    <w:nsid w:val="1565AC99"/>
    <w:multiLevelType w:val="hybridMultilevel"/>
    <w:lvl w:ilvl="0">
      <w:lvlJc w:val="left"/>
      <w:lvlText w:val="(%1)"/>
      <w:numFmt w:val="lowerLetter"/>
      <w:start w:val="2"/>
    </w:lvl>
  </w:abstractNum>
  <w:abstractNum w:abstractNumId="284">
    <w:nsid w:val="19FB2650"/>
    <w:multiLevelType w:val="hybridMultilevel"/>
    <w:lvl w:ilvl="0">
      <w:lvlJc w:val="left"/>
      <w:lvlText w:val="%1"/>
      <w:numFmt w:val="upperLetter"/>
      <w:start w:val="1"/>
    </w:lvl>
    <w:lvl w:ilvl="1">
      <w:lvlJc w:val="left"/>
      <w:lvlText w:val="(%2)"/>
      <w:numFmt w:val="lowerLetter"/>
      <w:start w:val="10"/>
    </w:lvl>
  </w:abstractNum>
  <w:abstractNum w:abstractNumId="285">
    <w:nsid w:val="5024DE5B"/>
    <w:multiLevelType w:val="hybridMultilevel"/>
    <w:lvl w:ilvl="0">
      <w:lvlJc w:val="left"/>
      <w:lvlText w:val="(%1)"/>
      <w:numFmt w:val="upperLetter"/>
      <w:start w:val="3"/>
    </w:lvl>
    <w:lvl w:ilvl="1">
      <w:lvlJc w:val="left"/>
      <w:lvlText w:val="(%2)"/>
      <w:numFmt w:val="lowerLetter"/>
      <w:start w:val="16"/>
    </w:lvl>
  </w:abstractNum>
  <w:abstractNum w:abstractNumId="286">
    <w:nsid w:val="168EFE17"/>
    <w:multiLevelType w:val="hybridMultilevel"/>
    <w:lvl w:ilvl="0">
      <w:lvlJc w:val="left"/>
      <w:lvlText w:val="%1"/>
      <w:numFmt w:val="lowerLetter"/>
      <w:start w:val="1"/>
    </w:lvl>
    <w:lvl w:ilvl="1">
      <w:lvlJc w:val="left"/>
      <w:lvlText w:val="(%2)"/>
      <w:numFmt w:val="lowerLetter"/>
      <w:start w:val="18"/>
    </w:lvl>
  </w:abstractNum>
  <w:abstractNum w:abstractNumId="287">
    <w:nsid w:val="1036B29F"/>
    <w:multiLevelType w:val="hybridMultilevel"/>
    <w:lvl w:ilvl="0">
      <w:lvlJc w:val="left"/>
      <w:lvlText w:val="(%1)"/>
      <w:numFmt w:val="lowerLetter"/>
      <w:start w:val="35"/>
    </w:lvl>
    <w:lvl w:ilvl="1">
      <w:lvlJc w:val="left"/>
      <w:lvlText w:val="(%2)"/>
      <w:numFmt w:val="lowerLetter"/>
      <w:start w:val="19"/>
    </w:lvl>
  </w:abstractNum>
  <w:abstractNum w:abstractNumId="288">
    <w:nsid w:val="1D206B8E"/>
    <w:multiLevelType w:val="hybridMultilevel"/>
    <w:lvl w:ilvl="0">
      <w:lvlJc w:val="left"/>
      <w:lvlText w:val="(%1)"/>
      <w:numFmt w:val="upperLetter"/>
      <w:start w:val="1"/>
    </w:lvl>
  </w:abstractNum>
  <w:abstractNum w:abstractNumId="289">
    <w:nsid w:val="7934D3D4"/>
    <w:multiLevelType w:val="hybridMultilevel"/>
    <w:lvl w:ilvl="0">
      <w:lvlJc w:val="left"/>
      <w:lvlText w:val="(%1)"/>
      <w:numFmt w:val="lowerLetter"/>
      <w:start w:val="1"/>
    </w:lvl>
  </w:abstractNum>
  <w:abstractNum w:abstractNumId="290">
    <w:nsid w:val="1C65E98"/>
    <w:multiLevelType w:val="hybridMultilevel"/>
    <w:lvl w:ilvl="0">
      <w:lvlJc w:val="left"/>
      <w:lvlText w:val="(%1)"/>
      <w:numFmt w:val="lowerLetter"/>
      <w:start w:val="2"/>
    </w:lvl>
  </w:abstractNum>
  <w:abstractNum w:abstractNumId="291">
    <w:nsid w:val="1495E50A"/>
    <w:multiLevelType w:val="hybridMultilevel"/>
    <w:lvl w:ilvl="0">
      <w:lvlJc w:val="left"/>
      <w:lvlText w:val="%1"/>
      <w:numFmt w:val="lowerLetter"/>
      <w:start w:val="1"/>
    </w:lvl>
    <w:lvl w:ilvl="1">
      <w:lvlJc w:val="left"/>
      <w:lvlText w:val="(%2)"/>
      <w:numFmt w:val="lowerLetter"/>
      <w:start w:val="7"/>
    </w:lvl>
  </w:abstractNum>
  <w:abstractNum w:abstractNumId="292">
    <w:nsid w:val="F5BCF61"/>
    <w:multiLevelType w:val="hybridMultilevel"/>
    <w:lvl w:ilvl="0">
      <w:lvlJc w:val="left"/>
      <w:lvlText w:val="(%1)"/>
      <w:numFmt w:val="lowerLetter"/>
      <w:start w:val="35"/>
    </w:lvl>
    <w:lvl w:ilvl="1">
      <w:lvlJc w:val="left"/>
      <w:lvlText w:val="%2"/>
      <w:numFmt w:val="lowerLetter"/>
      <w:start w:val="1"/>
    </w:lvl>
  </w:abstractNum>
  <w:abstractNum w:abstractNumId="293">
    <w:nsid w:val="3B1DD403"/>
    <w:multiLevelType w:val="hybridMultilevel"/>
    <w:lvl w:ilvl="0">
      <w:lvlJc w:val="left"/>
      <w:lvlText w:val="(%1)"/>
      <w:numFmt w:val="lowerLetter"/>
      <w:start w:val="10"/>
    </w:lvl>
  </w:abstractNum>
  <w:abstractNum w:abstractNumId="294">
    <w:nsid w:val="530386D1"/>
    <w:multiLevelType w:val="hybridMultilevel"/>
    <w:lvl w:ilvl="0">
      <w:lvlJc w:val="left"/>
      <w:lvlText w:val="(%1)"/>
      <w:numFmt w:val="lowerLetter"/>
      <w:start w:val="1"/>
    </w:lvl>
  </w:abstractNum>
  <w:abstractNum w:abstractNumId="295">
    <w:nsid w:val="7525F2BC"/>
    <w:multiLevelType w:val="hybridMultilevel"/>
    <w:lvl w:ilvl="0">
      <w:lvlJc w:val="left"/>
      <w:lvlText w:val="(%1)"/>
      <w:numFmt w:val="lowerLetter"/>
      <w:start w:val="1"/>
    </w:lvl>
  </w:abstractNum>
  <w:abstractNum w:abstractNumId="296">
    <w:nsid w:val="CE8E1A7"/>
    <w:multiLevelType w:val="hybridMultilevel"/>
    <w:lvl w:ilvl="0">
      <w:lvlJc w:val="left"/>
      <w:lvlText w:val="(%1)"/>
      <w:numFmt w:val="lowerLetter"/>
      <w:start w:val="11"/>
    </w:lvl>
  </w:abstractNum>
  <w:abstractNum w:abstractNumId="297">
    <w:nsid w:val="4E9EFB0D"/>
    <w:multiLevelType w:val="hybridMultilevel"/>
    <w:lvl w:ilvl="0">
      <w:lvlJc w:val="left"/>
      <w:lvlText w:val="(%1)"/>
      <w:numFmt w:val="lowerLetter"/>
      <w:start w:val="1"/>
    </w:lvl>
  </w:abstractNum>
  <w:abstractNum w:abstractNumId="298">
    <w:nsid w:val="90802BE"/>
    <w:multiLevelType w:val="hybridMultilevel"/>
    <w:lvl w:ilvl="0">
      <w:lvlJc w:val="left"/>
      <w:lvlText w:val="(%1)"/>
      <w:numFmt w:val="lowerLetter"/>
      <w:start w:val="2"/>
    </w:lvl>
  </w:abstractNum>
  <w:abstractNum w:abstractNumId="299">
    <w:nsid w:val="3266459B"/>
    <w:multiLevelType w:val="hybridMultilevel"/>
    <w:lvl w:ilvl="0">
      <w:lvlJc w:val="left"/>
      <w:lvlText w:val="(%1)"/>
      <w:numFmt w:val="lowerLetter"/>
      <w:start w:val="1"/>
    </w:lvl>
  </w:abstractNum>
  <w:abstractNum w:abstractNumId="300">
    <w:nsid w:val="3F8B0CBF"/>
    <w:multiLevelType w:val="hybridMultilevel"/>
    <w:lvl w:ilvl="0">
      <w:lvlJc w:val="left"/>
      <w:lvlText w:val="(%1)"/>
      <w:numFmt w:val="lowerLetter"/>
      <w:start w:val="5"/>
    </w:lvl>
  </w:abstractNum>
  <w:abstractNum w:abstractNumId="301">
    <w:nsid w:val="37E203AB"/>
    <w:multiLevelType w:val="hybridMultilevel"/>
    <w:lvl w:ilvl="0">
      <w:lvlJc w:val="left"/>
      <w:lvlText w:val="(%1)"/>
      <w:numFmt w:val="lowerLetter"/>
      <w:start w:val="10"/>
    </w:lvl>
  </w:abstractNum>
  <w:abstractNum w:abstractNumId="302">
    <w:nsid w:val="2586D60E"/>
    <w:multiLevelType w:val="hybridMultilevel"/>
    <w:lvl w:ilvl="0">
      <w:lvlJc w:val="left"/>
      <w:lvlText w:val="(%1)"/>
      <w:numFmt w:val="lowerLetter"/>
      <w:start w:val="1"/>
    </w:lvl>
  </w:abstractNum>
  <w:abstractNum w:abstractNumId="303">
    <w:nsid w:val="1F3DA4D5"/>
    <w:multiLevelType w:val="hybridMultilevel"/>
    <w:lvl w:ilvl="0">
      <w:lvlJc w:val="left"/>
      <w:lvlText w:val="(%1)"/>
      <w:numFmt w:val="lowerLetter"/>
      <w:start w:val="2"/>
    </w:lvl>
  </w:abstractNum>
  <w:abstractNum w:abstractNumId="304">
    <w:nsid w:val="74C93698"/>
    <w:multiLevelType w:val="hybridMultilevel"/>
    <w:lvl w:ilvl="0">
      <w:lvlJc w:val="left"/>
      <w:lvlText w:val="(%1)"/>
      <w:numFmt w:val="lowerLetter"/>
      <w:start w:val="1"/>
    </w:lvl>
  </w:abstractNum>
  <w:abstractNum w:abstractNumId="305">
    <w:nsid w:val="48781401"/>
    <w:multiLevelType w:val="hybridMultilevel"/>
    <w:lvl w:ilvl="0">
      <w:lvlJc w:val="left"/>
      <w:lvlText w:val="(%1)"/>
      <w:numFmt w:val="lowerLetter"/>
      <w:start w:val="1"/>
    </w:lvl>
  </w:abstractNum>
  <w:abstractNum w:abstractNumId="306">
    <w:nsid w:val="186928D6"/>
    <w:multiLevelType w:val="hybridMultilevel"/>
    <w:lvl w:ilvl="0">
      <w:lvlJc w:val="left"/>
      <w:lvlText w:val="(%1)"/>
      <w:numFmt w:val="lowerLetter"/>
      <w:start w:val="1"/>
    </w:lvl>
  </w:abstractNum>
  <w:abstractNum w:abstractNumId="307">
    <w:nsid w:val="47195E5"/>
    <w:multiLevelType w:val="hybridMultilevel"/>
    <w:lvl w:ilvl="0">
      <w:lvlJc w:val="left"/>
      <w:lvlText w:val="(%1)"/>
      <w:numFmt w:val="lowerLetter"/>
      <w:start w:val="2"/>
    </w:lvl>
  </w:abstractNum>
  <w:abstractNum w:abstractNumId="308">
    <w:nsid w:val="3746A5F2"/>
    <w:multiLevelType w:val="hybridMultilevel"/>
    <w:lvl w:ilvl="0">
      <w:lvlJc w:val="left"/>
      <w:lvlText w:val="(%1)"/>
      <w:numFmt w:val="lowerLetter"/>
      <w:start w:val="1"/>
    </w:lvl>
  </w:abstractNum>
  <w:abstractNum w:abstractNumId="309">
    <w:nsid w:val="682DFED6"/>
    <w:multiLevelType w:val="hybridMultilevel"/>
    <w:lvl w:ilvl="0">
      <w:lvlJc w:val="left"/>
      <w:lvlText w:val="%1"/>
      <w:numFmt w:val="lowerRoman"/>
      <w:start w:val="1"/>
    </w:lvl>
    <w:lvl w:ilvl="1">
      <w:lvlJc w:val="left"/>
      <w:lvlText w:val="(%2)"/>
      <w:numFmt w:val="lowerLetter"/>
      <w:start w:val="1"/>
    </w:lvl>
  </w:abstractNum>
  <w:abstractNum w:abstractNumId="310">
    <w:nsid w:val="606ED7F6"/>
    <w:multiLevelType w:val="hybridMultilevel"/>
    <w:lvl w:ilvl="0">
      <w:lvlJc w:val="left"/>
      <w:lvlText w:val="(%1)"/>
      <w:numFmt w:val="lowerRoman"/>
      <w:start w:val="4"/>
    </w:lvl>
    <w:lvl w:ilvl="1">
      <w:lvlJc w:val="left"/>
      <w:lvlText w:val="(%2)"/>
      <w:numFmt w:val="lowerLetter"/>
      <w:start w:val="3"/>
    </w:lvl>
  </w:abstractNum>
  <w:abstractNum w:abstractNumId="311">
    <w:nsid w:val="2D9DF57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12">
    <w:nsid w:val="7FBD7A3E"/>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abstractNum>
  <w:abstractNum w:abstractNumId="313">
    <w:nsid w:val="490B7C5"/>
    <w:multiLevelType w:val="hybridMultilevel"/>
    <w:lvl w:ilvl="0">
      <w:lvlJc w:val="left"/>
      <w:lvlText w:val="(%1)"/>
      <w:numFmt w:val="lowerRoman"/>
      <w:start w:val="2"/>
    </w:lvl>
  </w:abstractNum>
  <w:abstractNum w:abstractNumId="314">
    <w:nsid w:val="4303A216"/>
    <w:multiLevelType w:val="hybridMultilevel"/>
    <w:lvl w:ilvl="0">
      <w:lvlJc w:val="left"/>
      <w:lvlText w:val="(%1)"/>
      <w:numFmt w:val="lowerLetter"/>
      <w:start w:val="3"/>
    </w:lvl>
  </w:abstractNum>
  <w:abstractNum w:abstractNumId="315">
    <w:nsid w:val="19B8A08E"/>
    <w:multiLevelType w:val="hybridMultilevel"/>
    <w:lvl w:ilvl="0">
      <w:lvlJc w:val="left"/>
      <w:lvlText w:val="(%1)"/>
      <w:numFmt w:val="lowerRoman"/>
      <w:start w:val="1"/>
    </w:lvl>
  </w:abstractNum>
  <w:abstractNum w:abstractNumId="316">
    <w:nsid w:val="54B59621"/>
    <w:multiLevelType w:val="hybridMultilevel"/>
    <w:lvl w:ilvl="0">
      <w:lvlJc w:val="left"/>
      <w:lvlText w:val="%1"/>
      <w:numFmt w:val="lowerLetter"/>
      <w:start w:val="1"/>
    </w:lvl>
    <w:lvl w:ilvl="1">
      <w:lvlJc w:val="left"/>
      <w:lvlText w:val="(%2)"/>
      <w:numFmt w:val="lowerLetter"/>
      <w:start w:val="35"/>
    </w:lvl>
  </w:abstractNum>
  <w:abstractNum w:abstractNumId="317">
    <w:nsid w:val="5992A02E"/>
    <w:multiLevelType w:val="hybridMultilevel"/>
    <w:lvl w:ilvl="0">
      <w:lvlJc w:val="left"/>
      <w:lvlText w:val="(%1)"/>
      <w:numFmt w:val="lowerLetter"/>
      <w:start w:val="5"/>
    </w:lvl>
    <w:lvl w:ilvl="1">
      <w:lvlJc w:val="left"/>
      <w:lvlText w:val="%2"/>
      <w:numFmt w:val="lowerLetter"/>
      <w:start w:val="1"/>
    </w:lvl>
  </w:abstractNum>
  <w:abstractNum w:abstractNumId="318">
    <w:nsid w:val="29EF532D"/>
    <w:multiLevelType w:val="hybridMultilevel"/>
    <w:lvl w:ilvl="0">
      <w:lvlJc w:val="left"/>
      <w:lvlText w:val="(%1)"/>
      <w:numFmt w:val="lowerLetter"/>
      <w:start w:val="7"/>
    </w:lvl>
  </w:abstractNum>
  <w:abstractNum w:abstractNumId="319">
    <w:nsid w:val="71D601AF"/>
    <w:multiLevelType w:val="hybridMultilevel"/>
    <w:lvl w:ilvl="0">
      <w:lvlJc w:val="left"/>
      <w:lvlText w:val="(%1)"/>
      <w:numFmt w:val="lowerLetter"/>
      <w:start w:val="1"/>
    </w:lvl>
    <w:lvl w:ilvl="1">
      <w:lvlJc w:val="left"/>
      <w:lvlText w:val="(%2)"/>
      <w:numFmt w:val="lowerRoman"/>
      <w:start w:val="1"/>
    </w:lvl>
  </w:abstractNum>
  <w:abstractNum w:abstractNumId="320">
    <w:nsid w:val="52C77402"/>
    <w:multiLevelType w:val="hybridMultilevel"/>
    <w:lvl w:ilvl="0">
      <w:lvlJc w:val="left"/>
      <w:lvlText w:val="(%1)"/>
      <w:numFmt w:val="upperLetter"/>
      <w:start w:val="1"/>
    </w:lvl>
  </w:abstractNum>
  <w:abstractNum w:abstractNumId="321">
    <w:nsid w:val="2BB5B1C6"/>
    <w:multiLevelType w:val="hybridMultilevel"/>
    <w:lvl w:ilvl="0">
      <w:lvlJc w:val="left"/>
      <w:lvlText w:val="(%1)"/>
      <w:numFmt w:val="lowerLetter"/>
      <w:start w:val="2"/>
    </w:lvl>
    <w:lvl w:ilvl="1">
      <w:lvlJc w:val="left"/>
      <w:lvlText w:val="(%2)"/>
      <w:numFmt w:val="lowerRoman"/>
      <w:start w:val="1"/>
    </w:lvl>
  </w:abstractNum>
  <w:abstractNum w:abstractNumId="322">
    <w:nsid w:val="66BE6B9"/>
    <w:multiLevelType w:val="hybridMultilevel"/>
    <w:lvl w:ilvl="0">
      <w:lvlJc w:val="left"/>
      <w:lvlText w:val="(%1)"/>
      <w:numFmt w:val="lowerLetter"/>
      <w:start w:val="6"/>
    </w:lvl>
  </w:abstractNum>
  <w:abstractNum w:abstractNumId="323">
    <w:nsid w:val="62234363"/>
    <w:multiLevelType w:val="hybridMultilevel"/>
    <w:lvl w:ilvl="0">
      <w:lvlJc w:val="left"/>
      <w:lvlText w:val="(%1)"/>
      <w:numFmt w:val="lowerLetter"/>
      <w:start w:val="10"/>
    </w:lvl>
    <w:lvl w:ilvl="1">
      <w:lvlJc w:val="left"/>
      <w:lvlText w:val="(%2)"/>
      <w:numFmt w:val="lowerRoman"/>
      <w:start w:val="1"/>
    </w:lvl>
  </w:abstractNum>
  <w:abstractNum w:abstractNumId="324">
    <w:nsid w:val="66D385C9"/>
    <w:multiLevelType w:val="hybridMultilevel"/>
    <w:lvl w:ilvl="0">
      <w:lvlJc w:val="left"/>
      <w:lvlText w:val="(%1)"/>
      <w:numFmt w:val="lowerRoman"/>
      <w:start w:val="5"/>
    </w:lvl>
  </w:abstractNum>
  <w:abstractNum w:abstractNumId="325">
    <w:nsid w:val="596F6D8A"/>
    <w:multiLevelType w:val="hybridMultilevel"/>
    <w:lvl w:ilvl="0">
      <w:lvlJc w:val="left"/>
      <w:lvlText w:val="(%1)"/>
      <w:numFmt w:val="lowerLetter"/>
      <w:start w:val="1"/>
    </w:lvl>
    <w:lvl w:ilvl="1">
      <w:lvlJc w:val="left"/>
      <w:lvlText w:val="(%2)"/>
      <w:numFmt w:val="lowerRoman"/>
      <w:start w:val="1"/>
    </w:lvl>
  </w:abstractNum>
  <w:abstractNum w:abstractNumId="326">
    <w:nsid w:val="5749361F"/>
    <w:multiLevelType w:val="hybridMultilevel"/>
    <w:lvl w:ilvl="0">
      <w:lvlJc w:val="left"/>
      <w:lvlText w:val="(%1)"/>
      <w:numFmt w:val="lowerLetter"/>
      <w:start w:val="1"/>
    </w:lvl>
  </w:abstractNum>
  <w:abstractNum w:abstractNumId="327">
    <w:nsid w:val="73BC6770"/>
    <w:multiLevelType w:val="hybridMultilevel"/>
    <w:lvl w:ilvl="0">
      <w:lvlJc w:val="left"/>
      <w:lvlText w:val="(%1)"/>
      <w:numFmt w:val="lowerRoman"/>
      <w:start w:val="1"/>
    </w:lvl>
  </w:abstractNum>
  <w:abstractNum w:abstractNumId="328">
    <w:nsid w:val="280E6897"/>
    <w:multiLevelType w:val="hybridMultilevel"/>
    <w:lvl w:ilvl="0">
      <w:lvlJc w:val="left"/>
      <w:lvlText w:val="(%1)"/>
      <w:numFmt w:val="lowerLetter"/>
      <w:start w:val="3"/>
    </w:lvl>
  </w:abstractNum>
  <w:abstractNum w:abstractNumId="329">
    <w:nsid w:val="605138DE"/>
    <w:multiLevelType w:val="hybridMultilevel"/>
    <w:lvl w:ilvl="0">
      <w:lvlJc w:val="left"/>
      <w:lvlText w:val="(%1)"/>
      <w:numFmt w:val="lowerLetter"/>
      <w:start w:val="1"/>
    </w:lvl>
  </w:abstractNum>
  <w:abstractNum w:abstractNumId="330">
    <w:nsid w:val="2622AD0C"/>
    <w:multiLevelType w:val="hybridMultilevel"/>
    <w:lvl w:ilvl="0">
      <w:lvlJc w:val="left"/>
      <w:lvlText w:val="(%1)"/>
      <w:numFmt w:val="lowerLetter"/>
      <w:start w:val="2"/>
    </w:lvl>
  </w:abstractNum>
  <w:abstractNum w:abstractNumId="331">
    <w:nsid w:val="67997556"/>
    <w:multiLevelType w:val="hybridMultilevel"/>
    <w:lvl w:ilvl="0">
      <w:lvlJc w:val="left"/>
      <w:lvlText w:val="(%1)"/>
      <w:numFmt w:val="lowerLetter"/>
      <w:start w:val="1"/>
    </w:lvl>
  </w:abstractNum>
  <w:abstractNum w:abstractNumId="332">
    <w:nsid w:val="18333C89"/>
    <w:multiLevelType w:val="hybridMultilevel"/>
    <w:lvl w:ilvl="0">
      <w:lvlJc w:val="left"/>
      <w:lvlText w:val="%1"/>
      <w:numFmt w:val="lowerLetter"/>
      <w:start w:val="1"/>
    </w:lvl>
    <w:lvl w:ilvl="1">
      <w:lvlJc w:val="left"/>
      <w:lvlText w:val="(%2)"/>
      <w:numFmt w:val="lowerLetter"/>
      <w:start w:val="3"/>
    </w:lvl>
  </w:abstractNum>
  <w:abstractNum w:abstractNumId="333">
    <w:nsid w:val="4BA9831A"/>
    <w:multiLevelType w:val="hybridMultilevel"/>
    <w:lvl w:ilvl="0">
      <w:lvlJc w:val="left"/>
      <w:lvlText w:val="(%1)"/>
      <w:numFmt w:val="lowerLetter"/>
      <w:start w:val="61"/>
    </w:lvl>
    <w:lvl w:ilvl="1">
      <w:lvlJc w:val="left"/>
      <w:lvlText w:val="(%2)"/>
      <w:numFmt w:val="lowerLetter"/>
      <w:start w:val="4"/>
    </w:lvl>
  </w:abstractNum>
  <w:abstractNum w:abstractNumId="334">
    <w:nsid w:val="6D71A2B"/>
    <w:multiLevelType w:val="hybridMultilevel"/>
    <w:lvl w:ilvl="0">
      <w:lvlJc w:val="left"/>
      <w:lvlText w:val="(%1)"/>
      <w:numFmt w:val="lowerLetter"/>
      <w:start w:val="5"/>
    </w:lvl>
  </w:abstractNum>
  <w:abstractNum w:abstractNumId="335">
    <w:nsid w:val="CFC7321"/>
    <w:multiLevelType w:val="hybridMultilevel"/>
    <w:lvl w:ilvl="0">
      <w:lvlJc w:val="left"/>
      <w:lvlText w:val="(%1)"/>
      <w:numFmt w:val="lowerLetter"/>
      <w:start w:val="6"/>
    </w:lvl>
  </w:abstractNum>
  <w:abstractNum w:abstractNumId="336">
    <w:nsid w:val="1421971B"/>
    <w:multiLevelType w:val="hybridMultilevel"/>
    <w:lvl w:ilvl="0">
      <w:lvlJc w:val="left"/>
      <w:lvlText w:val="(%1)"/>
      <w:numFmt w:val="lowerLetter"/>
      <w:start w:val="7"/>
    </w:lvl>
  </w:abstractNum>
  <w:abstractNum w:abstractNumId="337">
    <w:nsid w:val="1F404301"/>
    <w:multiLevelType w:val="hybridMultilevel"/>
    <w:lvl w:ilvl="0">
      <w:lvlJc w:val="left"/>
      <w:lvlText w:val="(%1)"/>
      <w:numFmt w:val="lowerLetter"/>
      <w:start w:val="1"/>
    </w:lvl>
  </w:abstractNum>
  <w:abstractNum w:abstractNumId="338">
    <w:nsid w:val="116E0907"/>
    <w:multiLevelType w:val="hybridMultilevel"/>
    <w:lvl w:ilvl="0">
      <w:lvlJc w:val="left"/>
      <w:lvlText w:val="(%1)"/>
      <w:numFmt w:val="lowerLetter"/>
      <w:start w:val="2"/>
    </w:lvl>
  </w:abstractNum>
  <w:abstractNum w:abstractNumId="339">
    <w:nsid w:val="4B683D0D"/>
    <w:multiLevelType w:val="hybridMultilevel"/>
    <w:lvl w:ilvl="0">
      <w:lvlJc w:val="left"/>
      <w:lvlText w:val="(%1)"/>
      <w:numFmt w:val="lowerLetter"/>
      <w:start w:val="7"/>
    </w:lvl>
  </w:abstractNum>
  <w:abstractNum w:abstractNumId="340">
    <w:nsid w:val="76E41D8"/>
    <w:multiLevelType w:val="hybridMultilevel"/>
    <w:lvl w:ilvl="0">
      <w:lvlJc w:val="left"/>
      <w:lvlText w:val="(%1)"/>
      <w:numFmt w:val="lowerLetter"/>
      <w:start w:val="1"/>
    </w:lvl>
  </w:abstractNum>
  <w:abstractNum w:abstractNumId="341">
    <w:nsid w:val="71DCE0FD"/>
    <w:multiLevelType w:val="hybridMultilevel"/>
    <w:lvl w:ilvl="0">
      <w:lvlJc w:val="left"/>
      <w:lvlText w:val="(%1)"/>
      <w:numFmt w:val="lowerLetter"/>
      <w:start w:val="2"/>
    </w:lvl>
  </w:abstractNum>
  <w:abstractNum w:abstractNumId="342">
    <w:nsid w:val="7906328B"/>
    <w:multiLevelType w:val="hybridMultilevel"/>
    <w:lvl w:ilvl="0">
      <w:lvlJc w:val="left"/>
      <w:lvlText w:val="(%1)"/>
      <w:numFmt w:val="lowerLetter"/>
      <w:start w:val="1"/>
    </w:lvl>
  </w:abstractNum>
  <w:abstractNum w:abstractNumId="343">
    <w:nsid w:val="72BBC16"/>
    <w:multiLevelType w:val="hybridMultilevel"/>
    <w:lvl w:ilvl="0">
      <w:lvlJc w:val="left"/>
      <w:lvlText w:val="(%1)"/>
      <w:numFmt w:val="lowerLetter"/>
      <w:start w:val="1"/>
    </w:lvl>
  </w:abstractNum>
  <w:abstractNum w:abstractNumId="344">
    <w:nsid w:val="766D98C2"/>
    <w:multiLevelType w:val="hybridMultilevel"/>
    <w:lvl w:ilvl="0">
      <w:lvlJc w:val="left"/>
      <w:lvlText w:val="(%1)"/>
      <w:numFmt w:val="lowerLetter"/>
      <w:start w:val="2"/>
    </w:lvl>
  </w:abstractNum>
  <w:abstractNum w:abstractNumId="345">
    <w:nsid w:val="3C09D4A1"/>
    <w:multiLevelType w:val="hybridMultilevel"/>
    <w:lvl w:ilvl="0">
      <w:lvlJc w:val="left"/>
      <w:lvlText w:val="(%1)"/>
      <w:numFmt w:val="lowerLetter"/>
      <w:start w:val="1"/>
    </w:lvl>
    <w:lvl w:ilvl="1">
      <w:lvlJc w:val="left"/>
      <w:lvlText w:val="(%2)"/>
      <w:numFmt w:val="lowerRoman"/>
      <w:start w:val="1"/>
    </w:lvl>
  </w:abstractNum>
  <w:abstractNum w:abstractNumId="346">
    <w:nsid w:val="20E45CA4"/>
    <w:multiLevelType w:val="hybridMultilevel"/>
    <w:lvl w:ilvl="0">
      <w:lvlJc w:val="left"/>
      <w:lvlText w:val="(%1)"/>
      <w:numFmt w:val="lowerRoman"/>
      <w:start w:val="2"/>
    </w:lvl>
  </w:abstractNum>
  <w:abstractNum w:abstractNumId="347">
    <w:nsid w:val="4B232EE3"/>
    <w:multiLevelType w:val="hybridMultilevel"/>
    <w:lvl w:ilvl="0">
      <w:lvlJc w:val="left"/>
      <w:lvlText w:val="(%1)"/>
      <w:numFmt w:val="lowerLetter"/>
      <w:start w:val="1"/>
    </w:lvl>
  </w:abstractNum>
  <w:abstractNum w:abstractNumId="348">
    <w:nsid w:val="159C74CF"/>
    <w:multiLevelType w:val="hybridMultilevel"/>
    <w:lvl w:ilvl="0">
      <w:lvlJc w:val="left"/>
      <w:lvlText w:val="(%1)"/>
      <w:numFmt w:val="lowerLetter"/>
      <w:start w:val="2"/>
    </w:lvl>
  </w:abstractNum>
  <w:abstractNum w:abstractNumId="349">
    <w:nsid w:val="4AD3AFD2"/>
    <w:multiLevelType w:val="hybridMultilevel"/>
    <w:lvl w:ilvl="0">
      <w:lvlJc w:val="left"/>
      <w:lvlText w:val="(%1)"/>
      <w:numFmt w:val="lowerLetter"/>
      <w:start w:val="1"/>
    </w:lvl>
  </w:abstractNum>
  <w:abstractNum w:abstractNumId="350">
    <w:nsid w:val="3CF93092"/>
    <w:multiLevelType w:val="hybridMultilevel"/>
    <w:lvl w:ilvl="0">
      <w:lvlJc w:val="left"/>
      <w:lvlText w:val="(%1)"/>
      <w:numFmt w:val="lowerLetter"/>
      <w:start w:val="2"/>
    </w:lvl>
    <w:lvl w:ilvl="1">
      <w:lvlJc w:val="left"/>
      <w:lvlText w:val="(%2)"/>
      <w:numFmt w:val="lowerRoman"/>
      <w:start w:val="1"/>
    </w:lvl>
  </w:abstractNum>
  <w:abstractNum w:abstractNumId="351">
    <w:nsid w:val="6863E8D2"/>
    <w:multiLevelType w:val="hybridMultilevel"/>
    <w:lvl w:ilvl="0">
      <w:lvlJc w:val="left"/>
      <w:lvlText w:val="(%1)"/>
      <w:numFmt w:val="lowerLetter"/>
      <w:start w:val="1"/>
    </w:lvl>
    <w:lvl w:ilvl="1">
      <w:lvlJc w:val="left"/>
      <w:lvlText w:val="(%2)"/>
      <w:numFmt w:val="lowerRoman"/>
      <w:start w:val="1"/>
    </w:lvl>
  </w:abstractNum>
  <w:abstractNum w:abstractNumId="352">
    <w:nsid w:val="76896198"/>
    <w:multiLevelType w:val="hybridMultilevel"/>
    <w:lvl w:ilvl="0">
      <w:lvlJc w:val="left"/>
      <w:lvlText w:val="%1"/>
      <w:numFmt w:val="lowerLetter"/>
      <w:start w:val="1"/>
    </w:lvl>
    <w:lvl w:ilvl="1">
      <w:lvlJc w:val="left"/>
      <w:lvlText w:val="(%2)"/>
      <w:numFmt w:val="lowerRoman"/>
      <w:start w:val="4"/>
    </w:lvl>
  </w:abstractNum>
  <w:abstractNum w:abstractNumId="353">
    <w:nsid w:val="4365174B"/>
    <w:multiLevelType w:val="hybridMultilevel"/>
    <w:lvl w:ilvl="0">
      <w:lvlJc w:val="left"/>
      <w:lvlText w:val="(%1)"/>
      <w:numFmt w:val="lowerLetter"/>
      <w:start w:val="2"/>
    </w:lvl>
    <w:lvl w:ilvl="1">
      <w:lvlJc w:val="left"/>
      <w:lvlText w:val="%2"/>
      <w:numFmt w:val="lowerRoman"/>
      <w:start w:val="1"/>
    </w:lvl>
  </w:abstractNum>
  <w:abstractNum w:abstractNumId="354">
    <w:nsid w:val="4A872C35"/>
    <w:multiLevelType w:val="hybridMultilevel"/>
    <w:lvl w:ilvl="0">
      <w:lvlJc w:val="left"/>
      <w:lvlText w:val="(%1)"/>
      <w:numFmt w:val="lowerLetter"/>
      <w:start w:val="1"/>
    </w:lvl>
  </w:abstractNum>
  <w:abstractNum w:abstractNumId="355">
    <w:nsid w:val="5D5CE761"/>
    <w:multiLevelType w:val="hybridMultilevel"/>
    <w:lvl w:ilvl="0">
      <w:lvlJc w:val="left"/>
      <w:lvlText w:val="(%1)"/>
      <w:numFmt w:val="lowerLetter"/>
      <w:start w:val="2"/>
    </w:lvl>
  </w:abstractNum>
  <w:abstractNum w:abstractNumId="356">
    <w:nsid w:val="1CD484D5"/>
    <w:multiLevelType w:val="hybridMultilevel"/>
    <w:lvl w:ilvl="0">
      <w:lvlJc w:val="left"/>
      <w:lvlText w:val="(%1)"/>
      <w:numFmt w:val="lowerLetter"/>
      <w:start w:val="1"/>
    </w:lvl>
  </w:abstractNum>
  <w:abstractNum w:abstractNumId="357">
    <w:nsid w:val="21D06255"/>
    <w:multiLevelType w:val="hybridMultilevel"/>
    <w:lvl w:ilvl="0">
      <w:lvlJc w:val="left"/>
      <w:lvlText w:val="(%1)"/>
      <w:numFmt w:val="lowerLetter"/>
      <w:start w:val="2"/>
    </w:lvl>
  </w:abstractNum>
  <w:abstractNum w:abstractNumId="358">
    <w:nsid w:val="51194ED1"/>
    <w:multiLevelType w:val="hybridMultilevel"/>
    <w:lvl w:ilvl="0">
      <w:lvlJc w:val="left"/>
      <w:lvlText w:val="(%1)"/>
      <w:numFmt w:val="lowerLetter"/>
      <w:start w:val="4"/>
    </w:lvl>
  </w:abstractNum>
  <w:abstractNum w:abstractNumId="359">
    <w:nsid w:val="44E2ED6C"/>
    <w:multiLevelType w:val="hybridMultilevel"/>
    <w:lvl w:ilvl="0">
      <w:lvlJc w:val="left"/>
      <w:lvlText w:val="(%1)"/>
      <w:numFmt w:val="lowerLetter"/>
      <w:start w:val="1"/>
    </w:lvl>
  </w:abstractNum>
  <w:abstractNum w:abstractNumId="360">
    <w:nsid w:val="2219B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1">
    <w:nsid w:val="773BFBDD"/>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2"/>
    </w:lvl>
  </w:abstractNum>
  <w:abstractNum w:abstractNumId="362">
    <w:nsid w:val="2C7C62C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3">
    <w:nsid w:val="1A54D7BC"/>
    <w:multiLevelType w:val="hybridMultilevel"/>
    <w:lvl w:ilvl="0">
      <w:lvlJc w:val="left"/>
      <w:lvlText w:val="(%1)"/>
      <w:numFmt w:val="lowerLetter"/>
      <w:start w:val="5"/>
    </w:lvl>
  </w:abstractNum>
  <w:abstractNum w:abstractNumId="364">
    <w:nsid w:val="42E57EF7"/>
    <w:multiLevelType w:val="hybridMultilevel"/>
    <w:lvl w:ilvl="0">
      <w:lvlJc w:val="left"/>
      <w:lvlText w:val="(%1)"/>
      <w:numFmt w:val="lowerLetter"/>
      <w:start w:val="1"/>
    </w:lvl>
    <w:lvl w:ilvl="1">
      <w:lvlJc w:val="left"/>
      <w:lvlText w:val="(%2)"/>
      <w:numFmt w:val="lowerRoman"/>
      <w:start w:val="1"/>
    </w:lvl>
  </w:abstractNum>
  <w:abstractNum w:abstractNumId="365">
    <w:nsid w:val="33537CED"/>
    <w:multiLevelType w:val="hybridMultilevel"/>
    <w:lvl w:ilvl="0">
      <w:lvlJc w:val="left"/>
      <w:lvlText w:val="(%1)"/>
      <w:numFmt w:val="lowerRoman"/>
      <w:start w:val="1"/>
    </w:lvl>
  </w:abstractNum>
  <w:abstractNum w:abstractNumId="366">
    <w:nsid w:val="27514ADE"/>
    <w:multiLevelType w:val="hybridMultilevel"/>
    <w:lvl w:ilvl="0">
      <w:lvlJc w:val="left"/>
      <w:lvlText w:val="(%1)"/>
      <w:numFmt w:val="lowerLetter"/>
      <w:start w:val="1"/>
    </w:lvl>
    <w:lvl w:ilvl="1">
      <w:lvlJc w:val="left"/>
      <w:lvlText w:val="(%2)"/>
      <w:numFmt w:val="lowerLetter"/>
      <w:start w:val="9"/>
    </w:lvl>
  </w:abstractNum>
  <w:abstractNum w:abstractNumId="367">
    <w:nsid w:val="57071613"/>
    <w:multiLevelType w:val="hybridMultilevel"/>
    <w:lvl w:ilvl="0">
      <w:lvlJc w:val="left"/>
      <w:lvlText w:val="%1"/>
      <w:numFmt w:val="lowerLetter"/>
      <w:start w:val="1"/>
    </w:lvl>
    <w:lvl w:ilvl="1">
      <w:lvlJc w:val="left"/>
      <w:lvlText w:val="(%2)"/>
      <w:numFmt w:val="lowerRoman"/>
      <w:start w:val="2"/>
    </w:lvl>
  </w:abstractNum>
  <w:abstractNum w:abstractNumId="368">
    <w:nsid w:val="5293BFEF"/>
    <w:multiLevelType w:val="hybridMultilevel"/>
    <w:lvl w:ilvl="0">
      <w:lvlJc w:val="left"/>
      <w:lvlText w:val="(%1)"/>
      <w:numFmt w:val="lowerLetter"/>
      <w:start w:val="4"/>
    </w:lvl>
    <w:lvl w:ilvl="1">
      <w:lvlJc w:val="left"/>
      <w:lvlText w:val="%2"/>
      <w:numFmt w:val="lowerRoman"/>
      <w:start w:val="1"/>
    </w:lvl>
  </w:abstractNum>
  <w:abstractNum w:abstractNumId="369">
    <w:nsid w:val="38BF53E5"/>
    <w:multiLevelType w:val="hybridMultilevel"/>
    <w:lvl w:ilvl="0">
      <w:lvlJc w:val="left"/>
      <w:lvlText w:val="(%1)"/>
      <w:numFmt w:val="decimal"/>
      <w:start w:val="1"/>
    </w:lvl>
  </w:abstractNum>
  <w:abstractNum w:abstractNumId="370">
    <w:nsid w:val="226F5320"/>
    <w:multiLevelType w:val="hybridMultilevel"/>
    <w:lvl w:ilvl="0">
      <w:lvlJc w:val="left"/>
      <w:lvlText w:val="%1."/>
      <w:numFmt w:val="decimal"/>
      <w:start w:val="1"/>
    </w:lvl>
    <w:lvl w:ilvl="1">
      <w:lvlJc w:val="left"/>
      <w:lvlText w:val="%2)"/>
      <w:numFmt w:val="lowerLetter"/>
      <w:start w:val="1"/>
    </w:lvl>
  </w:abstractNum>
  <w:abstractNum w:abstractNumId="371">
    <w:nsid w:val="5A0201C7"/>
    <w:multiLevelType w:val="hybridMultilevel"/>
    <w:lvl w:ilvl="0">
      <w:lvlJc w:val="left"/>
      <w:lvlText w:val="%1."/>
      <w:numFmt w:val="decimal"/>
      <w:start w:val="1"/>
    </w:lvl>
    <w:lvl w:ilvl="1">
      <w:lvlJc w:val="left"/>
      <w:lvlText w:val="%2)"/>
      <w:numFmt w:val="lowerLetter"/>
      <w:start w:val="1"/>
    </w:lvl>
  </w:abstractNum>
  <w:abstractNum w:abstractNumId="372">
    <w:nsid w:val="2A9C34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36" Type="http://schemas.openxmlformats.org/officeDocument/2006/relationships/image" Target="media/image118.png"/><Relationship Id="rId146" Type="http://schemas.openxmlformats.org/officeDocument/2006/relationships/image" Target="media/image119.png"/><Relationship Id="rId156" Type="http://schemas.openxmlformats.org/officeDocument/2006/relationships/image" Target="media/image120.png"/><Relationship Id="rId171" Type="http://schemas.openxmlformats.org/officeDocument/2006/relationships/image" Target="media/image121.png"/><Relationship Id="rId188"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124" Type="http://schemas.openxmlformats.org/officeDocument/2006/relationships/hyperlink" Target="https://www.sec.gov/Archives/edgar/data/1219601/000121960105000069/ex3a2004.htm" TargetMode="External"/><Relationship Id="rId125" Type="http://schemas.openxmlformats.org/officeDocument/2006/relationships/hyperlink" Target="https://www.sec.gov/Archives/edgar/data/1219601/000119312522303785/d417285dex31.htm" TargetMode="External"/><Relationship Id="rId127" Type="http://schemas.openxmlformats.org/officeDocument/2006/relationships/hyperlink" Target="https://www.sec.gov/Archives/edgar/data/1219601/000095016803000549/dex45.htm" TargetMode="External"/><Relationship Id="rId128" Type="http://schemas.openxmlformats.org/officeDocument/2006/relationships/hyperlink" Target="https://www.sec.gov/Archives/edgar/data/1219601/000119312516712850/d213162dex41.htm" TargetMode="External"/><Relationship Id="rId129" Type="http://schemas.openxmlformats.org/officeDocument/2006/relationships/hyperlink" Target="https://www.sec.gov/Archives/edgar/data/1219601/000119312516712850/d213162dex42.htm" TargetMode="External"/><Relationship Id="rId130" Type="http://schemas.openxmlformats.org/officeDocument/2006/relationships/hyperlink" Target="https://www.sec.gov/Archives/edgar/data/1219601/000121960117000016/ex4march2017.htm" TargetMode="External"/><Relationship Id="rId131" Type="http://schemas.openxmlformats.org/officeDocument/2006/relationships/hyperlink" Target="https://www.sec.gov/Archives/edgar/data/1219601/000121960118000009/ex4dec2017.htm" TargetMode="External"/><Relationship Id="rId132" Type="http://schemas.openxmlformats.org/officeDocument/2006/relationships/hyperlink" Target="https://www.sec.gov/Archives/edgar/data/1219601/000121960118000009/ex41dec2017.htm" TargetMode="External"/><Relationship Id="rId133" Type="http://schemas.openxmlformats.org/officeDocument/2006/relationships/hyperlink" Target="https://www.sec.gov/Archives/edgar/data/1219601/000119312518029266/d470596dex41.htm" TargetMode="External"/><Relationship Id="rId134" Type="http://schemas.openxmlformats.org/officeDocument/2006/relationships/hyperlink" Target="https://www.sec.gov/Archives/edgar/data/1219601/000119312518029266/d470596dex42.htm" TargetMode="External"/><Relationship Id="rId135" Type="http://schemas.openxmlformats.org/officeDocument/2006/relationships/hyperlink" Target="https://www.sec.gov/Archives/edgar/data/1219601/000119312518029266/d470596dex43.htm" TargetMode="External"/><Relationship Id="rId137" Type="http://schemas.openxmlformats.org/officeDocument/2006/relationships/hyperlink" Target="https://www.sec.gov/Archives/edgar/data/1219601/000121960119000005/ex4dec2018.htm" TargetMode="External"/><Relationship Id="rId138" Type="http://schemas.openxmlformats.org/officeDocument/2006/relationships/hyperlink" Target="https://www.sec.gov/Archives/edgar/data/1219601/000119312520053971/d896926dex41.htm" TargetMode="External"/><Relationship Id="rId139" Type="http://schemas.openxmlformats.org/officeDocument/2006/relationships/hyperlink" Target="https://www.sec.gov/Archives/edgar/data/1219601/000121960122000011/exhibit4.htm" TargetMode="External"/><Relationship Id="rId140" Type="http://schemas.openxmlformats.org/officeDocument/2006/relationships/hyperlink" Target="https://www.sec.gov/Archives/edgar/data/1219601/000119312522078481/d255990dex101.htm" TargetMode="External"/><Relationship Id="rId141" Type="http://schemas.openxmlformats.org/officeDocument/2006/relationships/hyperlink" Target="https://www.sec.gov/Archives/edgar/data/1219601/000119312522080655/d328295dex41.htm" TargetMode="External"/><Relationship Id="rId142" Type="http://schemas.openxmlformats.org/officeDocument/2006/relationships/hyperlink" Target="https://www.sec.gov/Archives/edgar/data/1219601/000119312522080655/d328295dex42.htm" TargetMode="External"/><Relationship Id="rId143" Type="http://schemas.openxmlformats.org/officeDocument/2006/relationships/hyperlink" Target="https://www.sec.gov/Archives/edgar/data/1219601/000119312522217895/d372551dex4z.htm" TargetMode="External"/><Relationship Id="rId144" Type="http://schemas.openxmlformats.org/officeDocument/2006/relationships/hyperlink" Target="https://www.sec.gov/Archives/edgar/data/1219601/000119312523142091/d479802dex101.htm" TargetMode="External"/><Relationship Id="rId145" Type="http://schemas.openxmlformats.org/officeDocument/2006/relationships/hyperlink" Target="https://www.sec.gov/Archives/edgar/data/1219601/000119312523152559/d479346dex41.htm" TargetMode="External"/><Relationship Id="rId147" Type="http://schemas.openxmlformats.org/officeDocument/2006/relationships/hyperlink" Target="https://www.sec.gov/Archives/edgar/data/1219601/000119312523288510/d637028dex101.htm" TargetMode="External"/><Relationship Id="rId148" Type="http://schemas.openxmlformats.org/officeDocument/2006/relationships/hyperlink" Target="https://www.sec.gov/Archives/edgar/data/1219601/000119312523293417/d653247dex41.htm" TargetMode="External"/><Relationship Id="rId149" Type="http://schemas.openxmlformats.org/officeDocument/2006/relationships/hyperlink" Target="https://www.sec.gov/Archives/edgar/data/1219601/000121960124000029/ex101-sixthamendmentcadben.htm" TargetMode="External"/><Relationship Id="rId150" Type="http://schemas.openxmlformats.org/officeDocument/2006/relationships/hyperlink" Target="https://www.sec.gov/ix?doc=/Archives/edgar/data/0001219601/000119312524189910/d835247d8k.htm" TargetMode="External"/><Relationship Id="rId151" Type="http://schemas.openxmlformats.org/officeDocument/2006/relationships/hyperlink" Target="https://www.sec.gov/ix?doc=/Archives/edgar/data/1219601/000119312524197844/d647128d8k.htm" TargetMode="External"/><Relationship Id="rId152" Type="http://schemas.openxmlformats.org/officeDocument/2006/relationships/hyperlink" Target="https://www.sec.gov/Archives/edgar/data/1219601/000121960120000006/ex4ffdec2019.htm" TargetMode="External"/><Relationship Id="rId153" Type="http://schemas.openxmlformats.org/officeDocument/2006/relationships/hyperlink" Target="https://www.sec.gov/Archives/edgar/data/1219601/000121960116000041/ex101.htm" TargetMode="External"/><Relationship Id="rId154" Type="http://schemas.openxmlformats.org/officeDocument/2006/relationships/hyperlink" Target="https://www.sec.gov/Archives/edgar/data/1219601/000121960113000032/ex103june2013.htm" TargetMode="External"/><Relationship Id="rId155" Type="http://schemas.openxmlformats.org/officeDocument/2006/relationships/hyperlink" Target="https://www.sec.gov/Archives/edgar/data/1219601/000121960112000033/ex101a.htm" TargetMode="External"/><Relationship Id="rId157" Type="http://schemas.openxmlformats.org/officeDocument/2006/relationships/hyperlink" Target="https://www.sec.gov/Archives/edgar/data/1219601/000121960115000009/ex10c11dec2014.htm" TargetMode="External"/><Relationship Id="rId158" Type="http://schemas.openxmlformats.org/officeDocument/2006/relationships/hyperlink" Target="https://www.sec.gov/Archives/edgar/data/1219601/000121960122000003/kevincclothieremploymentag.htm" TargetMode="External"/><Relationship Id="rId159" Type="http://schemas.openxmlformats.org/officeDocument/2006/relationships/hyperlink" Target="https://www.sec.gov/Archives/edgar/data/1219601/000121960119000005/ex10bdec2018.htm" TargetMode="External"/><Relationship Id="rId160" Type="http://schemas.openxmlformats.org/officeDocument/2006/relationships/hyperlink" Target="https://www.sec.gov/Archives/edgar/data/1219601/000121960108000009/ex10l.htm" TargetMode="External"/><Relationship Id="rId161" Type="http://schemas.openxmlformats.org/officeDocument/2006/relationships/hyperlink" Target="https://www.sec.gov/Archives/edgar/data/1219601/000121960107000020/ex104emarch07.htm" TargetMode="External"/><Relationship Id="rId162" Type="http://schemas.openxmlformats.org/officeDocument/2006/relationships/hyperlink" Target="https://www.sec.gov/Archives/edgar/data/1219601/000121960112000033/ex102.htm" TargetMode="External"/><Relationship Id="rId163" Type="http://schemas.openxmlformats.org/officeDocument/2006/relationships/hyperlink" Target="https://www.sec.gov/Archives/edgar/data/1219601/000121960113000007/ex10m7dec2012.htm" TargetMode="External"/><Relationship Id="rId164" Type="http://schemas.openxmlformats.org/officeDocument/2006/relationships/hyperlink" Target="https://www.sec.gov/Archives/edgar/data/1219601/000121960115000009/ex10f9dec2014.htm" TargetMode="External"/><Relationship Id="rId165" Type="http://schemas.openxmlformats.org/officeDocument/2006/relationships/hyperlink" Target="https://www.sec.gov/Archives/edgar/data/1219601/000121960116000058/ex101may2016.htm" TargetMode="External"/><Relationship Id="rId166" Type="http://schemas.openxmlformats.org/officeDocument/2006/relationships/hyperlink" Target="https://www.sec.gov/Archives/edgar/data/1219601/000121960117000016/ex10cmarch2017.htm" TargetMode="External"/><Relationship Id="rId167" Type="http://schemas.openxmlformats.org/officeDocument/2006/relationships/hyperlink" Target="https://www.sec.gov/Archives/edgar/data/1219601/000121960120000035/ex10damendment1sept2020.htm" TargetMode="External"/><Relationship Id="rId168" Type="http://schemas.openxmlformats.org/officeDocument/2006/relationships/hyperlink" Target="https://www.sec.gov/Archives/edgar/data/1219601/000121960104000206/ex106sep04.htm" TargetMode="External"/><Relationship Id="rId169" Type="http://schemas.openxmlformats.org/officeDocument/2006/relationships/hyperlink" Target="https://www.sec.gov/Archives/edgar/data/1219601/000121960124000009/exdeferredcomp.htm" TargetMode="External"/><Relationship Id="rId170" Type="http://schemas.openxmlformats.org/officeDocument/2006/relationships/hyperlink" Target="https://www.sec.gov/Archives/edgar/data/1219601/000095015904000314/crownproxy.txt" TargetMode="External"/><Relationship Id="rId172" Type="http://schemas.openxmlformats.org/officeDocument/2006/relationships/hyperlink" Target="https://www.sec.gov/Archives/edgar/data/1219601/000121960105000075/ex10q1-2005.htm" TargetMode="External"/><Relationship Id="rId173" Type="http://schemas.openxmlformats.org/officeDocument/2006/relationships/hyperlink" Target="https://www.sec.gov/Archives/edgar/data/1219601/000095015913000173/crownproxy.htm" TargetMode="External"/><Relationship Id="rId174" Type="http://schemas.openxmlformats.org/officeDocument/2006/relationships/hyperlink" Target="https://www.sec.gov/Archives/edgar/data/1219601/000121960113000045/ex10sept2013.htm" TargetMode="External"/><Relationship Id="rId175" Type="http://schemas.openxmlformats.org/officeDocument/2006/relationships/hyperlink" Target="https://www.sec.gov/Archives/edgar/data/1219601/000121960113000045/ex102sept2013.htm" TargetMode="External"/><Relationship Id="rId176" Type="http://schemas.openxmlformats.org/officeDocument/2006/relationships/hyperlink" Target="https://www.sec.gov/Archives/edgar/data/1219601/000121960112000033/ex103.htm" TargetMode="External"/><Relationship Id="rId177" Type="http://schemas.openxmlformats.org/officeDocument/2006/relationships/hyperlink" Target="https://www.sec.gov/Archives/edgar/data/1219601/000121960112000033/ex104.htm" TargetMode="External"/><Relationship Id="rId178" Type="http://schemas.openxmlformats.org/officeDocument/2006/relationships/hyperlink" Target="https://www.sec.gov/Archives/edgar/data/1219601/000121960120000018/ex10uamendment1.htm" TargetMode="External"/><Relationship Id="rId179" Type="http://schemas.openxmlformats.org/officeDocument/2006/relationships/hyperlink" Target="https://www.sec.gov/Archives/edgar/data/1219601/000121960121000005/ex10vamendment2.htm" TargetMode="External"/><Relationship Id="rId180" Type="http://schemas.openxmlformats.org/officeDocument/2006/relationships/hyperlink" Target="https://www.sec.gov/Archives/edgar/data/1219601/000121960123000008/ex10s-cbailaemploymentagre.htm" TargetMode="External"/><Relationship Id="rId181" Type="http://schemas.openxmlformats.org/officeDocument/2006/relationships/hyperlink" Target="https://www.sec.gov/Archives/edgar/data/1219601/000095015922000090/crowndef14a.htm" TargetMode="External"/><Relationship Id="rId182" Type="http://schemas.openxmlformats.org/officeDocument/2006/relationships/hyperlink" Target="https://www.sec.gov/Archives/edgar/data/1219601/000121960124000009/amendmentno1tothecrownhold.htm" TargetMode="External"/><Relationship Id="rId183" Type="http://schemas.openxmlformats.org/officeDocument/2006/relationships/hyperlink" Target="https://www.sec.gov/Archives/edgar/data/1219601/000121960122000035/restorationplan.htm" TargetMode="External"/><Relationship Id="rId184" Type="http://schemas.openxmlformats.org/officeDocument/2006/relationships/hyperlink" Target="https://www.sec.gov/Archives/edgar/data/1219601/000121960122000043/ex10p-9302022xexecemploymt.htm" TargetMode="External"/><Relationship Id="rId185" Type="http://schemas.openxmlformats.org/officeDocument/2006/relationships/hyperlink" Target="https://www.sec.gov/Archives/edgar/data/1219601/000119312521114840/d155915dex21.htm" TargetMode="External"/><Relationship Id="rId186" Type="http://schemas.openxmlformats.org/officeDocument/2006/relationships/hyperlink" Target="https://www.sec.gov/Archives/edgar/data/1219601/000121960124000009/executiveofficercashsevera.htm" TargetMode="External"/><Relationship Id="rId187" Type="http://schemas.openxmlformats.org/officeDocument/2006/relationships/hyperlink" Target="https://www.sec.gov/Archives/edgar/data/1219601/000121960124000038/ex101-stockpurchaseplaname.htm" TargetMode="External"/><Relationship Id="rId189" Type="http://schemas.openxmlformats.org/officeDocument/2006/relationships/hyperlink" Target="https://www.sec.gov/Archives/edgar/data/1219601/000121960123000026/ex191q22023.htm" TargetMode="External"/><Relationship Id="rId190" Type="http://schemas.openxmlformats.org/officeDocument/2006/relationships/hyperlink" Target="https://www.sec.gov/Archives/edgar/data/1219601/000121960124000009/excompensationrecovery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2025-03-03T12:03:46Z</dcterms:created>
  <dcterms:modified xsi:type="dcterms:W3CDTF">2025-03-03T12:03:46Z</dcterms:modified>
</cp:coreProperties>
</file>