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30"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SCHEDULE 14A INFORMATION</w:t>
      </w:r>
    </w:p>
    <w:p>
      <w:pPr>
        <w:spacing w:after="0" w:line="252"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25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 [X]</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a Party other than the Registrant [  ]</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7" w:lineRule="exact"/>
        <w:rPr>
          <w:sz w:val="24"/>
          <w:szCs w:val="24"/>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Preliminary Proxy Statement</w:t>
      </w:r>
    </w:p>
    <w:p>
      <w:pPr>
        <w:spacing w:after="0" w:line="9" w:lineRule="exact"/>
        <w:rPr>
          <w:sz w:val="24"/>
          <w:szCs w:val="24"/>
          <w:color w:val="auto"/>
        </w:rPr>
      </w:pPr>
    </w:p>
    <w:p>
      <w:pPr>
        <w:ind w:left="860" w:hanging="204"/>
        <w:spacing w:after="0"/>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Confidential, for use of the Commission Only</w:t>
      </w:r>
      <w:r>
        <w:rPr>
          <w:rFonts w:ascii="Times New Roman" w:cs="Times New Roman" w:eastAsia="Times New Roman" w:hAnsi="Times New Roman"/>
          <w:sz w:val="18"/>
          <w:szCs w:val="18"/>
          <w:color w:val="auto"/>
        </w:rPr>
        <w:t xml:space="preserve"> (as permitted by Rule 14a-6(e)(2))</w:t>
      </w:r>
    </w:p>
    <w:p>
      <w:pPr>
        <w:spacing w:after="0" w:line="9" w:lineRule="exact"/>
        <w:rPr>
          <w:sz w:val="24"/>
          <w:szCs w:val="24"/>
          <w:color w:val="auto"/>
        </w:rPr>
      </w:pPr>
    </w:p>
    <w:p>
      <w:pPr>
        <w:ind w:left="1220" w:hanging="564"/>
        <w:spacing w:after="0"/>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9" w:lineRule="exact"/>
        <w:rPr>
          <w:sz w:val="24"/>
          <w:szCs w:val="24"/>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Definitive Additional Materials</w:t>
      </w:r>
    </w:p>
    <w:p>
      <w:pPr>
        <w:spacing w:after="0" w:line="9" w:lineRule="exact"/>
        <w:rPr>
          <w:sz w:val="24"/>
          <w:szCs w:val="24"/>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8"/>
          <w:szCs w:val="18"/>
          <w:color w:val="auto"/>
        </w:rPr>
        <w:t>Soliciting Materials Pursuant to sec. 240.14a-11(c) or sec. 240.14a-12</w:t>
      </w:r>
    </w:p>
    <w:p>
      <w:pPr>
        <w:spacing w:after="0" w:line="200" w:lineRule="exact"/>
        <w:rPr>
          <w:sz w:val="24"/>
          <w:szCs w:val="24"/>
          <w:color w:val="auto"/>
        </w:rPr>
      </w:pPr>
    </w:p>
    <w:p>
      <w:pPr>
        <w:spacing w:after="0" w:line="264" w:lineRule="exact"/>
        <w:rPr>
          <w:sz w:val="24"/>
          <w:szCs w:val="24"/>
          <w:color w:val="auto"/>
        </w:rPr>
      </w:pPr>
    </w:p>
    <w:p>
      <w:pPr>
        <w:jc w:val="center"/>
        <w:ind w:right="-199"/>
        <w:spacing w:after="0"/>
        <w:rPr>
          <w:sz w:val="20"/>
          <w:szCs w:val="20"/>
          <w:color w:val="auto"/>
        </w:rPr>
      </w:pPr>
      <w:r>
        <w:rPr>
          <w:rFonts w:ascii="Times New Roman" w:cs="Times New Roman" w:eastAsia="Times New Roman" w:hAnsi="Times New Roman"/>
          <w:sz w:val="22"/>
          <w:szCs w:val="22"/>
          <w:b w:val="1"/>
          <w:bCs w:val="1"/>
          <w:color w:val="auto"/>
        </w:rPr>
        <w:t>CROWN HOLDINGS, INC.</w:t>
      </w:r>
    </w:p>
    <w:p>
      <w:pPr>
        <w:spacing w:after="0" w:line="13"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22"/>
          <w:szCs w:val="22"/>
          <w:color w:val="auto"/>
        </w:rPr>
        <w:t>______________________________</w:t>
      </w:r>
    </w:p>
    <w:p>
      <w:pPr>
        <w:ind w:left="3680"/>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7" w:lineRule="exact"/>
        <w:rPr>
          <w:sz w:val="24"/>
          <w:szCs w:val="24"/>
          <w:color w:val="auto"/>
        </w:rPr>
      </w:pPr>
    </w:p>
    <w:p>
      <w:pPr>
        <w:ind w:left="580" w:hanging="572"/>
        <w:spacing w:after="0"/>
        <w:tabs>
          <w:tab w:leader="none" w:pos="5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860" w:hanging="204"/>
        <w:spacing w:after="0"/>
        <w:tabs>
          <w:tab w:leader="none" w:pos="8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Fee computed on table below per Exchange Act Rules 14a-6(i)(l) and 0-11.1</w:t>
      </w:r>
    </w:p>
    <w:p>
      <w:pPr>
        <w:spacing w:after="0" w:line="233"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color w:val="auto"/>
        </w:rPr>
        <w:t>(2)  Aggregate number of securities to which transaction applies:</w:t>
      </w: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w:t>
      </w:r>
    </w:p>
    <w:p>
      <w:pPr>
        <w:ind w:left="340" w:right="420" w:hanging="332"/>
        <w:spacing w:after="0" w:line="247" w:lineRule="auto"/>
        <w:tabs>
          <w:tab w:leader="none" w:pos="36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or other underlying value of transaction computed pursuant to Exchange Act Rule 0-11 (set forth the amount on which the filing fee is calculated and state how it was determined):</w:t>
      </w:r>
    </w:p>
    <w:p>
      <w:pPr>
        <w:spacing w:after="0" w:line="236" w:lineRule="auto"/>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color w:val="auto"/>
        </w:rPr>
        <w:t>(4)  Proposed maximum aggregate value of transaction:</w:t>
      </w: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color w:val="auto"/>
        </w:rPr>
        <w:t>(5)  Total fee paid: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w:t>
      </w:r>
    </w:p>
    <w:p>
      <w:pPr>
        <w:spacing w:after="0" w:line="218" w:lineRule="exact"/>
        <w:rPr>
          <w:sz w:val="24"/>
          <w:szCs w:val="24"/>
          <w:color w:val="auto"/>
        </w:rPr>
      </w:pPr>
    </w:p>
    <w:p>
      <w:pPr>
        <w:ind w:left="660"/>
        <w:spacing w:after="0"/>
        <w:tabs>
          <w:tab w:leader="none" w:pos="120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Fee paid previously with preliminary materials.</w:t>
      </w:r>
    </w:p>
    <w:p>
      <w:pPr>
        <w:spacing w:after="0" w:line="27" w:lineRule="exact"/>
        <w:rPr>
          <w:sz w:val="24"/>
          <w:szCs w:val="24"/>
          <w:color w:val="auto"/>
        </w:rPr>
      </w:pPr>
    </w:p>
    <w:p>
      <w:pPr>
        <w:ind w:firstLine="656"/>
        <w:spacing w:after="0" w:line="260" w:lineRule="auto"/>
        <w:tabs>
          <w:tab w:leader="none" w:pos="84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Check box if any part of the fee is offset as provided by Exchange Act Tule 0-11(a)(2) and identify the filing for which the offsetting fee was paid previously. Identify the previous filing by registration statement number, or the Form or Schedule and the date of its filing.</w:t>
      </w:r>
    </w:p>
    <w:p>
      <w:pPr>
        <w:spacing w:after="0" w:line="208"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19"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color w:val="auto"/>
        </w:rPr>
        <w:t>(2)  Form, Schedule or Registration Statement No.:</w:t>
      </w: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color w:val="auto"/>
        </w:rPr>
        <w:t>(3)  Filing Party:</w:t>
      </w: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w:t>
      </w:r>
    </w:p>
    <w:p>
      <w:pPr>
        <w:spacing w:after="0"/>
        <w:rPr>
          <w:sz w:val="20"/>
          <w:szCs w:val="20"/>
          <w:color w:val="auto"/>
        </w:rPr>
      </w:pPr>
      <w:r>
        <w:rPr>
          <w:rFonts w:ascii="Times New Roman" w:cs="Times New Roman" w:eastAsia="Times New Roman" w:hAnsi="Times New Roman"/>
          <w:sz w:val="18"/>
          <w:szCs w:val="18"/>
          <w:color w:val="auto"/>
        </w:rPr>
        <w:t>(4)  Date Filed: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________________________________________________________________________________</w:t>
      </w:r>
    </w:p>
    <w:p>
      <w:pPr>
        <w:sectPr>
          <w:pgSz w:w="11900" w:h="16838" w:orient="portrait"/>
          <w:cols w:equalWidth="0" w:num="1">
            <w:col w:w="11040"/>
          </w:cols>
          <w:pgMar w:left="320" w:top="468" w:right="5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242570</wp:posOffset>
            </wp:positionH>
            <wp:positionV relativeFrom="page">
              <wp:posOffset>88900</wp:posOffset>
            </wp:positionV>
            <wp:extent cx="1903095" cy="5918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903095" cy="591820"/>
                    </a:xfrm>
                    <a:prstGeom prst="rect">
                      <a:avLst/>
                    </a:prstGeom>
                    <a:noFill/>
                  </pic:spPr>
                </pic:pic>
              </a:graphicData>
            </a:graphic>
          </wp:anchor>
        </w:drawing>
      </w: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47"/>
          <w:szCs w:val="47"/>
          <w:b w:val="1"/>
          <w:bCs w:val="1"/>
          <w:color w:val="auto"/>
        </w:rPr>
        <w:t>Crown Holdings, Inc.</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Hidden River Corporate Center Two</w:t>
      </w:r>
    </w:p>
    <w:p>
      <w:pPr>
        <w:jc w:val="center"/>
        <w:spacing w:after="0" w:line="237" w:lineRule="auto"/>
        <w:rPr>
          <w:sz w:val="20"/>
          <w:szCs w:val="20"/>
          <w:color w:val="auto"/>
        </w:rPr>
      </w:pPr>
      <w:r>
        <w:rPr>
          <w:rFonts w:ascii="Times New Roman" w:cs="Times New Roman" w:eastAsia="Times New Roman" w:hAnsi="Times New Roman"/>
          <w:sz w:val="19"/>
          <w:szCs w:val="19"/>
          <w:b w:val="1"/>
          <w:bCs w:val="1"/>
          <w:color w:val="auto"/>
        </w:rPr>
        <w:t>14025 Riveredge Drive, Suite 300</w:t>
      </w:r>
    </w:p>
    <w:p>
      <w:pPr>
        <w:jc w:val="center"/>
        <w:spacing w:after="0"/>
        <w:rPr>
          <w:sz w:val="20"/>
          <w:szCs w:val="20"/>
          <w:color w:val="auto"/>
        </w:rPr>
      </w:pPr>
      <w:r>
        <w:rPr>
          <w:rFonts w:ascii="Times New Roman" w:cs="Times New Roman" w:eastAsia="Times New Roman" w:hAnsi="Times New Roman"/>
          <w:sz w:val="19"/>
          <w:szCs w:val="19"/>
          <w:b w:val="1"/>
          <w:bCs w:val="1"/>
          <w:color w:val="auto"/>
        </w:rPr>
        <w:t>Tampa, Florida 33637</w:t>
      </w:r>
    </w:p>
    <w:p>
      <w:pPr>
        <w:ind w:left="4320"/>
        <w:spacing w:after="0"/>
        <w:rPr>
          <w:sz w:val="20"/>
          <w:szCs w:val="20"/>
          <w:color w:val="auto"/>
        </w:rPr>
      </w:pPr>
      <w:r>
        <w:rPr>
          <w:rFonts w:ascii="Times New Roman" w:cs="Times New Roman" w:eastAsia="Times New Roman" w:hAnsi="Times New Roman"/>
          <w:sz w:val="22"/>
          <w:szCs w:val="22"/>
          <w:color w:val="auto"/>
        </w:rPr>
        <w:t>________________________</w:t>
      </w:r>
    </w:p>
    <w:p>
      <w:pPr>
        <w:spacing w:after="0" w:line="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NOTICE OF 2026 ANNUAL MEETING OF SHAREHOLDERS</w:t>
      </w:r>
    </w:p>
    <w:p>
      <w:pPr>
        <w:spacing w:after="0" w:line="35" w:lineRule="exact"/>
        <w:rPr>
          <w:sz w:val="20"/>
          <w:szCs w:val="20"/>
          <w:color w:val="auto"/>
        </w:rPr>
      </w:pPr>
    </w:p>
    <w:p>
      <w:pPr>
        <w:ind w:left="4320"/>
        <w:spacing w:after="0"/>
        <w:rPr>
          <w:sz w:val="20"/>
          <w:szCs w:val="20"/>
          <w:color w:val="auto"/>
        </w:rPr>
      </w:pPr>
      <w:r>
        <w:rPr>
          <w:rFonts w:ascii="Times New Roman" w:cs="Times New Roman" w:eastAsia="Times New Roman" w:hAnsi="Times New Roman"/>
          <w:sz w:val="22"/>
          <w:szCs w:val="22"/>
          <w:color w:val="auto"/>
        </w:rPr>
        <w:t>________________________</w:t>
      </w:r>
    </w:p>
    <w:p>
      <w:pPr>
        <w:sectPr>
          <w:pgSz w:w="11900" w:h="16838" w:orient="portrait"/>
          <w:cols w:equalWidth="0" w:num="1">
            <w:col w:w="11240"/>
          </w:cols>
          <w:pgMar w:left="320" w:top="1440" w:right="339" w:bottom="1440" w:gutter="0" w:footer="0" w:header="0"/>
        </w:sect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April 30, 2026</w:t>
      </w:r>
    </w:p>
    <w:p>
      <w:pPr>
        <w:spacing w:after="0" w:line="161" w:lineRule="exact"/>
        <w:rPr>
          <w:sz w:val="20"/>
          <w:szCs w:val="20"/>
          <w:color w:val="auto"/>
        </w:rPr>
      </w:pPr>
    </w:p>
    <w:p>
      <w:pPr>
        <w:sectPr>
          <w:pgSz w:w="11900" w:h="16838" w:orient="portrait"/>
          <w:cols w:equalWidth="0" w:num="2">
            <w:col w:w="640" w:space="720"/>
            <w:col w:w="9880"/>
          </w:cols>
          <w:pgMar w:left="320" w:top="1440" w:right="33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9:30 a.m. Eastern Time</w:t>
      </w:r>
    </w:p>
    <w:p>
      <w:pPr>
        <w:spacing w:after="0" w:line="153" w:lineRule="exact"/>
        <w:rPr>
          <w:sz w:val="20"/>
          <w:szCs w:val="20"/>
          <w:color w:val="auto"/>
        </w:rPr>
      </w:pPr>
    </w:p>
    <w:p>
      <w:pPr>
        <w:sectPr>
          <w:pgSz w:w="11900" w:h="16838" w:orient="portrait"/>
          <w:cols w:equalWidth="0" w:num="2">
            <w:col w:w="640" w:space="720"/>
            <w:col w:w="9880"/>
          </w:cols>
          <w:pgMar w:left="320" w:top="1440" w:right="339"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Place: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Tampa Marriott Water Street</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505 Water Street, Tampa, FL 33602</w:t>
      </w:r>
    </w:p>
    <w:p>
      <w:pPr>
        <w:spacing w:after="0" w:line="200" w:lineRule="exact"/>
        <w:rPr>
          <w:sz w:val="20"/>
          <w:szCs w:val="20"/>
          <w:color w:val="auto"/>
        </w:rPr>
      </w:pPr>
    </w:p>
    <w:p>
      <w:pPr>
        <w:sectPr>
          <w:pgSz w:w="11900" w:h="16838" w:orient="portrait"/>
          <w:cols w:equalWidth="0" w:num="2">
            <w:col w:w="640" w:space="720"/>
            <w:col w:w="9880"/>
          </w:cols>
          <w:pgMar w:left="320" w:top="1440" w:right="339" w:bottom="1440" w:gutter="0" w:footer="0" w:header="0"/>
          <w:type w:val="continuous"/>
        </w:sectPr>
      </w:pPr>
    </w:p>
    <w:p>
      <w:pPr>
        <w:spacing w:after="0" w:line="248" w:lineRule="exact"/>
        <w:rPr>
          <w:sz w:val="20"/>
          <w:szCs w:val="20"/>
          <w:color w:val="auto"/>
        </w:rPr>
      </w:pPr>
    </w:p>
    <w:p>
      <w:pPr>
        <w:spacing w:after="0"/>
        <w:tabs>
          <w:tab w:leader="none" w:pos="1340" w:val="left"/>
          <w:tab w:leader="none" w:pos="2020" w:val="left"/>
        </w:tabs>
        <w:rPr>
          <w:sz w:val="20"/>
          <w:szCs w:val="20"/>
          <w:color w:val="auto"/>
        </w:rPr>
      </w:pPr>
      <w:r>
        <w:rPr>
          <w:rFonts w:ascii="Times New Roman" w:cs="Times New Roman" w:eastAsia="Times New Roman" w:hAnsi="Times New Roman"/>
          <w:sz w:val="21"/>
          <w:szCs w:val="21"/>
          <w:color w:val="auto"/>
        </w:rPr>
        <w:t>Agenda:</w:t>
      </w:r>
      <w:r>
        <w:rPr>
          <w:sz w:val="20"/>
          <w:szCs w:val="20"/>
          <w:color w:val="auto"/>
        </w:rPr>
        <w:tab/>
      </w: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0"/>
          <w:szCs w:val="20"/>
          <w:color w:val="auto"/>
        </w:rPr>
        <w:t>Election of Directors</w:t>
      </w:r>
    </w:p>
    <w:p>
      <w:pPr>
        <w:spacing w:after="0" w:line="26" w:lineRule="exact"/>
        <w:rPr>
          <w:sz w:val="20"/>
          <w:szCs w:val="20"/>
          <w:color w:val="auto"/>
        </w:rPr>
      </w:pPr>
    </w:p>
    <w:p>
      <w:pPr>
        <w:ind w:left="2040" w:right="2800" w:hanging="682"/>
        <w:spacing w:after="0" w:line="241" w:lineRule="auto"/>
        <w:tabs>
          <w:tab w:leader="none" w:pos="20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Ratification of appointment of independent auditors for the fiscal year ending December 31, 2026</w:t>
      </w:r>
    </w:p>
    <w:p>
      <w:pPr>
        <w:spacing w:after="0" w:line="1" w:lineRule="exact"/>
        <w:rPr>
          <w:rFonts w:ascii="Times New Roman" w:cs="Times New Roman" w:eastAsia="Times New Roman" w:hAnsi="Times New Roman"/>
          <w:sz w:val="21"/>
          <w:szCs w:val="21"/>
          <w:color w:val="auto"/>
        </w:rPr>
      </w:pPr>
    </w:p>
    <w:p>
      <w:pPr>
        <w:ind w:left="2040" w:right="3180" w:hanging="682"/>
        <w:spacing w:after="0" w:line="241" w:lineRule="auto"/>
        <w:tabs>
          <w:tab w:leader="none" w:pos="20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Advisory vote on a resolution to approve executive compensation for the Named Executive Officers as disclosed in this Proxy Statement</w:t>
      </w:r>
    </w:p>
    <w:p>
      <w:pPr>
        <w:spacing w:after="0" w:line="1" w:lineRule="exact"/>
        <w:rPr>
          <w:rFonts w:ascii="Times New Roman" w:cs="Times New Roman" w:eastAsia="Times New Roman" w:hAnsi="Times New Roman"/>
          <w:sz w:val="21"/>
          <w:szCs w:val="21"/>
          <w:color w:val="auto"/>
        </w:rPr>
      </w:pPr>
    </w:p>
    <w:p>
      <w:pPr>
        <w:ind w:left="2040" w:right="320" w:hanging="682"/>
        <w:spacing w:after="0" w:line="241" w:lineRule="auto"/>
        <w:tabs>
          <w:tab w:leader="none" w:pos="20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If properly presented, consideration of a Shareholder proposal  regarding Shareholder right to act by written consent</w:t>
      </w:r>
    </w:p>
    <w:p>
      <w:pPr>
        <w:spacing w:after="0" w:line="1" w:lineRule="exact"/>
        <w:rPr>
          <w:rFonts w:ascii="Times New Roman" w:cs="Times New Roman" w:eastAsia="Times New Roman" w:hAnsi="Times New Roman"/>
          <w:sz w:val="21"/>
          <w:szCs w:val="21"/>
          <w:color w:val="auto"/>
        </w:rPr>
      </w:pPr>
    </w:p>
    <w:p>
      <w:pPr>
        <w:ind w:left="2040" w:hanging="682"/>
        <w:spacing w:after="0"/>
        <w:tabs>
          <w:tab w:leader="none" w:pos="2040" w:val="left"/>
        </w:tabs>
        <w:numPr>
          <w:ilvl w:val="0"/>
          <w:numId w:val="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Such other business as may properly come before the Annual Meeting</w:t>
      </w:r>
    </w:p>
    <w:p>
      <w:pPr>
        <w:spacing w:after="0" w:line="194"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21"/>
          <w:szCs w:val="21"/>
          <w:color w:val="auto"/>
        </w:rPr>
        <w:t>Only Shareholders of Common Stock of record as of the close of business on March 10, 2026, the record date for the Annual Meeting, will be entitled to vote.</w:t>
      </w:r>
    </w:p>
    <w:p>
      <w:pPr>
        <w:spacing w:after="0" w:line="373"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21"/>
          <w:szCs w:val="21"/>
          <w:i w:val="1"/>
          <w:iCs w:val="1"/>
          <w:color w:val="auto"/>
        </w:rPr>
        <w:t>By Order of the Board of Directors</w:t>
      </w:r>
    </w:p>
    <w:p>
      <w:pPr>
        <w:spacing w:after="0" w:line="260"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21"/>
          <w:szCs w:val="21"/>
          <w:color w:val="auto"/>
        </w:rPr>
        <w:t>ADAM J. DICKSTEIN</w:t>
      </w:r>
    </w:p>
    <w:p>
      <w:pPr>
        <w:spacing w:after="0" w:line="26" w:lineRule="exact"/>
        <w:rPr>
          <w:sz w:val="20"/>
          <w:szCs w:val="20"/>
          <w:color w:val="auto"/>
        </w:rPr>
      </w:pPr>
    </w:p>
    <w:p>
      <w:pPr>
        <w:jc w:val="center"/>
        <w:ind w:left="6280"/>
        <w:spacing w:after="0"/>
        <w:rPr>
          <w:sz w:val="20"/>
          <w:szCs w:val="20"/>
          <w:color w:val="auto"/>
        </w:rPr>
      </w:pPr>
      <w:r>
        <w:rPr>
          <w:rFonts w:ascii="Times New Roman" w:cs="Times New Roman" w:eastAsia="Times New Roman" w:hAnsi="Times New Roman"/>
          <w:sz w:val="21"/>
          <w:szCs w:val="21"/>
          <w:color w:val="auto"/>
        </w:rPr>
        <w:t>Corporate Secretary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Tampa, Florida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March 23, 2026</w:t>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Important Notice Regarding the Availability of Proxy Materials for the</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Shareholder Meeting to be Held on April 30, 2026:</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The Proxy Statement and Proxy Card relating to the Annual Meeting of Shareholders</w:t>
      </w:r>
    </w:p>
    <w:p>
      <w:pPr>
        <w:spacing w:after="0" w:line="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and the Annual Report to Shareholders are available at</w:t>
      </w:r>
    </w:p>
    <w:p>
      <w:pPr>
        <w:spacing w:after="0" w:line="10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b w:val="1"/>
          <w:bCs w:val="1"/>
          <w:u w:val="single" w:color="auto"/>
          <w:color w:val="29650B"/>
        </w:rPr>
        <w:t>WWW.CROWNCORK.COM/INVESTORS/GOVERNANCE/PROXY-ONLINE</w:t>
      </w:r>
    </w:p>
    <w:p>
      <w:pPr>
        <w:sectPr>
          <w:pgSz w:w="11900" w:h="16838" w:orient="portrait"/>
          <w:cols w:equalWidth="0" w:num="1">
            <w:col w:w="11240"/>
          </w:cols>
          <w:pgMar w:left="320" w:top="1440"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32"/>
          <w:szCs w:val="32"/>
          <w:b w:val="1"/>
          <w:bCs w:val="1"/>
          <w:color w:val="29650B"/>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2026 Proxy Statement Summary</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Questions &amp; Answers about the 2026 Annual Meeting</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Proposal 1: Election of Directors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Director Compensation</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Common Stock Ownership of Certain Beneficial</w:t>
      </w:r>
    </w:p>
    <w:p>
      <w:pPr>
        <w:spacing w:after="0" w:line="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b w:val="1"/>
          <w:bCs w:val="1"/>
          <w:color w:val="29650B"/>
        </w:rPr>
        <w:t>Owners, Directors and Executive Officers</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Delinquent Section 16(a) Reports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Corporate Governance</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Compensation Discussion and Analysis</w:t>
      </w:r>
    </w:p>
    <w:p>
      <w:pPr>
        <w:spacing w:after="0" w:line="10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2025 Say-On-Pay Vote Results</w:t>
      </w:r>
    </w:p>
    <w:p>
      <w:pPr>
        <w:spacing w:after="0" w:line="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At-Risk Compensation</w:t>
      </w:r>
    </w:p>
    <w:p>
      <w:pPr>
        <w:ind w:left="180"/>
        <w:spacing w:after="0" w:line="230" w:lineRule="auto"/>
        <w:rPr>
          <w:sz w:val="20"/>
          <w:szCs w:val="20"/>
          <w:color w:val="auto"/>
        </w:rPr>
      </w:pPr>
      <w:r>
        <w:rPr>
          <w:rFonts w:ascii="Times New Roman" w:cs="Times New Roman" w:eastAsia="Times New Roman" w:hAnsi="Times New Roman"/>
          <w:sz w:val="22"/>
          <w:szCs w:val="22"/>
          <w:color w:val="auto"/>
        </w:rPr>
        <w:t>Pay-for-Performance Alignment -</w:t>
      </w:r>
    </w:p>
    <w:p>
      <w:pPr>
        <w:ind w:left="360"/>
        <w:spacing w:after="0" w:line="231" w:lineRule="auto"/>
        <w:rPr>
          <w:sz w:val="20"/>
          <w:szCs w:val="20"/>
          <w:color w:val="auto"/>
        </w:rPr>
      </w:pPr>
      <w:r>
        <w:rPr>
          <w:rFonts w:ascii="Times New Roman" w:cs="Times New Roman" w:eastAsia="Times New Roman" w:hAnsi="Times New Roman"/>
          <w:sz w:val="22"/>
          <w:szCs w:val="22"/>
          <w:color w:val="auto"/>
        </w:rPr>
        <w:t>Performance-Based Compensation</w:t>
      </w:r>
    </w:p>
    <w:p>
      <w:pPr>
        <w:ind w:left="180"/>
        <w:spacing w:after="0" w:line="230" w:lineRule="auto"/>
        <w:rPr>
          <w:sz w:val="20"/>
          <w:szCs w:val="20"/>
          <w:color w:val="auto"/>
        </w:rPr>
      </w:pPr>
      <w:r>
        <w:rPr>
          <w:rFonts w:ascii="Times New Roman" w:cs="Times New Roman" w:eastAsia="Times New Roman" w:hAnsi="Times New Roman"/>
          <w:sz w:val="22"/>
          <w:szCs w:val="22"/>
          <w:color w:val="auto"/>
        </w:rPr>
        <w:t>Role of the Compensation Committee</w:t>
      </w:r>
    </w:p>
    <w:p>
      <w:pPr>
        <w:ind w:left="180"/>
        <w:spacing w:after="0" w:line="231" w:lineRule="auto"/>
        <w:rPr>
          <w:sz w:val="20"/>
          <w:szCs w:val="20"/>
          <w:color w:val="auto"/>
        </w:rPr>
      </w:pPr>
      <w:r>
        <w:rPr>
          <w:rFonts w:ascii="Times New Roman" w:cs="Times New Roman" w:eastAsia="Times New Roman" w:hAnsi="Times New Roman"/>
          <w:sz w:val="22"/>
          <w:szCs w:val="22"/>
          <w:color w:val="auto"/>
        </w:rPr>
        <w:t>Compensation Philosophy and Objectives</w:t>
      </w:r>
    </w:p>
    <w:p>
      <w:pPr>
        <w:ind w:left="180"/>
        <w:spacing w:after="0" w:line="230" w:lineRule="auto"/>
        <w:rPr>
          <w:sz w:val="20"/>
          <w:szCs w:val="20"/>
          <w:color w:val="auto"/>
        </w:rPr>
      </w:pPr>
      <w:r>
        <w:rPr>
          <w:rFonts w:ascii="Times New Roman" w:cs="Times New Roman" w:eastAsia="Times New Roman" w:hAnsi="Times New Roman"/>
          <w:sz w:val="22"/>
          <w:szCs w:val="22"/>
          <w:color w:val="auto"/>
        </w:rPr>
        <w:t>Committee Process</w:t>
      </w:r>
    </w:p>
    <w:p>
      <w:pPr>
        <w:ind w:left="180"/>
        <w:spacing w:after="0" w:line="231" w:lineRule="auto"/>
        <w:rPr>
          <w:sz w:val="20"/>
          <w:szCs w:val="20"/>
          <w:color w:val="auto"/>
        </w:rPr>
      </w:pPr>
      <w:r>
        <w:rPr>
          <w:rFonts w:ascii="Times New Roman" w:cs="Times New Roman" w:eastAsia="Times New Roman" w:hAnsi="Times New Roman"/>
          <w:sz w:val="22"/>
          <w:szCs w:val="22"/>
          <w:color w:val="auto"/>
        </w:rPr>
        <w:t>Role of Executive Officers in Compensation Decisions</w:t>
      </w:r>
    </w:p>
    <w:p>
      <w:pPr>
        <w:ind w:left="180"/>
        <w:spacing w:after="0" w:line="230" w:lineRule="auto"/>
        <w:rPr>
          <w:sz w:val="20"/>
          <w:szCs w:val="20"/>
          <w:color w:val="auto"/>
        </w:rPr>
      </w:pPr>
      <w:r>
        <w:rPr>
          <w:rFonts w:ascii="Times New Roman" w:cs="Times New Roman" w:eastAsia="Times New Roman" w:hAnsi="Times New Roman"/>
          <w:sz w:val="22"/>
          <w:szCs w:val="22"/>
          <w:color w:val="auto"/>
        </w:rPr>
        <w:t>Executive Compensation Consultant</w:t>
      </w:r>
    </w:p>
    <w:p>
      <w:pPr>
        <w:ind w:left="180"/>
        <w:spacing w:after="0" w:line="231" w:lineRule="auto"/>
        <w:rPr>
          <w:sz w:val="20"/>
          <w:szCs w:val="20"/>
          <w:color w:val="auto"/>
        </w:rPr>
      </w:pPr>
      <w:r>
        <w:rPr>
          <w:rFonts w:ascii="Times New Roman" w:cs="Times New Roman" w:eastAsia="Times New Roman" w:hAnsi="Times New Roman"/>
          <w:sz w:val="22"/>
          <w:szCs w:val="22"/>
          <w:color w:val="auto"/>
        </w:rPr>
        <w:t>Use of Benchmarking</w:t>
      </w:r>
    </w:p>
    <w:p>
      <w:pPr>
        <w:ind w:left="180"/>
        <w:spacing w:after="0" w:line="230" w:lineRule="auto"/>
        <w:rPr>
          <w:sz w:val="20"/>
          <w:szCs w:val="20"/>
          <w:color w:val="auto"/>
        </w:rPr>
      </w:pPr>
      <w:r>
        <w:rPr>
          <w:rFonts w:ascii="Times New Roman" w:cs="Times New Roman" w:eastAsia="Times New Roman" w:hAnsi="Times New Roman"/>
          <w:sz w:val="22"/>
          <w:szCs w:val="22"/>
          <w:color w:val="auto"/>
        </w:rPr>
        <w:t>Peer Group Composition</w:t>
      </w:r>
    </w:p>
    <w:p>
      <w:pPr>
        <w:ind w:left="180"/>
        <w:spacing w:after="0" w:line="231" w:lineRule="auto"/>
        <w:rPr>
          <w:sz w:val="20"/>
          <w:szCs w:val="20"/>
          <w:color w:val="auto"/>
        </w:rPr>
      </w:pPr>
      <w:r>
        <w:rPr>
          <w:rFonts w:ascii="Times New Roman" w:cs="Times New Roman" w:eastAsia="Times New Roman" w:hAnsi="Times New Roman"/>
          <w:sz w:val="22"/>
          <w:szCs w:val="22"/>
          <w:color w:val="auto"/>
        </w:rPr>
        <w:t>Compensation Strategy for CEO</w:t>
      </w:r>
    </w:p>
    <w:p>
      <w:pPr>
        <w:ind w:left="180"/>
        <w:spacing w:after="0" w:line="230" w:lineRule="auto"/>
        <w:rPr>
          <w:sz w:val="20"/>
          <w:szCs w:val="20"/>
          <w:color w:val="auto"/>
        </w:rPr>
      </w:pPr>
      <w:r>
        <w:rPr>
          <w:rFonts w:ascii="Times New Roman" w:cs="Times New Roman" w:eastAsia="Times New Roman" w:hAnsi="Times New Roman"/>
          <w:sz w:val="22"/>
          <w:szCs w:val="22"/>
          <w:color w:val="auto"/>
        </w:rPr>
        <w:t>Compensation Strategy for NEOs other than the CEO</w:t>
      </w:r>
    </w:p>
    <w:p>
      <w:pPr>
        <w:ind w:left="180"/>
        <w:spacing w:after="0" w:line="231" w:lineRule="auto"/>
        <w:rPr>
          <w:sz w:val="20"/>
          <w:szCs w:val="20"/>
          <w:color w:val="auto"/>
        </w:rPr>
      </w:pPr>
      <w:r>
        <w:rPr>
          <w:rFonts w:ascii="Times New Roman" w:cs="Times New Roman" w:eastAsia="Times New Roman" w:hAnsi="Times New Roman"/>
          <w:sz w:val="22"/>
          <w:szCs w:val="22"/>
          <w:color w:val="auto"/>
        </w:rPr>
        <w:t>Components of Compensation</w:t>
      </w:r>
    </w:p>
    <w:p>
      <w:pPr>
        <w:ind w:left="180"/>
        <w:spacing w:after="0" w:line="230" w:lineRule="auto"/>
        <w:rPr>
          <w:sz w:val="20"/>
          <w:szCs w:val="20"/>
          <w:color w:val="auto"/>
        </w:rPr>
      </w:pPr>
      <w:r>
        <w:rPr>
          <w:rFonts w:ascii="Times New Roman" w:cs="Times New Roman" w:eastAsia="Times New Roman" w:hAnsi="Times New Roman"/>
          <w:sz w:val="22"/>
          <w:szCs w:val="22"/>
          <w:color w:val="auto"/>
        </w:rPr>
        <w:t>Base Salary</w:t>
      </w:r>
    </w:p>
    <w:p>
      <w:pPr>
        <w:ind w:left="180"/>
        <w:spacing w:after="0" w:line="231" w:lineRule="auto"/>
        <w:rPr>
          <w:sz w:val="20"/>
          <w:szCs w:val="20"/>
          <w:color w:val="auto"/>
        </w:rPr>
      </w:pPr>
      <w:r>
        <w:rPr>
          <w:rFonts w:ascii="Times New Roman" w:cs="Times New Roman" w:eastAsia="Times New Roman" w:hAnsi="Times New Roman"/>
          <w:sz w:val="22"/>
          <w:szCs w:val="22"/>
          <w:color w:val="auto"/>
        </w:rPr>
        <w:t>Annual Incentive Bonus</w:t>
      </w:r>
    </w:p>
    <w:p>
      <w:pPr>
        <w:ind w:left="180"/>
        <w:spacing w:after="0" w:line="231" w:lineRule="auto"/>
        <w:rPr>
          <w:sz w:val="20"/>
          <w:szCs w:val="20"/>
          <w:color w:val="auto"/>
        </w:rPr>
      </w:pPr>
      <w:r>
        <w:rPr>
          <w:rFonts w:ascii="Times New Roman" w:cs="Times New Roman" w:eastAsia="Times New Roman" w:hAnsi="Times New Roman"/>
          <w:sz w:val="22"/>
          <w:szCs w:val="22"/>
          <w:color w:val="auto"/>
        </w:rPr>
        <w:t>Long-Term Equity Incentives</w:t>
      </w:r>
    </w:p>
    <w:p>
      <w:pPr>
        <w:ind w:left="180"/>
        <w:spacing w:after="0" w:line="230" w:lineRule="auto"/>
        <w:rPr>
          <w:sz w:val="20"/>
          <w:szCs w:val="20"/>
          <w:color w:val="auto"/>
        </w:rPr>
      </w:pPr>
      <w:r>
        <w:rPr>
          <w:rFonts w:ascii="Times New Roman" w:cs="Times New Roman" w:eastAsia="Times New Roman" w:hAnsi="Times New Roman"/>
          <w:sz w:val="22"/>
          <w:szCs w:val="22"/>
          <w:color w:val="auto"/>
        </w:rPr>
        <w:t>Retirement Benefits</w:t>
      </w:r>
    </w:p>
    <w:p>
      <w:pPr>
        <w:ind w:left="180"/>
        <w:spacing w:after="0" w:line="231" w:lineRule="auto"/>
        <w:rPr>
          <w:sz w:val="20"/>
          <w:szCs w:val="20"/>
          <w:color w:val="auto"/>
        </w:rPr>
      </w:pPr>
      <w:r>
        <w:rPr>
          <w:rFonts w:ascii="Times New Roman" w:cs="Times New Roman" w:eastAsia="Times New Roman" w:hAnsi="Times New Roman"/>
          <w:sz w:val="22"/>
          <w:szCs w:val="22"/>
          <w:color w:val="auto"/>
        </w:rPr>
        <w:t>Perquisites</w:t>
      </w:r>
    </w:p>
    <w:p>
      <w:pPr>
        <w:ind w:left="180"/>
        <w:spacing w:after="0" w:line="230" w:lineRule="auto"/>
        <w:rPr>
          <w:sz w:val="20"/>
          <w:szCs w:val="20"/>
          <w:color w:val="auto"/>
        </w:rPr>
      </w:pPr>
      <w:r>
        <w:rPr>
          <w:rFonts w:ascii="Times New Roman" w:cs="Times New Roman" w:eastAsia="Times New Roman" w:hAnsi="Times New Roman"/>
          <w:sz w:val="22"/>
          <w:szCs w:val="22"/>
          <w:color w:val="auto"/>
        </w:rPr>
        <w:t>Severance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Tax Deductibility of Executive Compensation</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Compensation Committee Report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Executive Compensation</w:t>
      </w:r>
    </w:p>
    <w:p>
      <w:pPr>
        <w:spacing w:after="0" w:line="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Summary Compensation Table</w:t>
      </w:r>
    </w:p>
    <w:p>
      <w:pPr>
        <w:ind w:left="180"/>
        <w:spacing w:after="0" w:line="230" w:lineRule="auto"/>
        <w:rPr>
          <w:sz w:val="20"/>
          <w:szCs w:val="20"/>
          <w:color w:val="auto"/>
        </w:rPr>
      </w:pPr>
      <w:r>
        <w:rPr>
          <w:rFonts w:ascii="Times New Roman" w:cs="Times New Roman" w:eastAsia="Times New Roman" w:hAnsi="Times New Roman"/>
          <w:sz w:val="22"/>
          <w:szCs w:val="22"/>
          <w:color w:val="auto"/>
        </w:rPr>
        <w:t>Grants of Plan-Based Awards</w:t>
      </w:r>
    </w:p>
    <w:p>
      <w:pPr>
        <w:ind w:left="180"/>
        <w:spacing w:after="0" w:line="231" w:lineRule="auto"/>
        <w:rPr>
          <w:sz w:val="20"/>
          <w:szCs w:val="20"/>
          <w:color w:val="auto"/>
        </w:rPr>
      </w:pPr>
      <w:r>
        <w:rPr>
          <w:rFonts w:ascii="Times New Roman" w:cs="Times New Roman" w:eastAsia="Times New Roman" w:hAnsi="Times New Roman"/>
          <w:sz w:val="22"/>
          <w:szCs w:val="22"/>
          <w:color w:val="auto"/>
        </w:rPr>
        <w:t>Outstanding Equity Awards at Fiscal Year-End</w:t>
      </w:r>
    </w:p>
    <w:p>
      <w:pPr>
        <w:ind w:left="180"/>
        <w:spacing w:after="0" w:line="230" w:lineRule="auto"/>
        <w:rPr>
          <w:sz w:val="20"/>
          <w:szCs w:val="20"/>
          <w:color w:val="auto"/>
        </w:rPr>
      </w:pPr>
      <w:r>
        <w:rPr>
          <w:rFonts w:ascii="Times New Roman" w:cs="Times New Roman" w:eastAsia="Times New Roman" w:hAnsi="Times New Roman"/>
          <w:sz w:val="22"/>
          <w:szCs w:val="22"/>
          <w:color w:val="auto"/>
        </w:rPr>
        <w:t>Option Exercises and Stock Vested</w:t>
      </w:r>
    </w:p>
    <w:p>
      <w:pPr>
        <w:spacing w:after="0" w:line="1" w:lineRule="exact"/>
        <w:rPr>
          <w:sz w:val="20"/>
          <w:szCs w:val="20"/>
          <w:color w:val="auto"/>
        </w:rPr>
      </w:pPr>
    </w:p>
    <w:p>
      <w:pPr>
        <w:ind w:left="180" w:right="1660"/>
        <w:spacing w:after="0" w:line="230" w:lineRule="auto"/>
        <w:rPr>
          <w:sz w:val="20"/>
          <w:szCs w:val="20"/>
          <w:color w:val="auto"/>
        </w:rPr>
      </w:pPr>
      <w:r>
        <w:rPr>
          <w:rFonts w:ascii="Times New Roman" w:cs="Times New Roman" w:eastAsia="Times New Roman" w:hAnsi="Times New Roman"/>
          <w:sz w:val="22"/>
          <w:szCs w:val="22"/>
          <w:color w:val="auto"/>
        </w:rPr>
        <w:t>Grant of Certain Equity Awards Close in Time to the Release of Material Nonpublic Information Pension Benefits</w:t>
      </w:r>
    </w:p>
    <w:p>
      <w:pPr>
        <w:spacing w:after="0" w:line="1" w:lineRule="exact"/>
        <w:rPr>
          <w:sz w:val="20"/>
          <w:szCs w:val="20"/>
          <w:color w:val="auto"/>
        </w:rPr>
      </w:pPr>
    </w:p>
    <w:p>
      <w:pPr>
        <w:ind w:left="180" w:right="4120"/>
        <w:spacing w:after="0" w:line="230" w:lineRule="auto"/>
        <w:rPr>
          <w:sz w:val="20"/>
          <w:szCs w:val="20"/>
          <w:color w:val="auto"/>
        </w:rPr>
      </w:pPr>
      <w:r>
        <w:rPr>
          <w:rFonts w:ascii="Times New Roman" w:cs="Times New Roman" w:eastAsia="Times New Roman" w:hAnsi="Times New Roman"/>
          <w:sz w:val="22"/>
          <w:szCs w:val="22"/>
          <w:color w:val="auto"/>
        </w:rPr>
        <w:t>Employment Agreements and Potential Payments upon Termination Pay Ratio Disclosure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Pay Versus Performance Disclosure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Principal Accountant Fees and Services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Audit Committee Report</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Proposal 2: Ratification of Appointment of Independent Auditors</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Proposal 3: Advisory Vote to Approve Executive Compensation</w:t>
      </w:r>
    </w:p>
    <w:p>
      <w:pPr>
        <w:spacing w:after="0" w:line="98" w:lineRule="exact"/>
        <w:rPr>
          <w:sz w:val="20"/>
          <w:szCs w:val="20"/>
          <w:color w:val="auto"/>
        </w:rPr>
      </w:pPr>
    </w:p>
    <w:p>
      <w:pPr>
        <w:spacing w:after="0" w:line="364" w:lineRule="auto"/>
        <w:rPr>
          <w:sz w:val="20"/>
          <w:szCs w:val="20"/>
          <w:color w:val="auto"/>
        </w:rPr>
      </w:pPr>
      <w:r>
        <w:rPr>
          <w:rFonts w:ascii="Times New Roman" w:cs="Times New Roman" w:eastAsia="Times New Roman" w:hAnsi="Times New Roman"/>
          <w:sz w:val="22"/>
          <w:szCs w:val="22"/>
          <w:b w:val="1"/>
          <w:bCs w:val="1"/>
          <w:color w:val="29650B"/>
        </w:rPr>
        <w:t>Proposal 4: Consideration of a Shareholder Proposal Regarding  Shareholder Right to Act by Written Consent Other Matters</w:t>
      </w:r>
    </w:p>
    <w:p>
      <w:pPr>
        <w:spacing w:after="0" w:line="182" w:lineRule="exact"/>
        <w:rPr>
          <w:sz w:val="20"/>
          <w:szCs w:val="20"/>
          <w:color w:val="auto"/>
        </w:rPr>
      </w:pPr>
    </w:p>
    <w:p>
      <w:pPr>
        <w:jc w:val="center"/>
        <w:ind w:left="980"/>
        <w:spacing w:after="0"/>
        <w:rPr>
          <w:sz w:val="20"/>
          <w:szCs w:val="20"/>
          <w:color w:val="auto"/>
        </w:rPr>
      </w:pPr>
      <w:r>
        <w:rPr>
          <w:rFonts w:ascii="Times New Roman" w:cs="Times New Roman" w:eastAsia="Times New Roman" w:hAnsi="Times New Roman"/>
          <w:sz w:val="22"/>
          <w:szCs w:val="22"/>
          <w:color w:val="auto"/>
        </w:rPr>
        <w:t>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29650B"/>
        </w:rPr>
        <w:t>1</w:t>
      </w:r>
    </w:p>
    <w:p>
      <w:pPr>
        <w:spacing w:after="0" w:line="1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2"/>
          <w:szCs w:val="22"/>
          <w:b w:val="1"/>
          <w:bCs w:val="1"/>
          <w:color w:val="29650B"/>
        </w:rPr>
        <w:t>14</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20</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24</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26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27</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28</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34</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36</w:t>
      </w:r>
    </w:p>
    <w:p>
      <w:pPr>
        <w:spacing w:after="0" w:line="230" w:lineRule="auto"/>
        <w:rPr>
          <w:sz w:val="20"/>
          <w:szCs w:val="20"/>
          <w:color w:val="auto"/>
        </w:rPr>
      </w:pPr>
      <w:r>
        <w:rPr>
          <w:rFonts w:ascii="Times New Roman" w:cs="Times New Roman" w:eastAsia="Times New Roman" w:hAnsi="Times New Roman"/>
          <w:sz w:val="22"/>
          <w:szCs w:val="22"/>
          <w:color w:val="auto"/>
        </w:rPr>
        <w:t>37</w:t>
      </w:r>
    </w:p>
    <w:p>
      <w:pPr>
        <w:spacing w:after="0" w:line="231" w:lineRule="auto"/>
        <w:rPr>
          <w:sz w:val="20"/>
          <w:szCs w:val="20"/>
          <w:color w:val="auto"/>
        </w:rPr>
      </w:pPr>
      <w:r>
        <w:rPr>
          <w:rFonts w:ascii="Times New Roman" w:cs="Times New Roman" w:eastAsia="Times New Roman" w:hAnsi="Times New Roman"/>
          <w:sz w:val="22"/>
          <w:szCs w:val="22"/>
          <w:color w:val="auto"/>
        </w:rPr>
        <w:t>38</w:t>
      </w:r>
    </w:p>
    <w:p>
      <w:pPr>
        <w:spacing w:after="0" w:line="230" w:lineRule="auto"/>
        <w:rPr>
          <w:sz w:val="20"/>
          <w:szCs w:val="20"/>
          <w:color w:val="auto"/>
        </w:rPr>
      </w:pPr>
      <w:r>
        <w:rPr>
          <w:rFonts w:ascii="Times New Roman" w:cs="Times New Roman" w:eastAsia="Times New Roman" w:hAnsi="Times New Roman"/>
          <w:sz w:val="22"/>
          <w:szCs w:val="22"/>
          <w:color w:val="auto"/>
        </w:rPr>
        <w:t>38</w:t>
      </w:r>
    </w:p>
    <w:p>
      <w:pPr>
        <w:spacing w:after="0" w:line="231" w:lineRule="auto"/>
        <w:rPr>
          <w:sz w:val="20"/>
          <w:szCs w:val="20"/>
          <w:color w:val="auto"/>
        </w:rPr>
      </w:pPr>
      <w:r>
        <w:rPr>
          <w:rFonts w:ascii="Times New Roman" w:cs="Times New Roman" w:eastAsia="Times New Roman" w:hAnsi="Times New Roman"/>
          <w:sz w:val="22"/>
          <w:szCs w:val="22"/>
          <w:color w:val="auto"/>
        </w:rPr>
        <w:t>38</w:t>
      </w:r>
    </w:p>
    <w:p>
      <w:pPr>
        <w:spacing w:after="0" w:line="230" w:lineRule="auto"/>
        <w:rPr>
          <w:sz w:val="20"/>
          <w:szCs w:val="20"/>
          <w:color w:val="auto"/>
        </w:rPr>
      </w:pPr>
      <w:r>
        <w:rPr>
          <w:rFonts w:ascii="Times New Roman" w:cs="Times New Roman" w:eastAsia="Times New Roman" w:hAnsi="Times New Roman"/>
          <w:sz w:val="22"/>
          <w:szCs w:val="22"/>
          <w:color w:val="auto"/>
        </w:rPr>
        <w:t>38</w:t>
      </w:r>
    </w:p>
    <w:p>
      <w:pPr>
        <w:spacing w:after="0" w:line="231" w:lineRule="auto"/>
        <w:rPr>
          <w:sz w:val="20"/>
          <w:szCs w:val="20"/>
          <w:color w:val="auto"/>
        </w:rPr>
      </w:pPr>
      <w:r>
        <w:rPr>
          <w:rFonts w:ascii="Times New Roman" w:cs="Times New Roman" w:eastAsia="Times New Roman" w:hAnsi="Times New Roman"/>
          <w:sz w:val="22"/>
          <w:szCs w:val="22"/>
          <w:color w:val="auto"/>
        </w:rPr>
        <w:t>39</w:t>
      </w:r>
    </w:p>
    <w:p>
      <w:pPr>
        <w:spacing w:after="0" w:line="230" w:lineRule="auto"/>
        <w:rPr>
          <w:sz w:val="20"/>
          <w:szCs w:val="20"/>
          <w:color w:val="auto"/>
        </w:rPr>
      </w:pPr>
      <w:r>
        <w:rPr>
          <w:rFonts w:ascii="Times New Roman" w:cs="Times New Roman" w:eastAsia="Times New Roman" w:hAnsi="Times New Roman"/>
          <w:sz w:val="22"/>
          <w:szCs w:val="22"/>
          <w:color w:val="auto"/>
        </w:rPr>
        <w:t>39</w:t>
      </w:r>
    </w:p>
    <w:p>
      <w:pPr>
        <w:spacing w:after="0" w:line="231" w:lineRule="auto"/>
        <w:rPr>
          <w:sz w:val="20"/>
          <w:szCs w:val="20"/>
          <w:color w:val="auto"/>
        </w:rPr>
      </w:pPr>
      <w:r>
        <w:rPr>
          <w:rFonts w:ascii="Times New Roman" w:cs="Times New Roman" w:eastAsia="Times New Roman" w:hAnsi="Times New Roman"/>
          <w:sz w:val="22"/>
          <w:szCs w:val="22"/>
          <w:color w:val="auto"/>
        </w:rPr>
        <w:t>41</w:t>
      </w:r>
    </w:p>
    <w:p>
      <w:pPr>
        <w:spacing w:after="0" w:line="230" w:lineRule="auto"/>
        <w:rPr>
          <w:sz w:val="20"/>
          <w:szCs w:val="20"/>
          <w:color w:val="auto"/>
        </w:rPr>
      </w:pPr>
      <w:r>
        <w:rPr>
          <w:rFonts w:ascii="Times New Roman" w:cs="Times New Roman" w:eastAsia="Times New Roman" w:hAnsi="Times New Roman"/>
          <w:sz w:val="22"/>
          <w:szCs w:val="22"/>
          <w:color w:val="auto"/>
        </w:rPr>
        <w:t>41</w:t>
      </w:r>
    </w:p>
    <w:p>
      <w:pPr>
        <w:spacing w:after="0" w:line="231" w:lineRule="auto"/>
        <w:rPr>
          <w:sz w:val="20"/>
          <w:szCs w:val="20"/>
          <w:color w:val="auto"/>
        </w:rPr>
      </w:pPr>
      <w:r>
        <w:rPr>
          <w:rFonts w:ascii="Times New Roman" w:cs="Times New Roman" w:eastAsia="Times New Roman" w:hAnsi="Times New Roman"/>
          <w:sz w:val="22"/>
          <w:szCs w:val="22"/>
          <w:color w:val="auto"/>
        </w:rPr>
        <w:t>41</w:t>
      </w:r>
    </w:p>
    <w:p>
      <w:pPr>
        <w:spacing w:after="0" w:line="230" w:lineRule="auto"/>
        <w:rPr>
          <w:sz w:val="20"/>
          <w:szCs w:val="20"/>
          <w:color w:val="auto"/>
        </w:rPr>
      </w:pPr>
      <w:r>
        <w:rPr>
          <w:rFonts w:ascii="Times New Roman" w:cs="Times New Roman" w:eastAsia="Times New Roman" w:hAnsi="Times New Roman"/>
          <w:sz w:val="22"/>
          <w:szCs w:val="22"/>
          <w:color w:val="auto"/>
        </w:rPr>
        <w:t>42</w:t>
      </w:r>
    </w:p>
    <w:p>
      <w:pPr>
        <w:spacing w:after="0" w:line="231" w:lineRule="auto"/>
        <w:rPr>
          <w:sz w:val="20"/>
          <w:szCs w:val="20"/>
          <w:color w:val="auto"/>
        </w:rPr>
      </w:pPr>
      <w:r>
        <w:rPr>
          <w:rFonts w:ascii="Times New Roman" w:cs="Times New Roman" w:eastAsia="Times New Roman" w:hAnsi="Times New Roman"/>
          <w:sz w:val="22"/>
          <w:szCs w:val="22"/>
          <w:color w:val="auto"/>
        </w:rPr>
        <w:t>44</w:t>
      </w:r>
    </w:p>
    <w:p>
      <w:pPr>
        <w:spacing w:after="0" w:line="230" w:lineRule="auto"/>
        <w:rPr>
          <w:sz w:val="20"/>
          <w:szCs w:val="20"/>
          <w:color w:val="auto"/>
        </w:rPr>
      </w:pPr>
      <w:r>
        <w:rPr>
          <w:rFonts w:ascii="Times New Roman" w:cs="Times New Roman" w:eastAsia="Times New Roman" w:hAnsi="Times New Roman"/>
          <w:sz w:val="22"/>
          <w:szCs w:val="22"/>
          <w:color w:val="auto"/>
        </w:rPr>
        <w:t>49</w:t>
      </w:r>
    </w:p>
    <w:p>
      <w:pPr>
        <w:spacing w:after="0" w:line="231" w:lineRule="auto"/>
        <w:rPr>
          <w:sz w:val="20"/>
          <w:szCs w:val="20"/>
          <w:color w:val="auto"/>
        </w:rPr>
      </w:pPr>
      <w:r>
        <w:rPr>
          <w:rFonts w:ascii="Times New Roman" w:cs="Times New Roman" w:eastAsia="Times New Roman" w:hAnsi="Times New Roman"/>
          <w:sz w:val="22"/>
          <w:szCs w:val="22"/>
          <w:color w:val="auto"/>
        </w:rPr>
        <w:t>50</w:t>
      </w:r>
    </w:p>
    <w:p>
      <w:pPr>
        <w:spacing w:after="0" w:line="231" w:lineRule="auto"/>
        <w:rPr>
          <w:sz w:val="20"/>
          <w:szCs w:val="20"/>
          <w:color w:val="auto"/>
        </w:rPr>
      </w:pPr>
      <w:r>
        <w:rPr>
          <w:rFonts w:ascii="Times New Roman" w:cs="Times New Roman" w:eastAsia="Times New Roman" w:hAnsi="Times New Roman"/>
          <w:sz w:val="22"/>
          <w:szCs w:val="22"/>
          <w:color w:val="auto"/>
        </w:rPr>
        <w:t>50</w:t>
      </w:r>
    </w:p>
    <w:p>
      <w:pPr>
        <w:spacing w:after="0" w:line="230" w:lineRule="auto"/>
        <w:rPr>
          <w:sz w:val="20"/>
          <w:szCs w:val="20"/>
          <w:color w:val="auto"/>
        </w:rPr>
      </w:pPr>
      <w:r>
        <w:rPr>
          <w:rFonts w:ascii="Times New Roman" w:cs="Times New Roman" w:eastAsia="Times New Roman" w:hAnsi="Times New Roman"/>
          <w:sz w:val="22"/>
          <w:szCs w:val="22"/>
          <w:color w:val="auto"/>
        </w:rPr>
        <w:t>50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51</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52</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52</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w:t>
      </w:r>
    </w:p>
    <w:p>
      <w:pPr>
        <w:spacing w:after="0" w:line="230" w:lineRule="auto"/>
        <w:rPr>
          <w:sz w:val="20"/>
          <w:szCs w:val="20"/>
          <w:color w:val="auto"/>
        </w:rPr>
      </w:pPr>
      <w:r>
        <w:rPr>
          <w:rFonts w:ascii="Times New Roman" w:cs="Times New Roman" w:eastAsia="Times New Roman" w:hAnsi="Times New Roman"/>
          <w:sz w:val="22"/>
          <w:szCs w:val="22"/>
          <w:color w:val="auto"/>
        </w:rPr>
        <w:t>56</w:t>
      </w:r>
    </w:p>
    <w:p>
      <w:pPr>
        <w:spacing w:after="0" w:line="231" w:lineRule="auto"/>
        <w:rPr>
          <w:sz w:val="20"/>
          <w:szCs w:val="20"/>
          <w:color w:val="auto"/>
        </w:rPr>
      </w:pPr>
      <w:r>
        <w:rPr>
          <w:rFonts w:ascii="Times New Roman" w:cs="Times New Roman" w:eastAsia="Times New Roman" w:hAnsi="Times New Roman"/>
          <w:sz w:val="22"/>
          <w:szCs w:val="22"/>
          <w:color w:val="auto"/>
        </w:rPr>
        <w:t>58</w:t>
      </w:r>
    </w:p>
    <w:p>
      <w:pPr>
        <w:spacing w:after="0" w:line="230" w:lineRule="auto"/>
        <w:rPr>
          <w:sz w:val="20"/>
          <w:szCs w:val="20"/>
          <w:color w:val="auto"/>
        </w:rPr>
      </w:pPr>
      <w:r>
        <w:rPr>
          <w:rFonts w:ascii="Times New Roman" w:cs="Times New Roman" w:eastAsia="Times New Roman" w:hAnsi="Times New Roman"/>
          <w:sz w:val="22"/>
          <w:szCs w:val="22"/>
          <w:color w:val="auto"/>
        </w:rPr>
        <w:t>58</w:t>
      </w:r>
    </w:p>
    <w:p>
      <w:pPr>
        <w:spacing w:after="0" w:line="231" w:lineRule="auto"/>
        <w:rPr>
          <w:sz w:val="20"/>
          <w:szCs w:val="20"/>
          <w:color w:val="auto"/>
        </w:rPr>
      </w:pPr>
      <w:r>
        <w:rPr>
          <w:rFonts w:ascii="Times New Roman" w:cs="Times New Roman" w:eastAsia="Times New Roman" w:hAnsi="Times New Roman"/>
          <w:sz w:val="22"/>
          <w:szCs w:val="22"/>
          <w:color w:val="auto"/>
        </w:rPr>
        <w:t>59</w:t>
      </w:r>
    </w:p>
    <w:p>
      <w:pPr>
        <w:spacing w:after="0" w:line="230" w:lineRule="auto"/>
        <w:rPr>
          <w:sz w:val="20"/>
          <w:szCs w:val="20"/>
          <w:color w:val="auto"/>
        </w:rPr>
      </w:pPr>
      <w:r>
        <w:rPr>
          <w:rFonts w:ascii="Times New Roman" w:cs="Times New Roman" w:eastAsia="Times New Roman" w:hAnsi="Times New Roman"/>
          <w:sz w:val="22"/>
          <w:szCs w:val="22"/>
          <w:color w:val="auto"/>
        </w:rPr>
        <w:t>60</w:t>
      </w:r>
    </w:p>
    <w:p>
      <w:pPr>
        <w:spacing w:after="0" w:line="231" w:lineRule="auto"/>
        <w:rPr>
          <w:sz w:val="20"/>
          <w:szCs w:val="20"/>
          <w:color w:val="auto"/>
        </w:rPr>
      </w:pPr>
      <w:r>
        <w:rPr>
          <w:rFonts w:ascii="Times New Roman" w:cs="Times New Roman" w:eastAsia="Times New Roman" w:hAnsi="Times New Roman"/>
          <w:sz w:val="22"/>
          <w:szCs w:val="22"/>
          <w:color w:val="auto"/>
        </w:rPr>
        <w:t>63</w:t>
      </w:r>
    </w:p>
    <w:p>
      <w:pPr>
        <w:spacing w:after="0" w:line="230" w:lineRule="auto"/>
        <w:rPr>
          <w:sz w:val="20"/>
          <w:szCs w:val="20"/>
          <w:color w:val="auto"/>
        </w:rPr>
      </w:pPr>
      <w:r>
        <w:rPr>
          <w:rFonts w:ascii="Times New Roman" w:cs="Times New Roman" w:eastAsia="Times New Roman" w:hAnsi="Times New Roman"/>
          <w:sz w:val="22"/>
          <w:szCs w:val="22"/>
          <w:color w:val="auto"/>
        </w:rPr>
        <w:t>63</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70</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71</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72</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73</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74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29650B"/>
        </w:rPr>
        <w:t>77</w:t>
      </w:r>
    </w:p>
    <w:p>
      <w:pPr>
        <w:sectPr>
          <w:pgSz w:w="11900" w:h="16838" w:orient="portrait"/>
          <w:cols w:equalWidth="0" w:num="2">
            <w:col w:w="10200" w:space="720"/>
            <w:col w:w="220"/>
          </w:cols>
          <w:pgMar w:left="320" w:top="578" w:right="439" w:bottom="1153"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32"/>
          <w:szCs w:val="32"/>
          <w:b w:val="1"/>
          <w:bCs w:val="1"/>
          <w:color w:val="29650B"/>
        </w:rPr>
        <w:t>2026 PROXY STATEMENT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9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This is a summary only and does not contain all the information that you should consider. We urge you to carefully read the entire Proxy Statement before voting.</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29650B"/>
        </w:rPr>
        <w:t>Crown Holdings, Inc. - 2026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b w:val="1"/>
          <w:bCs w:val="1"/>
          <w:color w:val="auto"/>
        </w:rPr>
        <w:t>Time and Date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9:30 a.m. Eastern Time, April 30, 2026</w:t>
      </w:r>
    </w:p>
    <w:p>
      <w:pPr>
        <w:spacing w:after="0" w:line="309"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0"/>
          <w:szCs w:val="20"/>
          <w:b w:val="1"/>
          <w:bCs w:val="1"/>
          <w:color w:val="auto"/>
        </w:rPr>
        <w:t>Place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Tampa Marriott Water Street</w:t>
      </w:r>
    </w:p>
    <w:p>
      <w:pPr>
        <w:spacing w:after="0" w:line="45"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color w:val="auto"/>
        </w:rPr>
        <w:t>505 Water Street</w:t>
      </w:r>
    </w:p>
    <w:p>
      <w:pPr>
        <w:spacing w:after="0" w:line="2" w:lineRule="exact"/>
        <w:rPr>
          <w:sz w:val="20"/>
          <w:szCs w:val="20"/>
          <w:color w:val="auto"/>
        </w:rPr>
      </w:pPr>
    </w:p>
    <w:p>
      <w:pPr>
        <w:ind w:left="2380"/>
        <w:spacing w:after="0"/>
        <w:rPr>
          <w:sz w:val="20"/>
          <w:szCs w:val="20"/>
          <w:color w:val="auto"/>
        </w:rPr>
      </w:pPr>
      <w:r>
        <w:rPr>
          <w:rFonts w:ascii="Times New Roman" w:cs="Times New Roman" w:eastAsia="Times New Roman" w:hAnsi="Times New Roman"/>
          <w:sz w:val="21"/>
          <w:szCs w:val="21"/>
          <w:color w:val="auto"/>
        </w:rPr>
        <w:t>Tampa, FL 33602</w:t>
      </w:r>
    </w:p>
    <w:p>
      <w:pPr>
        <w:spacing w:after="0" w:line="200" w:lineRule="exact"/>
        <w:rPr>
          <w:sz w:val="20"/>
          <w:szCs w:val="20"/>
          <w:color w:val="auto"/>
        </w:rPr>
      </w:pPr>
    </w:p>
    <w:p>
      <w:pPr>
        <w:spacing w:after="0" w:line="256" w:lineRule="exact"/>
        <w:rPr>
          <w:sz w:val="20"/>
          <w:szCs w:val="20"/>
          <w:color w:val="auto"/>
        </w:rPr>
      </w:pPr>
    </w:p>
    <w:p>
      <w:pPr>
        <w:ind w:left="2380" w:right="2040" w:hanging="2361"/>
        <w:spacing w:after="0" w:line="295" w:lineRule="auto"/>
        <w:tabs>
          <w:tab w:leader="none" w:pos="2360" w:val="left"/>
        </w:tabs>
        <w:rPr>
          <w:sz w:val="20"/>
          <w:szCs w:val="20"/>
          <w:color w:val="auto"/>
        </w:rPr>
      </w:pPr>
      <w:r>
        <w:rPr>
          <w:rFonts w:ascii="Times New Roman" w:cs="Times New Roman" w:eastAsia="Times New Roman" w:hAnsi="Times New Roman"/>
          <w:sz w:val="20"/>
          <w:szCs w:val="20"/>
          <w:b w:val="1"/>
          <w:bCs w:val="1"/>
          <w:color w:val="auto"/>
        </w:rPr>
        <w:t>Record Date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19"/>
          <w:szCs w:val="19"/>
          <w:color w:val="auto"/>
        </w:rPr>
        <w:t>March 10, 2026. Only Shareholders of record of the Company’s Common Stock at the close of business on the Record Date will be entitled to vote at the Annual Meeting.</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29650B"/>
        </w:rPr>
        <w:t>2026 Annual Meeting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tbl>
      <w:tblPr>
        <w:tblLayout w:type="fixed"/>
        <w:tblInd w:w="110" w:type="dxa"/>
        <w:tblCellMar>
          <w:top w:w="0" w:type="dxa"/>
          <w:left w:w="0" w:type="dxa"/>
          <w:bottom w:w="0" w:type="dxa"/>
          <w:right w:w="0" w:type="dxa"/>
        </w:tblCellMar>
      </w:tblPr>
      <w:tr>
        <w:trPr>
          <w:trHeight w:val="317"/>
        </w:trPr>
        <w:tc>
          <w:tcPr>
            <w:tcW w:w="180" w:type="dxa"/>
            <w:vAlign w:val="bottom"/>
            <w:tcBorders>
              <w:top w:val="single" w:sz="8" w:color="auto"/>
              <w:left w:val="single" w:sz="8" w:color="auto"/>
            </w:tcBorders>
            <w:shd w:val="clear" w:color="auto" w:fill="29650B"/>
          </w:tcPr>
          <w:p>
            <w:pPr>
              <w:spacing w:after="0"/>
              <w:rPr>
                <w:sz w:val="24"/>
                <w:szCs w:val="24"/>
                <w:color w:val="auto"/>
              </w:rPr>
            </w:pPr>
          </w:p>
        </w:tc>
        <w:tc>
          <w:tcPr>
            <w:tcW w:w="6140" w:type="dxa"/>
            <w:vAlign w:val="bottom"/>
            <w:tcBorders>
              <w:top w:val="single" w:sz="8" w:color="auto"/>
              <w:right w:val="single" w:sz="8" w:color="auto"/>
            </w:tcBorders>
            <w:shd w:val="clear" w:color="auto" w:fill="29650B"/>
          </w:tcPr>
          <w:p>
            <w:pPr>
              <w:ind w:left="2440"/>
              <w:spacing w:after="0"/>
              <w:rPr>
                <w:sz w:val="20"/>
                <w:szCs w:val="20"/>
                <w:color w:val="auto"/>
              </w:rPr>
            </w:pPr>
            <w:r>
              <w:rPr>
                <w:rFonts w:ascii="Times New Roman" w:cs="Times New Roman" w:eastAsia="Times New Roman" w:hAnsi="Times New Roman"/>
                <w:sz w:val="20"/>
                <w:szCs w:val="20"/>
                <w:b w:val="1"/>
                <w:bCs w:val="1"/>
                <w:color w:val="FFFFFF"/>
              </w:rPr>
              <w:t>Agenda Item</w:t>
            </w:r>
          </w:p>
        </w:tc>
        <w:tc>
          <w:tcPr>
            <w:tcW w:w="362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Board Recommendation</w:t>
            </w:r>
          </w:p>
        </w:tc>
        <w:tc>
          <w:tcPr>
            <w:tcW w:w="740" w:type="dxa"/>
            <w:vAlign w:val="bottom"/>
            <w:tcBorders>
              <w:top w:val="single" w:sz="8" w:color="auto"/>
              <w:right w:val="single" w:sz="8" w:color="auto"/>
            </w:tcBorders>
            <w:shd w:val="clear" w:color="auto" w:fill="29650B"/>
          </w:tcPr>
          <w:p>
            <w:pPr>
              <w:jc w:val="right"/>
              <w:ind w:right="88"/>
              <w:spacing w:after="0"/>
              <w:rPr>
                <w:sz w:val="20"/>
                <w:szCs w:val="20"/>
                <w:color w:val="auto"/>
              </w:rPr>
            </w:pPr>
            <w:r>
              <w:rPr>
                <w:rFonts w:ascii="Times New Roman" w:cs="Times New Roman" w:eastAsia="Times New Roman" w:hAnsi="Times New Roman"/>
                <w:sz w:val="20"/>
                <w:szCs w:val="20"/>
                <w:b w:val="1"/>
                <w:bCs w:val="1"/>
                <w:color w:val="FFFFFF"/>
              </w:rPr>
              <w:t>Page</w:t>
            </w:r>
          </w:p>
        </w:tc>
        <w:tc>
          <w:tcPr>
            <w:tcW w:w="0" w:type="dxa"/>
            <w:vAlign w:val="bottom"/>
          </w:tcPr>
          <w:p>
            <w:pPr>
              <w:spacing w:after="0"/>
              <w:rPr>
                <w:sz w:val="1"/>
                <w:szCs w:val="1"/>
                <w:color w:val="auto"/>
              </w:rPr>
            </w:pPr>
          </w:p>
        </w:tc>
      </w:tr>
      <w:tr>
        <w:trPr>
          <w:trHeight w:val="75"/>
        </w:trPr>
        <w:tc>
          <w:tcPr>
            <w:tcW w:w="180" w:type="dxa"/>
            <w:vAlign w:val="bottom"/>
            <w:tcBorders>
              <w:left w:val="single" w:sz="8" w:color="auto"/>
              <w:bottom w:val="single" w:sz="8" w:color="auto"/>
            </w:tcBorders>
            <w:shd w:val="clear" w:color="auto" w:fill="29650B"/>
          </w:tcPr>
          <w:p>
            <w:pPr>
              <w:spacing w:after="0"/>
              <w:rPr>
                <w:sz w:val="6"/>
                <w:szCs w:val="6"/>
                <w:color w:val="auto"/>
              </w:rPr>
            </w:pPr>
          </w:p>
        </w:tc>
        <w:tc>
          <w:tcPr>
            <w:tcW w:w="6140" w:type="dxa"/>
            <w:vAlign w:val="bottom"/>
            <w:tcBorders>
              <w:bottom w:val="single" w:sz="8" w:color="auto"/>
              <w:right w:val="single" w:sz="8" w:color="auto"/>
            </w:tcBorders>
            <w:shd w:val="clear" w:color="auto" w:fill="29650B"/>
          </w:tcPr>
          <w:p>
            <w:pPr>
              <w:spacing w:after="0"/>
              <w:rPr>
                <w:sz w:val="6"/>
                <w:szCs w:val="6"/>
                <w:color w:val="auto"/>
              </w:rPr>
            </w:pPr>
          </w:p>
        </w:tc>
        <w:tc>
          <w:tcPr>
            <w:tcW w:w="3620" w:type="dxa"/>
            <w:vAlign w:val="bottom"/>
            <w:tcBorders>
              <w:bottom w:val="single" w:sz="8" w:color="auto"/>
              <w:right w:val="single" w:sz="8" w:color="auto"/>
            </w:tcBorders>
            <w:shd w:val="clear" w:color="auto" w:fill="29650B"/>
          </w:tcPr>
          <w:p>
            <w:pPr>
              <w:spacing w:after="0"/>
              <w:rPr>
                <w:sz w:val="6"/>
                <w:szCs w:val="6"/>
                <w:color w:val="auto"/>
              </w:rPr>
            </w:pPr>
          </w:p>
        </w:tc>
        <w:tc>
          <w:tcPr>
            <w:tcW w:w="740" w:type="dxa"/>
            <w:vAlign w:val="bottom"/>
            <w:tcBorders>
              <w:bottom w:val="single" w:sz="8" w:color="auto"/>
              <w:right w:val="single" w:sz="8" w:color="auto"/>
            </w:tcBorders>
            <w:shd w:val="clear" w:color="auto" w:fill="29650B"/>
          </w:tcPr>
          <w:p>
            <w:pPr>
              <w:spacing w:after="0"/>
              <w:rPr>
                <w:sz w:val="6"/>
                <w:szCs w:val="6"/>
                <w:color w:val="auto"/>
              </w:rPr>
            </w:pPr>
          </w:p>
        </w:tc>
        <w:tc>
          <w:tcPr>
            <w:tcW w:w="0" w:type="dxa"/>
            <w:vAlign w:val="bottom"/>
          </w:tcPr>
          <w:p>
            <w:pPr>
              <w:spacing w:after="0"/>
              <w:rPr>
                <w:sz w:val="1"/>
                <w:szCs w:val="1"/>
                <w:color w:val="auto"/>
              </w:rPr>
            </w:pPr>
          </w:p>
        </w:tc>
      </w:tr>
      <w:tr>
        <w:trPr>
          <w:trHeight w:val="277"/>
        </w:trPr>
        <w:tc>
          <w:tcPr>
            <w:tcW w:w="1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1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Election of Directors</w:t>
            </w:r>
          </w:p>
        </w:tc>
        <w:tc>
          <w:tcPr>
            <w:tcW w:w="36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EACH DIRECTOR NOMINEE</w:t>
            </w:r>
          </w:p>
        </w:tc>
        <w:tc>
          <w:tcPr>
            <w:tcW w:w="740" w:type="dxa"/>
            <w:vAlign w:val="bottom"/>
            <w:tcBorders>
              <w:right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94"/>
        </w:trPr>
        <w:tc>
          <w:tcPr>
            <w:tcW w:w="180" w:type="dxa"/>
            <w:vAlign w:val="bottom"/>
            <w:tcBorders>
              <w:left w:val="single" w:sz="8" w:color="auto"/>
              <w:bottom w:val="single" w:sz="8" w:color="auto"/>
            </w:tcBorders>
          </w:tcPr>
          <w:p>
            <w:pPr>
              <w:spacing w:after="0"/>
              <w:rPr>
                <w:sz w:val="8"/>
                <w:szCs w:val="8"/>
                <w:color w:val="auto"/>
              </w:rPr>
            </w:pPr>
          </w:p>
        </w:tc>
        <w:tc>
          <w:tcPr>
            <w:tcW w:w="6140" w:type="dxa"/>
            <w:vAlign w:val="bottom"/>
            <w:tcBorders>
              <w:bottom w:val="single" w:sz="8" w:color="auto"/>
              <w:right w:val="single" w:sz="8" w:color="auto"/>
            </w:tcBorders>
          </w:tcPr>
          <w:p>
            <w:pPr>
              <w:spacing w:after="0"/>
              <w:rPr>
                <w:sz w:val="8"/>
                <w:szCs w:val="8"/>
                <w:color w:val="auto"/>
              </w:rPr>
            </w:pPr>
          </w:p>
        </w:tc>
        <w:tc>
          <w:tcPr>
            <w:tcW w:w="3620" w:type="dxa"/>
            <w:vAlign w:val="bottom"/>
            <w:tcBorders>
              <w:bottom w:val="single" w:sz="8" w:color="auto"/>
              <w:right w:val="single" w:sz="8" w:color="auto"/>
            </w:tcBorders>
          </w:tcPr>
          <w:p>
            <w:pPr>
              <w:spacing w:after="0"/>
              <w:rPr>
                <w:sz w:val="8"/>
                <w:szCs w:val="8"/>
                <w:color w:val="auto"/>
              </w:rPr>
            </w:pPr>
          </w:p>
        </w:tc>
        <w:tc>
          <w:tcPr>
            <w:tcW w:w="7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77"/>
        </w:trPr>
        <w:tc>
          <w:tcPr>
            <w:tcW w:w="180" w:type="dxa"/>
            <w:vAlign w:val="bottom"/>
            <w:tcBorders>
              <w:left w:val="single" w:sz="8" w:color="auto"/>
              <w:bottom w:val="single" w:sz="8" w:color="D9D9D9"/>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140" w:type="dxa"/>
            <w:vAlign w:val="bottom"/>
            <w:tcBorders>
              <w:bottom w:val="single" w:sz="8" w:color="D9D9D9"/>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Ratification of appointment of independent auditors</w:t>
            </w:r>
          </w:p>
        </w:tc>
        <w:tc>
          <w:tcPr>
            <w:tcW w:w="362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40" w:type="dxa"/>
            <w:vAlign w:val="bottom"/>
            <w:tcBorders>
              <w:bottom w:val="single" w:sz="8" w:color="D9D9D9"/>
              <w:right w:val="single" w:sz="8" w:color="auto"/>
            </w:tcBorders>
            <w:shd w:val="clear" w:color="auto" w:fill="D9D9D9"/>
          </w:tcPr>
          <w:p>
            <w:pPr>
              <w:jc w:val="right"/>
              <w:ind w:right="68"/>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318"/>
        </w:trPr>
        <w:tc>
          <w:tcPr>
            <w:tcW w:w="1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614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Advisory vote to approve executive compensation</w:t>
            </w:r>
          </w:p>
        </w:tc>
        <w:tc>
          <w:tcPr>
            <w:tcW w:w="36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740" w:type="dxa"/>
            <w:vAlign w:val="bottom"/>
            <w:tcBorders>
              <w:top w:val="single" w:sz="8" w:color="auto"/>
              <w:right w:val="single" w:sz="8" w:color="auto"/>
            </w:tcBorders>
          </w:tcPr>
          <w:p>
            <w:pPr>
              <w:jc w:val="right"/>
              <w:ind w:right="68"/>
              <w:spacing w:after="0"/>
              <w:rPr>
                <w:sz w:val="20"/>
                <w:szCs w:val="20"/>
                <w:color w:val="auto"/>
              </w:rPr>
            </w:pPr>
            <w:r>
              <w:rPr>
                <w:rFonts w:ascii="Times New Roman" w:cs="Times New Roman" w:eastAsia="Times New Roman" w:hAnsi="Times New Roman"/>
                <w:sz w:val="18"/>
                <w:szCs w:val="18"/>
                <w:color w:val="auto"/>
              </w:rPr>
              <w:t>73</w:t>
            </w:r>
          </w:p>
        </w:tc>
        <w:tc>
          <w:tcPr>
            <w:tcW w:w="0" w:type="dxa"/>
            <w:vAlign w:val="bottom"/>
          </w:tcPr>
          <w:p>
            <w:pPr>
              <w:spacing w:after="0"/>
              <w:rPr>
                <w:sz w:val="1"/>
                <w:szCs w:val="1"/>
                <w:color w:val="auto"/>
              </w:rPr>
            </w:pPr>
          </w:p>
        </w:tc>
      </w:tr>
      <w:tr>
        <w:trPr>
          <w:trHeight w:val="54"/>
        </w:trPr>
        <w:tc>
          <w:tcPr>
            <w:tcW w:w="180" w:type="dxa"/>
            <w:vAlign w:val="bottom"/>
            <w:tcBorders>
              <w:left w:val="single" w:sz="8" w:color="auto"/>
              <w:bottom w:val="single" w:sz="8" w:color="auto"/>
            </w:tcBorders>
          </w:tcPr>
          <w:p>
            <w:pPr>
              <w:spacing w:after="0"/>
              <w:rPr>
                <w:sz w:val="4"/>
                <w:szCs w:val="4"/>
                <w:color w:val="auto"/>
              </w:rPr>
            </w:pPr>
          </w:p>
        </w:tc>
        <w:tc>
          <w:tcPr>
            <w:tcW w:w="6140" w:type="dxa"/>
            <w:vAlign w:val="bottom"/>
            <w:tcBorders>
              <w:bottom w:val="single" w:sz="8" w:color="auto"/>
              <w:right w:val="single" w:sz="8" w:color="auto"/>
            </w:tcBorders>
          </w:tcPr>
          <w:p>
            <w:pPr>
              <w:spacing w:after="0"/>
              <w:rPr>
                <w:sz w:val="4"/>
                <w:szCs w:val="4"/>
                <w:color w:val="auto"/>
              </w:rPr>
            </w:pPr>
          </w:p>
        </w:tc>
        <w:tc>
          <w:tcPr>
            <w:tcW w:w="362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180" w:type="dxa"/>
            <w:vAlign w:val="bottom"/>
            <w:tcBorders>
              <w:lef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140" w:type="dxa"/>
            <w:vAlign w:val="bottom"/>
            <w:tcBorders>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18"/>
                <w:szCs w:val="18"/>
                <w:color w:val="auto"/>
              </w:rPr>
              <w:t>Consideration of a Shareholder proposal regarding Shareholder right to act by</w:t>
            </w:r>
          </w:p>
        </w:tc>
        <w:tc>
          <w:tcPr>
            <w:tcW w:w="362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AGAINST</w:t>
            </w:r>
          </w:p>
        </w:tc>
        <w:tc>
          <w:tcPr>
            <w:tcW w:w="740" w:type="dxa"/>
            <w:vAlign w:val="bottom"/>
            <w:tcBorders>
              <w:right w:val="single" w:sz="8" w:color="auto"/>
            </w:tcBorders>
            <w:vMerge w:val="restart"/>
            <w:shd w:val="clear" w:color="auto" w:fill="D9D9D9"/>
          </w:tcPr>
          <w:p>
            <w:pPr>
              <w:jc w:val="right"/>
              <w:ind w:right="68"/>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99"/>
        </w:trPr>
        <w:tc>
          <w:tcPr>
            <w:tcW w:w="180" w:type="dxa"/>
            <w:vAlign w:val="bottom"/>
            <w:tcBorders>
              <w:left w:val="single" w:sz="8" w:color="auto"/>
            </w:tcBorders>
            <w:shd w:val="clear" w:color="auto" w:fill="D9D9D9"/>
          </w:tcPr>
          <w:p>
            <w:pPr>
              <w:spacing w:after="0"/>
              <w:rPr>
                <w:sz w:val="8"/>
                <w:szCs w:val="8"/>
                <w:color w:val="auto"/>
              </w:rPr>
            </w:pPr>
          </w:p>
        </w:tc>
        <w:tc>
          <w:tcPr>
            <w:tcW w:w="6140" w:type="dxa"/>
            <w:vAlign w:val="bottom"/>
            <w:tcBorders>
              <w:right w:val="single" w:sz="8" w:color="auto"/>
            </w:tcBorders>
            <w:vMerge w:val="restart"/>
            <w:shd w:val="clear" w:color="auto" w:fill="D9D9D9"/>
          </w:tcPr>
          <w:p>
            <w:pPr>
              <w:ind w:left="80"/>
              <w:spacing w:after="0"/>
              <w:rPr>
                <w:sz w:val="20"/>
                <w:szCs w:val="20"/>
                <w:color w:val="auto"/>
              </w:rPr>
            </w:pPr>
            <w:r>
              <w:rPr>
                <w:rFonts w:ascii="Times New Roman" w:cs="Times New Roman" w:eastAsia="Times New Roman" w:hAnsi="Times New Roman"/>
                <w:sz w:val="18"/>
                <w:szCs w:val="18"/>
                <w:color w:val="auto"/>
              </w:rPr>
              <w:t>written consent</w:t>
            </w:r>
          </w:p>
        </w:tc>
        <w:tc>
          <w:tcPr>
            <w:tcW w:w="3620" w:type="dxa"/>
            <w:vAlign w:val="bottom"/>
            <w:tcBorders>
              <w:right w:val="single" w:sz="8" w:color="auto"/>
            </w:tcBorders>
            <w:vMerge w:val="continue"/>
            <w:shd w:val="clear" w:color="auto" w:fill="D9D9D9"/>
          </w:tcPr>
          <w:p>
            <w:pPr>
              <w:spacing w:after="0"/>
              <w:rPr>
                <w:sz w:val="8"/>
                <w:szCs w:val="8"/>
                <w:color w:val="auto"/>
              </w:rPr>
            </w:pPr>
          </w:p>
        </w:tc>
        <w:tc>
          <w:tcPr>
            <w:tcW w:w="740" w:type="dxa"/>
            <w:vAlign w:val="bottom"/>
            <w:tcBorders>
              <w:right w:val="single" w:sz="8" w:color="auto"/>
            </w:tcBorders>
            <w:vMerge w:val="continue"/>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180" w:type="dxa"/>
            <w:vAlign w:val="bottom"/>
            <w:tcBorders>
              <w:left w:val="single" w:sz="8" w:color="auto"/>
            </w:tcBorders>
            <w:shd w:val="clear" w:color="auto" w:fill="D9D9D9"/>
          </w:tcPr>
          <w:p>
            <w:pPr>
              <w:spacing w:after="0"/>
              <w:rPr>
                <w:sz w:val="5"/>
                <w:szCs w:val="5"/>
                <w:color w:val="auto"/>
              </w:rPr>
            </w:pPr>
          </w:p>
        </w:tc>
        <w:tc>
          <w:tcPr>
            <w:tcW w:w="6140" w:type="dxa"/>
            <w:vAlign w:val="bottom"/>
            <w:tcBorders>
              <w:right w:val="single" w:sz="8" w:color="auto"/>
            </w:tcBorders>
            <w:vMerge w:val="continue"/>
            <w:shd w:val="clear" w:color="auto" w:fill="D9D9D9"/>
          </w:tcPr>
          <w:p>
            <w:pPr>
              <w:spacing w:after="0"/>
              <w:rPr>
                <w:sz w:val="5"/>
                <w:szCs w:val="5"/>
                <w:color w:val="auto"/>
              </w:rPr>
            </w:pPr>
          </w:p>
        </w:tc>
        <w:tc>
          <w:tcPr>
            <w:tcW w:w="3620" w:type="dxa"/>
            <w:vAlign w:val="bottom"/>
            <w:tcBorders>
              <w:right w:val="single" w:sz="8" w:color="auto"/>
            </w:tcBorders>
            <w:vMerge w:val="continue"/>
            <w:shd w:val="clear" w:color="auto" w:fill="D9D9D9"/>
          </w:tcPr>
          <w:p>
            <w:pPr>
              <w:spacing w:after="0"/>
              <w:rPr>
                <w:sz w:val="5"/>
                <w:szCs w:val="5"/>
                <w:color w:val="auto"/>
              </w:rPr>
            </w:pPr>
          </w:p>
        </w:tc>
        <w:tc>
          <w:tcPr>
            <w:tcW w:w="740" w:type="dxa"/>
            <w:vAlign w:val="bottom"/>
            <w:tcBorders>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180" w:type="dxa"/>
            <w:vAlign w:val="bottom"/>
            <w:tcBorders>
              <w:left w:val="single" w:sz="8" w:color="auto"/>
            </w:tcBorders>
            <w:shd w:val="clear" w:color="auto" w:fill="D9D9D9"/>
          </w:tcPr>
          <w:p>
            <w:pPr>
              <w:spacing w:after="0"/>
              <w:rPr>
                <w:sz w:val="5"/>
                <w:szCs w:val="5"/>
                <w:color w:val="auto"/>
              </w:rPr>
            </w:pPr>
          </w:p>
        </w:tc>
        <w:tc>
          <w:tcPr>
            <w:tcW w:w="6140" w:type="dxa"/>
            <w:vAlign w:val="bottom"/>
            <w:tcBorders>
              <w:right w:val="single" w:sz="8" w:color="auto"/>
            </w:tcBorders>
            <w:vMerge w:val="continue"/>
            <w:shd w:val="clear" w:color="auto" w:fill="D9D9D9"/>
          </w:tcPr>
          <w:p>
            <w:pPr>
              <w:spacing w:after="0"/>
              <w:rPr>
                <w:sz w:val="5"/>
                <w:szCs w:val="5"/>
                <w:color w:val="auto"/>
              </w:rPr>
            </w:pPr>
          </w:p>
        </w:tc>
        <w:tc>
          <w:tcPr>
            <w:tcW w:w="3620" w:type="dxa"/>
            <w:vAlign w:val="bottom"/>
            <w:tcBorders>
              <w:right w:val="single" w:sz="8" w:color="auto"/>
            </w:tcBorders>
            <w:shd w:val="clear" w:color="auto" w:fill="D9D9D9"/>
          </w:tcPr>
          <w:p>
            <w:pPr>
              <w:spacing w:after="0"/>
              <w:rPr>
                <w:sz w:val="5"/>
                <w:szCs w:val="5"/>
                <w:color w:val="auto"/>
              </w:rPr>
            </w:pPr>
          </w:p>
        </w:tc>
        <w:tc>
          <w:tcPr>
            <w:tcW w:w="740" w:type="dxa"/>
            <w:vAlign w:val="bottom"/>
            <w:tcBorders>
              <w:right w:val="single" w:sz="8" w:color="auto"/>
            </w:tcBorders>
            <w:shd w:val="clear" w:color="auto" w:fill="D9D9D9"/>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180" w:type="dxa"/>
            <w:vAlign w:val="bottom"/>
            <w:tcBorders>
              <w:left w:val="single" w:sz="8" w:color="auto"/>
              <w:bottom w:val="single" w:sz="8" w:color="auto"/>
            </w:tcBorders>
            <w:shd w:val="clear" w:color="auto" w:fill="D9D9D9"/>
          </w:tcPr>
          <w:p>
            <w:pPr>
              <w:spacing w:after="0"/>
              <w:rPr>
                <w:sz w:val="7"/>
                <w:szCs w:val="7"/>
                <w:color w:val="auto"/>
              </w:rPr>
            </w:pPr>
          </w:p>
        </w:tc>
        <w:tc>
          <w:tcPr>
            <w:tcW w:w="6140" w:type="dxa"/>
            <w:vAlign w:val="bottom"/>
            <w:tcBorders>
              <w:bottom w:val="single" w:sz="8" w:color="auto"/>
              <w:right w:val="single" w:sz="8" w:color="auto"/>
            </w:tcBorders>
            <w:shd w:val="clear" w:color="auto" w:fill="D9D9D9"/>
          </w:tcPr>
          <w:p>
            <w:pPr>
              <w:spacing w:after="0"/>
              <w:rPr>
                <w:sz w:val="7"/>
                <w:szCs w:val="7"/>
                <w:color w:val="auto"/>
              </w:rPr>
            </w:pPr>
          </w:p>
        </w:tc>
        <w:tc>
          <w:tcPr>
            <w:tcW w:w="3620" w:type="dxa"/>
            <w:vAlign w:val="bottom"/>
            <w:tcBorders>
              <w:bottom w:val="single" w:sz="8" w:color="auto"/>
              <w:right w:val="single" w:sz="8" w:color="auto"/>
            </w:tcBorders>
            <w:shd w:val="clear" w:color="auto" w:fill="D9D9D9"/>
          </w:tcPr>
          <w:p>
            <w:pPr>
              <w:spacing w:after="0"/>
              <w:rPr>
                <w:sz w:val="7"/>
                <w:szCs w:val="7"/>
                <w:color w:val="auto"/>
              </w:rPr>
            </w:pPr>
          </w:p>
        </w:tc>
        <w:tc>
          <w:tcPr>
            <w:tcW w:w="740" w:type="dxa"/>
            <w:vAlign w:val="bottom"/>
            <w:tcBorders>
              <w:bottom w:val="single" w:sz="8" w:color="auto"/>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bl>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29650B"/>
        </w:rPr>
        <w:t>How to Cast Your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You can vote by any of the following methods:</w:t>
      </w:r>
    </w:p>
    <w:p>
      <w:pPr>
        <w:spacing w:after="0" w:line="110" w:lineRule="exact"/>
        <w:rPr>
          <w:sz w:val="20"/>
          <w:szCs w:val="20"/>
          <w:color w:val="auto"/>
        </w:rPr>
      </w:pPr>
    </w:p>
    <w:tbl>
      <w:tblPr>
        <w:tblLayout w:type="fixed"/>
        <w:tblInd w:w="10" w:type="dxa"/>
        <w:tblCellMar>
          <w:top w:w="0" w:type="dxa"/>
          <w:left w:w="0" w:type="dxa"/>
          <w:bottom w:w="0" w:type="dxa"/>
          <w:right w:w="0" w:type="dxa"/>
        </w:tblCellMar>
      </w:tblPr>
      <w:tr>
        <w:trPr>
          <w:trHeight w:val="511"/>
        </w:trPr>
        <w:tc>
          <w:tcPr>
            <w:tcW w:w="360" w:type="dxa"/>
            <w:vAlign w:val="bottom"/>
            <w:tcBorders>
              <w:top w:val="single" w:sz="8" w:color="auto"/>
              <w:left w:val="single" w:sz="8" w:color="auto"/>
            </w:tcBorders>
          </w:tcPr>
          <w:p>
            <w:pPr>
              <w:spacing w:after="0"/>
              <w:rPr>
                <w:sz w:val="24"/>
                <w:szCs w:val="24"/>
                <w:color w:val="auto"/>
              </w:rPr>
            </w:pPr>
          </w:p>
        </w:tc>
        <w:tc>
          <w:tcPr>
            <w:tcW w:w="2260" w:type="dxa"/>
            <w:vAlign w:val="bottom"/>
            <w:tcBorders>
              <w:top w:val="single" w:sz="8" w:color="auto"/>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22"/>
                <w:szCs w:val="22"/>
                <w:b w:val="1"/>
                <w:bCs w:val="1"/>
                <w:color w:val="auto"/>
                <w:w w:val="96"/>
              </w:rPr>
              <w:t>Internet</w:t>
            </w:r>
          </w:p>
        </w:tc>
        <w:tc>
          <w:tcPr>
            <w:tcW w:w="2920" w:type="dxa"/>
            <w:vAlign w:val="bottom"/>
            <w:tcBorders>
              <w:top w:val="single" w:sz="8" w:color="auto"/>
              <w:right w:val="single" w:sz="8" w:color="auto"/>
            </w:tcBorders>
          </w:tcPr>
          <w:p>
            <w:pPr>
              <w:jc w:val="center"/>
              <w:ind w:left="6"/>
              <w:spacing w:after="0"/>
              <w:rPr>
                <w:sz w:val="20"/>
                <w:szCs w:val="20"/>
                <w:color w:val="auto"/>
              </w:rPr>
            </w:pPr>
            <w:r>
              <w:rPr>
                <w:rFonts w:ascii="Times New Roman" w:cs="Times New Roman" w:eastAsia="Times New Roman" w:hAnsi="Times New Roman"/>
                <w:sz w:val="22"/>
                <w:szCs w:val="22"/>
                <w:b w:val="1"/>
                <w:bCs w:val="1"/>
                <w:color w:val="auto"/>
                <w:w w:val="98"/>
              </w:rPr>
              <w:t>Phone</w:t>
            </w:r>
          </w:p>
        </w:tc>
        <w:tc>
          <w:tcPr>
            <w:tcW w:w="2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Mail</w:t>
            </w:r>
          </w:p>
        </w:tc>
        <w:tc>
          <w:tcPr>
            <w:tcW w:w="2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In Person</w:t>
            </w:r>
          </w:p>
        </w:tc>
      </w:tr>
      <w:tr>
        <w:trPr>
          <w:trHeight w:val="1419"/>
        </w:trPr>
        <w:tc>
          <w:tcPr>
            <w:tcW w:w="360" w:type="dxa"/>
            <w:vAlign w:val="bottom"/>
            <w:tcBorders>
              <w:left w:val="single" w:sz="8" w:color="auto"/>
            </w:tcBorders>
          </w:tcPr>
          <w:p>
            <w:pPr>
              <w:spacing w:after="0"/>
              <w:rPr>
                <w:sz w:val="24"/>
                <w:szCs w:val="24"/>
                <w:color w:val="auto"/>
              </w:rPr>
            </w:pPr>
          </w:p>
        </w:tc>
        <w:tc>
          <w:tcPr>
            <w:tcW w:w="2260" w:type="dxa"/>
            <w:vAlign w:val="bottom"/>
            <w:tcBorders>
              <w:right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29650B"/>
                <w:w w:val="98"/>
              </w:rPr>
              <w:t>www.proxypush.com/cck</w:t>
            </w:r>
          </w:p>
        </w:tc>
        <w:tc>
          <w:tcPr>
            <w:tcW w:w="2920" w:type="dxa"/>
            <w:vAlign w:val="bottom"/>
            <w:tcBorders>
              <w:right w:val="single" w:sz="8" w:color="auto"/>
            </w:tcBorders>
          </w:tcPr>
          <w:p>
            <w:pPr>
              <w:jc w:val="center"/>
              <w:ind w:left="6"/>
              <w:spacing w:after="0"/>
              <w:rPr>
                <w:sz w:val="20"/>
                <w:szCs w:val="20"/>
                <w:color w:val="auto"/>
              </w:rPr>
            </w:pPr>
            <w:r>
              <w:rPr>
                <w:rFonts w:ascii="Times New Roman" w:cs="Times New Roman" w:eastAsia="Times New Roman" w:hAnsi="Times New Roman"/>
                <w:sz w:val="18"/>
                <w:szCs w:val="18"/>
                <w:b w:val="1"/>
                <w:bCs w:val="1"/>
                <w:color w:val="auto"/>
              </w:rPr>
              <w:t>1-866-883-3382</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Mark, sign and date your proxy card</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For instructions on attending</w:t>
            </w:r>
          </w:p>
        </w:tc>
      </w:tr>
      <w:tr>
        <w:trPr>
          <w:trHeight w:val="20"/>
        </w:trPr>
        <w:tc>
          <w:tcPr>
            <w:tcW w:w="360" w:type="dxa"/>
            <w:vAlign w:val="bottom"/>
            <w:tcBorders>
              <w:left w:val="single" w:sz="8" w:color="auto"/>
            </w:tcBorders>
          </w:tcPr>
          <w:p>
            <w:pPr>
              <w:spacing w:after="0" w:line="20" w:lineRule="exact"/>
              <w:rPr>
                <w:sz w:val="1"/>
                <w:szCs w:val="1"/>
                <w:color w:val="auto"/>
              </w:rPr>
            </w:pPr>
          </w:p>
        </w:tc>
        <w:tc>
          <w:tcPr>
            <w:tcW w:w="1900" w:type="dxa"/>
            <w:vAlign w:val="bottom"/>
            <w:shd w:val="clear" w:color="auto" w:fill="29650B"/>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2920" w:type="dxa"/>
            <w:vAlign w:val="bottom"/>
            <w:tcBorders>
              <w:right w:val="single" w:sz="8" w:color="auto"/>
            </w:tcBorders>
          </w:tcPr>
          <w:p>
            <w:pPr>
              <w:spacing w:after="0" w:line="20" w:lineRule="exact"/>
              <w:rPr>
                <w:sz w:val="1"/>
                <w:szCs w:val="1"/>
                <w:color w:val="auto"/>
              </w:rPr>
            </w:pPr>
          </w:p>
        </w:tc>
        <w:tc>
          <w:tcPr>
            <w:tcW w:w="2780" w:type="dxa"/>
            <w:vAlign w:val="bottom"/>
            <w:tcBorders>
              <w:right w:val="single" w:sz="8" w:color="auto"/>
            </w:tcBorders>
          </w:tcPr>
          <w:p>
            <w:pPr>
              <w:spacing w:after="0" w:line="20" w:lineRule="exact"/>
              <w:rPr>
                <w:sz w:val="1"/>
                <w:szCs w:val="1"/>
                <w:color w:val="auto"/>
              </w:rPr>
            </w:pPr>
          </w:p>
        </w:tc>
      </w:tr>
      <w:tr>
        <w:trPr>
          <w:trHeight w:val="216"/>
        </w:trPr>
        <w:tc>
          <w:tcPr>
            <w:tcW w:w="26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8"/>
              </w:rPr>
              <w:t>Deadline for voting online is 11:59</w:t>
            </w:r>
          </w:p>
        </w:tc>
        <w:tc>
          <w:tcPr>
            <w:tcW w:w="2920" w:type="dxa"/>
            <w:vAlign w:val="bottom"/>
            <w:tcBorders>
              <w:right w:val="single" w:sz="8" w:color="auto"/>
            </w:tcBorders>
          </w:tcPr>
          <w:p>
            <w:pPr>
              <w:jc w:val="center"/>
              <w:ind w:left="6"/>
              <w:spacing w:after="0"/>
              <w:rPr>
                <w:sz w:val="20"/>
                <w:szCs w:val="20"/>
                <w:color w:val="auto"/>
              </w:rPr>
            </w:pPr>
            <w:r>
              <w:rPr>
                <w:rFonts w:ascii="Times New Roman" w:cs="Times New Roman" w:eastAsia="Times New Roman" w:hAnsi="Times New Roman"/>
                <w:sz w:val="18"/>
                <w:szCs w:val="18"/>
                <w:color w:val="auto"/>
                <w:w w:val="99"/>
              </w:rPr>
              <w:t>Deadline for voting by phone is 11:59</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and return it in the postage-paid</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Annual Meeting, please</w:t>
            </w:r>
          </w:p>
        </w:tc>
      </w:tr>
      <w:tr>
        <w:trPr>
          <w:trHeight w:val="216"/>
        </w:trPr>
        <w:tc>
          <w:tcPr>
            <w:tcW w:w="2620" w:type="dxa"/>
            <w:vAlign w:val="bottom"/>
            <w:tcBorders>
              <w:left w:val="single" w:sz="8" w:color="auto"/>
              <w:right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p.m. (ET) on April 29, 2026.</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p.m. (ET) on April 29, 2026.</w:t>
            </w: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envelope provided. Your proxy card</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 xml:space="preserve">see </w:t>
            </w:r>
            <w:r>
              <w:rPr>
                <w:rFonts w:ascii="Times New Roman" w:cs="Times New Roman" w:eastAsia="Times New Roman" w:hAnsi="Times New Roman"/>
                <w:sz w:val="18"/>
                <w:szCs w:val="18"/>
                <w:i w:val="1"/>
                <w:iCs w:val="1"/>
                <w:color w:val="auto"/>
                <w:w w:val="99"/>
              </w:rPr>
              <w:t>“Questions and Answers</w:t>
            </w:r>
          </w:p>
        </w:tc>
      </w:tr>
      <w:tr>
        <w:trPr>
          <w:trHeight w:val="218"/>
        </w:trPr>
        <w:tc>
          <w:tcPr>
            <w:tcW w:w="360" w:type="dxa"/>
            <w:vAlign w:val="bottom"/>
            <w:tcBorders>
              <w:left w:val="single" w:sz="8" w:color="auto"/>
            </w:tcBorders>
          </w:tcPr>
          <w:p>
            <w:pPr>
              <w:spacing w:after="0"/>
              <w:rPr>
                <w:sz w:val="18"/>
                <w:szCs w:val="18"/>
                <w:color w:val="auto"/>
              </w:rPr>
            </w:pPr>
          </w:p>
        </w:tc>
        <w:tc>
          <w:tcPr>
            <w:tcW w:w="1900" w:type="dxa"/>
            <w:vAlign w:val="bottom"/>
          </w:tcPr>
          <w:p>
            <w:pPr>
              <w:spacing w:after="0"/>
              <w:rPr>
                <w:sz w:val="18"/>
                <w:szCs w:val="18"/>
                <w:color w:val="auto"/>
              </w:rPr>
            </w:pPr>
          </w:p>
        </w:tc>
        <w:tc>
          <w:tcPr>
            <w:tcW w:w="36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spacing w:after="0"/>
              <w:rPr>
                <w:sz w:val="18"/>
                <w:szCs w:val="18"/>
                <w:color w:val="auto"/>
              </w:rPr>
            </w:pPr>
          </w:p>
        </w:tc>
        <w:tc>
          <w:tcPr>
            <w:tcW w:w="2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must be received before the Annual</w:t>
            </w:r>
          </w:p>
        </w:tc>
        <w:tc>
          <w:tcPr>
            <w:tcW w:w="2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 xml:space="preserve">about the 2026 Annual Meeting” </w:t>
            </w:r>
            <w:r>
              <w:rPr>
                <w:rFonts w:ascii="Times New Roman" w:cs="Times New Roman" w:eastAsia="Times New Roman" w:hAnsi="Times New Roman"/>
                <w:sz w:val="18"/>
                <w:szCs w:val="18"/>
                <w:color w:val="auto"/>
                <w:w w:val="99"/>
              </w:rPr>
              <w:t>on</w:t>
            </w:r>
          </w:p>
        </w:tc>
      </w:tr>
      <w:tr>
        <w:trPr>
          <w:trHeight w:val="241"/>
        </w:trPr>
        <w:tc>
          <w:tcPr>
            <w:tcW w:w="360" w:type="dxa"/>
            <w:vAlign w:val="bottom"/>
            <w:tcBorders>
              <w:left w:val="single" w:sz="8" w:color="auto"/>
              <w:bottom w:val="single" w:sz="8" w:color="auto"/>
            </w:tcBorders>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c>
          <w:tcPr>
            <w:tcW w:w="36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spacing w:after="0"/>
              <w:rPr>
                <w:sz w:val="20"/>
                <w:szCs w:val="20"/>
                <w:color w:val="auto"/>
              </w:rPr>
            </w:pPr>
          </w:p>
        </w:tc>
        <w:tc>
          <w:tcPr>
            <w:tcW w:w="2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Meeting.</w:t>
            </w:r>
          </w:p>
        </w:tc>
        <w:tc>
          <w:tcPr>
            <w:tcW w:w="2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page 14.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-1319530</wp:posOffset>
            </wp:positionV>
            <wp:extent cx="643255" cy="523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3255" cy="523240"/>
                    </a:xfrm>
                    <a:prstGeom prst="rect">
                      <a:avLst/>
                    </a:prstGeom>
                    <a:noFill/>
                  </pic:spPr>
                </pic:pic>
              </a:graphicData>
            </a:graphic>
          </wp:anchor>
        </w:drawing>
        <w:drawing>
          <wp:anchor simplePos="0" relativeHeight="251657728" behindDoc="1" locked="0" layoutInCell="0" allowOverlap="1">
            <wp:simplePos x="0" y="0"/>
            <wp:positionH relativeFrom="column">
              <wp:posOffset>2430780</wp:posOffset>
            </wp:positionH>
            <wp:positionV relativeFrom="paragraph">
              <wp:posOffset>-1345565</wp:posOffset>
            </wp:positionV>
            <wp:extent cx="377190" cy="5740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7190" cy="57404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-1345565</wp:posOffset>
            </wp:positionV>
            <wp:extent cx="643255" cy="4718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3255" cy="47180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-1345565</wp:posOffset>
            </wp:positionV>
            <wp:extent cx="711835" cy="556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835" cy="55689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15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9"/>
          <w:szCs w:val="29"/>
          <w:b w:val="1"/>
          <w:bCs w:val="1"/>
          <w:color w:val="29650B"/>
        </w:rPr>
        <w:t>Proposal 1 - Election of Directors</w:t>
      </w:r>
    </w:p>
    <w:p>
      <w:pPr>
        <w:spacing w:after="0" w:line="25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There are ten nominees for election to the Board of Directors. All of the nominees currently serve on the Board. Four of the Company’s current independent Directors have joined the Board in the last six years as a result of a Board refreshment process where Director candidates were identified during that period through Board, Shareholder and third-party search firm</w:t>
      </w:r>
    </w:p>
    <w:p>
      <w:pPr>
        <w:spacing w:after="0" w:line="2"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1"/>
          <w:szCs w:val="21"/>
          <w:color w:val="auto"/>
        </w:rPr>
        <w:t>input</w:t>
      </w:r>
      <w:r>
        <w:rPr>
          <w:rFonts w:ascii="Times New Roman" w:cs="Times New Roman" w:eastAsia="Times New Roman" w:hAnsi="Times New Roman"/>
          <w:sz w:val="34"/>
          <w:szCs w:val="34"/>
          <w:color w:val="auto"/>
          <w:vertAlign w:val="superscript"/>
        </w:rPr>
        <w:t>1</w:t>
      </w:r>
      <w:r>
        <w:rPr>
          <w:rFonts w:ascii="Times New Roman" w:cs="Times New Roman" w:eastAsia="Times New Roman" w:hAnsi="Times New Roman"/>
          <w:sz w:val="21"/>
          <w:szCs w:val="21"/>
          <w:color w:val="auto"/>
        </w:rPr>
        <w:t>. Four of our nominees are or have been Chairs of U.S. public company Boards of Directors. Our Board refreshment strategy has further strengthened and diversified the skills and experiences of the Board. Each Director nominee is listed below, and you can find additional information about each nominee under Proposal 1: Election of Directors, beginning on page 20.</w:t>
      </w:r>
    </w:p>
    <w:p>
      <w:pPr>
        <w:spacing w:after="0" w:line="295"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400" w:type="dxa"/>
            <w:vAlign w:val="bottom"/>
            <w:tcBorders>
              <w:top w:val="single" w:sz="8" w:color="auto"/>
              <w:left w:val="single" w:sz="8" w:color="auto"/>
            </w:tcBorders>
            <w:shd w:val="clear" w:color="auto" w:fill="29650B"/>
          </w:tcPr>
          <w:p>
            <w:pPr>
              <w:spacing w:after="0"/>
              <w:rPr>
                <w:sz w:val="23"/>
                <w:szCs w:val="23"/>
                <w:color w:val="auto"/>
              </w:rPr>
            </w:pPr>
          </w:p>
        </w:tc>
        <w:tc>
          <w:tcPr>
            <w:tcW w:w="660" w:type="dxa"/>
            <w:vAlign w:val="bottom"/>
            <w:tcBorders>
              <w:top w:val="single" w:sz="8" w:color="auto"/>
            </w:tcBorders>
            <w:shd w:val="clear" w:color="auto" w:fill="29650B"/>
          </w:tcPr>
          <w:p>
            <w:pPr>
              <w:spacing w:after="0"/>
              <w:rPr>
                <w:sz w:val="23"/>
                <w:szCs w:val="23"/>
                <w:color w:val="auto"/>
              </w:rPr>
            </w:pPr>
          </w:p>
        </w:tc>
        <w:tc>
          <w:tcPr>
            <w:tcW w:w="880" w:type="dxa"/>
            <w:vAlign w:val="bottom"/>
            <w:tcBorders>
              <w:top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Director</w:t>
            </w:r>
          </w:p>
        </w:tc>
        <w:tc>
          <w:tcPr>
            <w:tcW w:w="1560" w:type="dxa"/>
            <w:vAlign w:val="bottom"/>
            <w:tcBorders>
              <w:top w:val="single" w:sz="8" w:color="auto"/>
            </w:tcBorders>
            <w:shd w:val="clear" w:color="auto" w:fill="29650B"/>
          </w:tcPr>
          <w:p>
            <w:pPr>
              <w:spacing w:after="0"/>
              <w:rPr>
                <w:sz w:val="23"/>
                <w:szCs w:val="23"/>
                <w:color w:val="auto"/>
              </w:rPr>
            </w:pPr>
          </w:p>
        </w:tc>
        <w:tc>
          <w:tcPr>
            <w:tcW w:w="2760" w:type="dxa"/>
            <w:vAlign w:val="bottom"/>
            <w:tcBorders>
              <w:top w:val="single" w:sz="8" w:color="auto"/>
              <w:right w:val="single" w:sz="8" w:color="auto"/>
            </w:tcBorders>
            <w:gridSpan w:val="4"/>
            <w:shd w:val="clear" w:color="auto" w:fill="29650B"/>
          </w:tcPr>
          <w:p>
            <w:pPr>
              <w:ind w:left="340"/>
              <w:spacing w:after="0"/>
              <w:rPr>
                <w:sz w:val="20"/>
                <w:szCs w:val="20"/>
                <w:color w:val="auto"/>
              </w:rPr>
            </w:pPr>
            <w:r>
              <w:rPr>
                <w:rFonts w:ascii="Times New Roman" w:cs="Times New Roman" w:eastAsia="Times New Roman" w:hAnsi="Times New Roman"/>
                <w:sz w:val="19"/>
                <w:szCs w:val="19"/>
                <w:b w:val="1"/>
                <w:bCs w:val="1"/>
                <w:color w:val="FFFFFF"/>
              </w:rPr>
              <w:t>Committee Memberships</w:t>
            </w:r>
          </w:p>
        </w:tc>
        <w:tc>
          <w:tcPr>
            <w:tcW w:w="0" w:type="dxa"/>
            <w:vAlign w:val="bottom"/>
          </w:tcPr>
          <w:p>
            <w:pPr>
              <w:spacing w:after="0"/>
              <w:rPr>
                <w:sz w:val="1"/>
                <w:szCs w:val="1"/>
                <w:color w:val="auto"/>
              </w:rPr>
            </w:pPr>
          </w:p>
        </w:tc>
      </w:tr>
      <w:tr>
        <w:trPr>
          <w:trHeight w:val="251"/>
        </w:trPr>
        <w:tc>
          <w:tcPr>
            <w:tcW w:w="5400" w:type="dxa"/>
            <w:vAlign w:val="bottom"/>
            <w:tcBorders>
              <w:left w:val="single" w:sz="8" w:color="auto"/>
            </w:tcBorders>
            <w:shd w:val="clear" w:color="auto" w:fill="29650B"/>
          </w:tcPr>
          <w:p>
            <w:pPr>
              <w:ind w:left="720"/>
              <w:spacing w:after="0"/>
              <w:rPr>
                <w:sz w:val="20"/>
                <w:szCs w:val="20"/>
                <w:color w:val="auto"/>
              </w:rPr>
            </w:pPr>
            <w:r>
              <w:rPr>
                <w:rFonts w:ascii="Times New Roman" w:cs="Times New Roman" w:eastAsia="Times New Roman" w:hAnsi="Times New Roman"/>
                <w:sz w:val="19"/>
                <w:szCs w:val="19"/>
                <w:b w:val="1"/>
                <w:bCs w:val="1"/>
                <w:color w:val="FFFFFF"/>
              </w:rPr>
              <w:t>Name and Primary Occupation</w:t>
            </w:r>
          </w:p>
        </w:tc>
        <w:tc>
          <w:tcPr>
            <w:tcW w:w="66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rPr>
              <w:t>Age</w:t>
            </w:r>
          </w:p>
        </w:tc>
        <w:tc>
          <w:tcPr>
            <w:tcW w:w="88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rPr>
              <w:t>Since</w:t>
            </w:r>
          </w:p>
        </w:tc>
        <w:tc>
          <w:tcPr>
            <w:tcW w:w="156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Independent</w:t>
            </w:r>
          </w:p>
        </w:tc>
        <w:tc>
          <w:tcPr>
            <w:tcW w:w="60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rPr>
              <w:t>A</w:t>
            </w:r>
          </w:p>
        </w:tc>
        <w:tc>
          <w:tcPr>
            <w:tcW w:w="780" w:type="dxa"/>
            <w:vAlign w:val="bottom"/>
            <w:shd w:val="clear" w:color="auto" w:fill="29650B"/>
          </w:tcPr>
          <w:p>
            <w:pPr>
              <w:jc w:val="center"/>
              <w:ind w:right="26"/>
              <w:spacing w:after="0"/>
              <w:rPr>
                <w:sz w:val="20"/>
                <w:szCs w:val="20"/>
                <w:color w:val="auto"/>
              </w:rPr>
            </w:pPr>
            <w:r>
              <w:rPr>
                <w:rFonts w:ascii="Times New Roman" w:cs="Times New Roman" w:eastAsia="Times New Roman" w:hAnsi="Times New Roman"/>
                <w:sz w:val="19"/>
                <w:szCs w:val="19"/>
                <w:b w:val="1"/>
                <w:bCs w:val="1"/>
                <w:color w:val="FFFFFF"/>
              </w:rPr>
              <w:t>C</w:t>
            </w:r>
          </w:p>
        </w:tc>
        <w:tc>
          <w:tcPr>
            <w:tcW w:w="600" w:type="dxa"/>
            <w:vAlign w:val="bottom"/>
            <w:shd w:val="clear" w:color="auto" w:fill="29650B"/>
          </w:tcPr>
          <w:p>
            <w:pPr>
              <w:ind w:left="240"/>
              <w:spacing w:after="0"/>
              <w:rPr>
                <w:sz w:val="20"/>
                <w:szCs w:val="20"/>
                <w:color w:val="auto"/>
              </w:rPr>
            </w:pPr>
            <w:r>
              <w:rPr>
                <w:rFonts w:ascii="Times New Roman" w:cs="Times New Roman" w:eastAsia="Times New Roman" w:hAnsi="Times New Roman"/>
                <w:sz w:val="19"/>
                <w:szCs w:val="19"/>
                <w:b w:val="1"/>
                <w:bCs w:val="1"/>
                <w:color w:val="FFFFFF"/>
              </w:rPr>
              <w:t>E</w:t>
            </w:r>
          </w:p>
        </w:tc>
        <w:tc>
          <w:tcPr>
            <w:tcW w:w="780" w:type="dxa"/>
            <w:vAlign w:val="bottom"/>
            <w:tcBorders>
              <w:right w:val="single" w:sz="8" w:color="auto"/>
            </w:tcBorders>
            <w:shd w:val="clear" w:color="auto" w:fill="29650B"/>
          </w:tcPr>
          <w:p>
            <w:pPr>
              <w:jc w:val="center"/>
              <w:ind w:left="66"/>
              <w:spacing w:after="0"/>
              <w:rPr>
                <w:sz w:val="20"/>
                <w:szCs w:val="20"/>
                <w:color w:val="auto"/>
              </w:rPr>
            </w:pPr>
            <w:r>
              <w:rPr>
                <w:rFonts w:ascii="Times New Roman" w:cs="Times New Roman" w:eastAsia="Times New Roman" w:hAnsi="Times New Roman"/>
                <w:sz w:val="19"/>
                <w:szCs w:val="19"/>
                <w:b w:val="1"/>
                <w:bCs w:val="1"/>
                <w:color w:val="FFFFFF"/>
                <w:w w:val="99"/>
              </w:rPr>
              <w:t>NCG</w:t>
            </w:r>
          </w:p>
        </w:tc>
        <w:tc>
          <w:tcPr>
            <w:tcW w:w="0" w:type="dxa"/>
            <w:vAlign w:val="bottom"/>
          </w:tcPr>
          <w:p>
            <w:pPr>
              <w:spacing w:after="0"/>
              <w:rPr>
                <w:sz w:val="1"/>
                <w:szCs w:val="1"/>
                <w:color w:val="auto"/>
              </w:rPr>
            </w:pP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Timothy J. Donahue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63</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2015</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rPr>
              <w:t>No</w:t>
            </w:r>
          </w:p>
        </w:tc>
        <w:tc>
          <w:tcPr>
            <w:tcW w:w="6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0" w:type="dxa"/>
            <w:vAlign w:val="bottom"/>
            <w:vMerge w:val="restart"/>
          </w:tcPr>
          <w:p>
            <w:pPr>
              <w:ind w:left="22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4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9"/>
                <w:szCs w:val="19"/>
                <w:i w:val="1"/>
                <w:iCs w:val="1"/>
                <w:color w:val="auto"/>
              </w:rPr>
              <w:t>Chairman, President and Chief Executive Officer of the Company</w:t>
            </w:r>
          </w:p>
        </w:tc>
        <w:tc>
          <w:tcPr>
            <w:tcW w:w="6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5400" w:type="dxa"/>
            <w:vAlign w:val="bottom"/>
            <w:tcBorders>
              <w:left w:val="single" w:sz="8" w:color="auto"/>
            </w:tcBorders>
            <w:vMerge w:val="continue"/>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5400" w:type="dxa"/>
            <w:vAlign w:val="bottom"/>
            <w:tcBorders>
              <w:lef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54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9"/>
                <w:szCs w:val="19"/>
                <w:b w:val="1"/>
                <w:bCs w:val="1"/>
                <w:color w:val="auto"/>
              </w:rPr>
              <w:t>Michael P. Doss</w:t>
            </w:r>
          </w:p>
        </w:tc>
        <w:tc>
          <w:tcPr>
            <w:tcW w:w="6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4"/>
              </w:rPr>
              <w:t>59</w:t>
            </w:r>
          </w:p>
        </w:tc>
        <w:tc>
          <w:tcPr>
            <w:tcW w:w="88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9"/>
              </w:rPr>
              <w:t>2026</w:t>
            </w:r>
          </w:p>
        </w:tc>
        <w:tc>
          <w:tcPr>
            <w:tcW w:w="15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600" w:type="dxa"/>
            <w:vAlign w:val="bottom"/>
            <w:vMerge w:val="restart"/>
            <w:shd w:val="clear" w:color="auto" w:fill="D9D9D9"/>
          </w:tcPr>
          <w:p>
            <w:pPr>
              <w:jc w:val="center"/>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780" w:type="dxa"/>
            <w:vAlign w:val="bottom"/>
            <w:shd w:val="clear" w:color="auto" w:fill="D9D9D9"/>
          </w:tcPr>
          <w:p>
            <w:pPr>
              <w:spacing w:after="0"/>
              <w:rPr>
                <w:sz w:val="20"/>
                <w:szCs w:val="20"/>
                <w:color w:val="auto"/>
              </w:rPr>
            </w:pPr>
          </w:p>
        </w:tc>
        <w:tc>
          <w:tcPr>
            <w:tcW w:w="600" w:type="dxa"/>
            <w:vAlign w:val="bottom"/>
            <w:shd w:val="clear" w:color="auto" w:fill="D9D9D9"/>
          </w:tcPr>
          <w:p>
            <w:pPr>
              <w:spacing w:after="0"/>
              <w:rPr>
                <w:sz w:val="20"/>
                <w:szCs w:val="20"/>
                <w:color w:val="auto"/>
              </w:rPr>
            </w:pPr>
          </w:p>
        </w:tc>
        <w:tc>
          <w:tcPr>
            <w:tcW w:w="78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shd w:val="clear" w:color="auto" w:fill="D9D9D9"/>
          </w:tcPr>
          <w:p>
            <w:pPr>
              <w:ind w:left="120"/>
              <w:spacing w:after="0" w:line="216" w:lineRule="exact"/>
              <w:rPr>
                <w:sz w:val="20"/>
                <w:szCs w:val="20"/>
                <w:color w:val="auto"/>
              </w:rPr>
            </w:pPr>
            <w:r>
              <w:rPr>
                <w:rFonts w:ascii="Times New Roman" w:cs="Times New Roman" w:eastAsia="Times New Roman" w:hAnsi="Times New Roman"/>
                <w:sz w:val="19"/>
                <w:szCs w:val="19"/>
                <w:i w:val="1"/>
                <w:iCs w:val="1"/>
                <w:color w:val="auto"/>
              </w:rPr>
              <w:t>Former President and Chief Executive Officer of Graphic Packaging</w:t>
            </w:r>
          </w:p>
        </w:tc>
        <w:tc>
          <w:tcPr>
            <w:tcW w:w="660" w:type="dxa"/>
            <w:vAlign w:val="bottom"/>
            <w:vMerge w:val="continue"/>
            <w:shd w:val="clear" w:color="auto" w:fill="D9D9D9"/>
          </w:tcPr>
          <w:p>
            <w:pPr>
              <w:spacing w:after="0"/>
              <w:rPr>
                <w:sz w:val="18"/>
                <w:szCs w:val="18"/>
                <w:color w:val="auto"/>
              </w:rPr>
            </w:pPr>
          </w:p>
        </w:tc>
        <w:tc>
          <w:tcPr>
            <w:tcW w:w="880" w:type="dxa"/>
            <w:vAlign w:val="bottom"/>
            <w:vMerge w:val="continue"/>
            <w:shd w:val="clear" w:color="auto" w:fill="D9D9D9"/>
          </w:tcPr>
          <w:p>
            <w:pPr>
              <w:spacing w:after="0"/>
              <w:rPr>
                <w:sz w:val="18"/>
                <w:szCs w:val="18"/>
                <w:color w:val="auto"/>
              </w:rPr>
            </w:pPr>
          </w:p>
        </w:tc>
        <w:tc>
          <w:tcPr>
            <w:tcW w:w="1560" w:type="dxa"/>
            <w:vAlign w:val="bottom"/>
            <w:vMerge w:val="continue"/>
            <w:shd w:val="clear" w:color="auto" w:fill="D9D9D9"/>
          </w:tcPr>
          <w:p>
            <w:pPr>
              <w:spacing w:after="0"/>
              <w:rPr>
                <w:sz w:val="18"/>
                <w:szCs w:val="18"/>
                <w:color w:val="auto"/>
              </w:rPr>
            </w:pPr>
          </w:p>
        </w:tc>
        <w:tc>
          <w:tcPr>
            <w:tcW w:w="600" w:type="dxa"/>
            <w:vAlign w:val="bottom"/>
            <w:vMerge w:val="continue"/>
            <w:shd w:val="clear" w:color="auto" w:fill="D9D9D9"/>
          </w:tcPr>
          <w:p>
            <w:pPr>
              <w:spacing w:after="0"/>
              <w:rPr>
                <w:sz w:val="18"/>
                <w:szCs w:val="18"/>
                <w:color w:val="auto"/>
              </w:rPr>
            </w:pPr>
          </w:p>
        </w:tc>
        <w:tc>
          <w:tcPr>
            <w:tcW w:w="780" w:type="dxa"/>
            <w:vAlign w:val="bottom"/>
            <w:shd w:val="clear" w:color="auto" w:fill="D9D9D9"/>
          </w:tcPr>
          <w:p>
            <w:pPr>
              <w:spacing w:after="0"/>
              <w:rPr>
                <w:sz w:val="18"/>
                <w:szCs w:val="18"/>
                <w:color w:val="auto"/>
              </w:rPr>
            </w:pPr>
          </w:p>
        </w:tc>
        <w:tc>
          <w:tcPr>
            <w:tcW w:w="600" w:type="dxa"/>
            <w:vAlign w:val="bottom"/>
            <w:shd w:val="clear" w:color="auto" w:fill="D9D9D9"/>
          </w:tcPr>
          <w:p>
            <w:pPr>
              <w:spacing w:after="0"/>
              <w:rPr>
                <w:sz w:val="18"/>
                <w:szCs w:val="18"/>
                <w:color w:val="auto"/>
              </w:rPr>
            </w:pPr>
          </w:p>
        </w:tc>
        <w:tc>
          <w:tcPr>
            <w:tcW w:w="78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4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9"/>
                <w:szCs w:val="19"/>
                <w:i w:val="1"/>
                <w:iCs w:val="1"/>
                <w:color w:val="auto"/>
              </w:rPr>
              <w:t>Corporation</w:t>
            </w:r>
          </w:p>
        </w:tc>
        <w:tc>
          <w:tcPr>
            <w:tcW w:w="660" w:type="dxa"/>
            <w:vAlign w:val="bottom"/>
            <w:tcBorders>
              <w:bottom w:val="single" w:sz="8" w:color="D9D9D9"/>
            </w:tcBorders>
            <w:shd w:val="clear" w:color="auto" w:fill="D9D9D9"/>
          </w:tcPr>
          <w:p>
            <w:pPr>
              <w:spacing w:after="0"/>
              <w:rPr>
                <w:sz w:val="23"/>
                <w:szCs w:val="23"/>
                <w:color w:val="auto"/>
              </w:rPr>
            </w:pPr>
          </w:p>
        </w:tc>
        <w:tc>
          <w:tcPr>
            <w:tcW w:w="880" w:type="dxa"/>
            <w:vAlign w:val="bottom"/>
            <w:tcBorders>
              <w:bottom w:val="single" w:sz="8" w:color="D9D9D9"/>
            </w:tcBorders>
            <w:shd w:val="clear" w:color="auto" w:fill="D9D9D9"/>
          </w:tcPr>
          <w:p>
            <w:pPr>
              <w:spacing w:after="0"/>
              <w:rPr>
                <w:sz w:val="23"/>
                <w:szCs w:val="23"/>
                <w:color w:val="auto"/>
              </w:rPr>
            </w:pPr>
          </w:p>
        </w:tc>
        <w:tc>
          <w:tcPr>
            <w:tcW w:w="1560" w:type="dxa"/>
            <w:vAlign w:val="bottom"/>
            <w:tcBorders>
              <w:bottom w:val="single" w:sz="8" w:color="D9D9D9"/>
            </w:tcBorders>
            <w:shd w:val="clear" w:color="auto" w:fill="D9D9D9"/>
          </w:tcPr>
          <w:p>
            <w:pPr>
              <w:spacing w:after="0"/>
              <w:rPr>
                <w:sz w:val="23"/>
                <w:szCs w:val="23"/>
                <w:color w:val="auto"/>
              </w:rPr>
            </w:pPr>
          </w:p>
        </w:tc>
        <w:tc>
          <w:tcPr>
            <w:tcW w:w="600" w:type="dxa"/>
            <w:vAlign w:val="bottom"/>
            <w:tcBorders>
              <w:bottom w:val="single" w:sz="8" w:color="D9D9D9"/>
            </w:tcBorders>
            <w:shd w:val="clear" w:color="auto" w:fill="D9D9D9"/>
          </w:tcPr>
          <w:p>
            <w:pPr>
              <w:spacing w:after="0"/>
              <w:rPr>
                <w:sz w:val="23"/>
                <w:szCs w:val="23"/>
                <w:color w:val="auto"/>
              </w:rPr>
            </w:pPr>
          </w:p>
        </w:tc>
        <w:tc>
          <w:tcPr>
            <w:tcW w:w="780" w:type="dxa"/>
            <w:vAlign w:val="bottom"/>
            <w:tcBorders>
              <w:bottom w:val="single" w:sz="8" w:color="D9D9D9"/>
            </w:tcBorders>
            <w:shd w:val="clear" w:color="auto" w:fill="D9D9D9"/>
          </w:tcPr>
          <w:p>
            <w:pPr>
              <w:spacing w:after="0"/>
              <w:rPr>
                <w:sz w:val="23"/>
                <w:szCs w:val="23"/>
                <w:color w:val="auto"/>
              </w:rPr>
            </w:pPr>
          </w:p>
        </w:tc>
        <w:tc>
          <w:tcPr>
            <w:tcW w:w="600" w:type="dxa"/>
            <w:vAlign w:val="bottom"/>
            <w:tcBorders>
              <w:bottom w:val="single" w:sz="8" w:color="D9D9D9"/>
            </w:tcBorders>
            <w:shd w:val="clear" w:color="auto" w:fill="D9D9D9"/>
          </w:tcPr>
          <w:p>
            <w:pPr>
              <w:spacing w:after="0"/>
              <w:rPr>
                <w:sz w:val="23"/>
                <w:szCs w:val="23"/>
                <w:color w:val="auto"/>
              </w:rPr>
            </w:pPr>
          </w:p>
        </w:tc>
        <w:tc>
          <w:tcPr>
            <w:tcW w:w="780" w:type="dxa"/>
            <w:vAlign w:val="bottom"/>
            <w:tcBorders>
              <w:bottom w:val="single" w:sz="8" w:color="D9D9D9"/>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Richard H. Fearon</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69</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2019</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600" w:type="dxa"/>
            <w:vAlign w:val="bottom"/>
          </w:tcPr>
          <w:p>
            <w:pPr>
              <w:spacing w:after="0"/>
              <w:rPr>
                <w:sz w:val="20"/>
                <w:szCs w:val="20"/>
                <w:color w:val="auto"/>
              </w:rPr>
            </w:pPr>
          </w:p>
        </w:tc>
        <w:tc>
          <w:tcPr>
            <w:tcW w:w="780" w:type="dxa"/>
            <w:vAlign w:val="bottom"/>
            <w:vMerge w:val="restart"/>
          </w:tcPr>
          <w:p>
            <w:pPr>
              <w:jc w:val="center"/>
              <w:ind w:right="6"/>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600" w:type="dxa"/>
            <w:vAlign w:val="bottom"/>
          </w:tcPr>
          <w:p>
            <w:pPr>
              <w:spacing w:after="0"/>
              <w:rPr>
                <w:sz w:val="20"/>
                <w:szCs w:val="20"/>
                <w:color w:val="auto"/>
              </w:rPr>
            </w:pPr>
          </w:p>
        </w:tc>
        <w:tc>
          <w:tcPr>
            <w:tcW w:w="780" w:type="dxa"/>
            <w:vAlign w:val="bottom"/>
            <w:tcBorders>
              <w:right w:val="single" w:sz="8" w:color="auto"/>
            </w:tcBorders>
            <w:vMerge w:val="restart"/>
          </w:tcPr>
          <w:p>
            <w:pPr>
              <w:jc w:val="center"/>
              <w:ind w:left="46"/>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tcPr>
          <w:p>
            <w:pPr>
              <w:ind w:left="120"/>
              <w:spacing w:after="0" w:line="216" w:lineRule="exact"/>
              <w:rPr>
                <w:sz w:val="20"/>
                <w:szCs w:val="20"/>
                <w:color w:val="auto"/>
              </w:rPr>
            </w:pPr>
            <w:r>
              <w:rPr>
                <w:rFonts w:ascii="Times New Roman" w:cs="Times New Roman" w:eastAsia="Times New Roman" w:hAnsi="Times New Roman"/>
                <w:sz w:val="19"/>
                <w:szCs w:val="19"/>
                <w:i w:val="1"/>
                <w:iCs w:val="1"/>
                <w:color w:val="auto"/>
              </w:rPr>
              <w:t>Former Vice Chairman and Chief Financial and Planning Officer of</w:t>
            </w:r>
          </w:p>
        </w:tc>
        <w:tc>
          <w:tcPr>
            <w:tcW w:w="6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i w:val="1"/>
                <w:iCs w:val="1"/>
                <w:color w:val="auto"/>
              </w:rPr>
              <w:t>Eaton Corporation</w:t>
            </w: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5400" w:type="dxa"/>
            <w:vAlign w:val="bottom"/>
            <w:tcBorders>
              <w:lef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54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9"/>
                <w:szCs w:val="19"/>
                <w:b w:val="1"/>
                <w:bCs w:val="1"/>
                <w:color w:val="auto"/>
              </w:rPr>
              <w:t>Andrea J. Funk</w:t>
            </w:r>
          </w:p>
        </w:tc>
        <w:tc>
          <w:tcPr>
            <w:tcW w:w="6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4"/>
              </w:rPr>
              <w:t>56</w:t>
            </w:r>
          </w:p>
        </w:tc>
        <w:tc>
          <w:tcPr>
            <w:tcW w:w="88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9"/>
              </w:rPr>
              <w:t>2017</w:t>
            </w:r>
          </w:p>
        </w:tc>
        <w:tc>
          <w:tcPr>
            <w:tcW w:w="15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600" w:type="dxa"/>
            <w:vAlign w:val="bottom"/>
            <w:vMerge w:val="restart"/>
            <w:shd w:val="clear" w:color="auto" w:fill="D9D9D9"/>
          </w:tcPr>
          <w:p>
            <w:pPr>
              <w:jc w:val="center"/>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780" w:type="dxa"/>
            <w:vAlign w:val="bottom"/>
            <w:vMerge w:val="restart"/>
            <w:shd w:val="clear" w:color="auto" w:fill="D9D9D9"/>
          </w:tcPr>
          <w:p>
            <w:pPr>
              <w:jc w:val="center"/>
              <w:ind w:right="6"/>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600" w:type="dxa"/>
            <w:vAlign w:val="bottom"/>
            <w:shd w:val="clear" w:color="auto" w:fill="D9D9D9"/>
          </w:tcPr>
          <w:p>
            <w:pPr>
              <w:spacing w:after="0"/>
              <w:rPr>
                <w:sz w:val="20"/>
                <w:szCs w:val="20"/>
                <w:color w:val="auto"/>
              </w:rPr>
            </w:pPr>
          </w:p>
        </w:tc>
        <w:tc>
          <w:tcPr>
            <w:tcW w:w="78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shd w:val="clear" w:color="auto" w:fill="D9D9D9"/>
          </w:tcPr>
          <w:p>
            <w:pPr>
              <w:ind w:left="120"/>
              <w:spacing w:after="0" w:line="216" w:lineRule="exact"/>
              <w:rPr>
                <w:sz w:val="20"/>
                <w:szCs w:val="20"/>
                <w:color w:val="auto"/>
              </w:rPr>
            </w:pPr>
            <w:r>
              <w:rPr>
                <w:rFonts w:ascii="Times New Roman" w:cs="Times New Roman" w:eastAsia="Times New Roman" w:hAnsi="Times New Roman"/>
                <w:sz w:val="19"/>
                <w:szCs w:val="19"/>
                <w:i w:val="1"/>
                <w:iCs w:val="1"/>
                <w:color w:val="auto"/>
              </w:rPr>
              <w:t>Executive Vice President and Chief Financial Officer</w:t>
            </w:r>
          </w:p>
        </w:tc>
        <w:tc>
          <w:tcPr>
            <w:tcW w:w="660" w:type="dxa"/>
            <w:vAlign w:val="bottom"/>
            <w:vMerge w:val="continue"/>
            <w:shd w:val="clear" w:color="auto" w:fill="D9D9D9"/>
          </w:tcPr>
          <w:p>
            <w:pPr>
              <w:spacing w:after="0"/>
              <w:rPr>
                <w:sz w:val="18"/>
                <w:szCs w:val="18"/>
                <w:color w:val="auto"/>
              </w:rPr>
            </w:pPr>
          </w:p>
        </w:tc>
        <w:tc>
          <w:tcPr>
            <w:tcW w:w="880" w:type="dxa"/>
            <w:vAlign w:val="bottom"/>
            <w:vMerge w:val="continue"/>
            <w:shd w:val="clear" w:color="auto" w:fill="D9D9D9"/>
          </w:tcPr>
          <w:p>
            <w:pPr>
              <w:spacing w:after="0"/>
              <w:rPr>
                <w:sz w:val="18"/>
                <w:szCs w:val="18"/>
                <w:color w:val="auto"/>
              </w:rPr>
            </w:pPr>
          </w:p>
        </w:tc>
        <w:tc>
          <w:tcPr>
            <w:tcW w:w="1560" w:type="dxa"/>
            <w:vAlign w:val="bottom"/>
            <w:vMerge w:val="continue"/>
            <w:shd w:val="clear" w:color="auto" w:fill="D9D9D9"/>
          </w:tcPr>
          <w:p>
            <w:pPr>
              <w:spacing w:after="0"/>
              <w:rPr>
                <w:sz w:val="18"/>
                <w:szCs w:val="18"/>
                <w:color w:val="auto"/>
              </w:rPr>
            </w:pPr>
          </w:p>
        </w:tc>
        <w:tc>
          <w:tcPr>
            <w:tcW w:w="600" w:type="dxa"/>
            <w:vAlign w:val="bottom"/>
            <w:vMerge w:val="continue"/>
            <w:shd w:val="clear" w:color="auto" w:fill="D9D9D9"/>
          </w:tcPr>
          <w:p>
            <w:pPr>
              <w:spacing w:after="0"/>
              <w:rPr>
                <w:sz w:val="18"/>
                <w:szCs w:val="18"/>
                <w:color w:val="auto"/>
              </w:rPr>
            </w:pPr>
          </w:p>
        </w:tc>
        <w:tc>
          <w:tcPr>
            <w:tcW w:w="780" w:type="dxa"/>
            <w:vAlign w:val="bottom"/>
            <w:vMerge w:val="continue"/>
            <w:shd w:val="clear" w:color="auto" w:fill="D9D9D9"/>
          </w:tcPr>
          <w:p>
            <w:pPr>
              <w:spacing w:after="0"/>
              <w:rPr>
                <w:sz w:val="18"/>
                <w:szCs w:val="18"/>
                <w:color w:val="auto"/>
              </w:rPr>
            </w:pPr>
          </w:p>
        </w:tc>
        <w:tc>
          <w:tcPr>
            <w:tcW w:w="600" w:type="dxa"/>
            <w:vAlign w:val="bottom"/>
            <w:shd w:val="clear" w:color="auto" w:fill="D9D9D9"/>
          </w:tcPr>
          <w:p>
            <w:pPr>
              <w:spacing w:after="0"/>
              <w:rPr>
                <w:sz w:val="18"/>
                <w:szCs w:val="18"/>
                <w:color w:val="auto"/>
              </w:rPr>
            </w:pPr>
          </w:p>
        </w:tc>
        <w:tc>
          <w:tcPr>
            <w:tcW w:w="780" w:type="dxa"/>
            <w:vAlign w:val="bottom"/>
            <w:tcBorders>
              <w:right w:val="single" w:sz="8" w:color="auto"/>
            </w:tcBorders>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4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9"/>
                <w:szCs w:val="19"/>
                <w:i w:val="1"/>
                <w:iCs w:val="1"/>
                <w:color w:val="auto"/>
              </w:rPr>
              <w:t>of EnerSys</w:t>
            </w:r>
          </w:p>
        </w:tc>
        <w:tc>
          <w:tcPr>
            <w:tcW w:w="660" w:type="dxa"/>
            <w:vAlign w:val="bottom"/>
            <w:tcBorders>
              <w:bottom w:val="single" w:sz="8" w:color="D9D9D9"/>
            </w:tcBorders>
            <w:shd w:val="clear" w:color="auto" w:fill="D9D9D9"/>
          </w:tcPr>
          <w:p>
            <w:pPr>
              <w:spacing w:after="0"/>
              <w:rPr>
                <w:sz w:val="23"/>
                <w:szCs w:val="23"/>
                <w:color w:val="auto"/>
              </w:rPr>
            </w:pPr>
          </w:p>
        </w:tc>
        <w:tc>
          <w:tcPr>
            <w:tcW w:w="880" w:type="dxa"/>
            <w:vAlign w:val="bottom"/>
            <w:tcBorders>
              <w:bottom w:val="single" w:sz="8" w:color="D9D9D9"/>
            </w:tcBorders>
            <w:shd w:val="clear" w:color="auto" w:fill="D9D9D9"/>
          </w:tcPr>
          <w:p>
            <w:pPr>
              <w:spacing w:after="0"/>
              <w:rPr>
                <w:sz w:val="23"/>
                <w:szCs w:val="23"/>
                <w:color w:val="auto"/>
              </w:rPr>
            </w:pPr>
          </w:p>
        </w:tc>
        <w:tc>
          <w:tcPr>
            <w:tcW w:w="1560" w:type="dxa"/>
            <w:vAlign w:val="bottom"/>
            <w:tcBorders>
              <w:bottom w:val="single" w:sz="8" w:color="D9D9D9"/>
            </w:tcBorders>
            <w:shd w:val="clear" w:color="auto" w:fill="D9D9D9"/>
          </w:tcPr>
          <w:p>
            <w:pPr>
              <w:spacing w:after="0"/>
              <w:rPr>
                <w:sz w:val="23"/>
                <w:szCs w:val="23"/>
                <w:color w:val="auto"/>
              </w:rPr>
            </w:pPr>
          </w:p>
        </w:tc>
        <w:tc>
          <w:tcPr>
            <w:tcW w:w="600" w:type="dxa"/>
            <w:vAlign w:val="bottom"/>
            <w:tcBorders>
              <w:bottom w:val="single" w:sz="8" w:color="D9D9D9"/>
            </w:tcBorders>
            <w:shd w:val="clear" w:color="auto" w:fill="D9D9D9"/>
          </w:tcPr>
          <w:p>
            <w:pPr>
              <w:spacing w:after="0"/>
              <w:rPr>
                <w:sz w:val="23"/>
                <w:szCs w:val="23"/>
                <w:color w:val="auto"/>
              </w:rPr>
            </w:pPr>
          </w:p>
        </w:tc>
        <w:tc>
          <w:tcPr>
            <w:tcW w:w="780" w:type="dxa"/>
            <w:vAlign w:val="bottom"/>
            <w:tcBorders>
              <w:bottom w:val="single" w:sz="8" w:color="D9D9D9"/>
            </w:tcBorders>
            <w:shd w:val="clear" w:color="auto" w:fill="D9D9D9"/>
          </w:tcPr>
          <w:p>
            <w:pPr>
              <w:spacing w:after="0"/>
              <w:rPr>
                <w:sz w:val="23"/>
                <w:szCs w:val="23"/>
                <w:color w:val="auto"/>
              </w:rPr>
            </w:pPr>
          </w:p>
        </w:tc>
        <w:tc>
          <w:tcPr>
            <w:tcW w:w="600" w:type="dxa"/>
            <w:vAlign w:val="bottom"/>
            <w:tcBorders>
              <w:bottom w:val="single" w:sz="8" w:color="D9D9D9"/>
            </w:tcBorders>
            <w:shd w:val="clear" w:color="auto" w:fill="D9D9D9"/>
          </w:tcPr>
          <w:p>
            <w:pPr>
              <w:spacing w:after="0"/>
              <w:rPr>
                <w:sz w:val="23"/>
                <w:szCs w:val="23"/>
                <w:color w:val="auto"/>
              </w:rPr>
            </w:pPr>
          </w:p>
        </w:tc>
        <w:tc>
          <w:tcPr>
            <w:tcW w:w="780" w:type="dxa"/>
            <w:vAlign w:val="bottom"/>
            <w:tcBorders>
              <w:bottom w:val="single" w:sz="8" w:color="D9D9D9"/>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Stephen J. Hagge</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74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2019</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600" w:type="dxa"/>
            <w:vAlign w:val="bottom"/>
          </w:tcPr>
          <w:p>
            <w:pPr>
              <w:spacing w:after="0"/>
              <w:rPr>
                <w:sz w:val="20"/>
                <w:szCs w:val="20"/>
                <w:color w:val="auto"/>
              </w:rPr>
            </w:pPr>
          </w:p>
        </w:tc>
        <w:tc>
          <w:tcPr>
            <w:tcW w:w="780" w:type="dxa"/>
            <w:vAlign w:val="bottom"/>
            <w:vMerge w:val="restart"/>
          </w:tcPr>
          <w:p>
            <w:pPr>
              <w:jc w:val="center"/>
              <w:ind w:right="6"/>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600" w:type="dxa"/>
            <w:vAlign w:val="bottom"/>
            <w:vMerge w:val="restart"/>
          </w:tcPr>
          <w:p>
            <w:pPr>
              <w:ind w:left="22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80" w:type="dxa"/>
            <w:vAlign w:val="bottom"/>
            <w:tcBorders>
              <w:right w:val="single" w:sz="8" w:color="auto"/>
            </w:tcBorders>
            <w:vMerge w:val="restart"/>
          </w:tcPr>
          <w:p>
            <w:pPr>
              <w:jc w:val="center"/>
              <w:ind w:left="46"/>
              <w:spacing w:after="0"/>
              <w:rPr>
                <w:sz w:val="20"/>
                <w:szCs w:val="20"/>
                <w:color w:val="auto"/>
              </w:rPr>
            </w:pPr>
            <w:r>
              <w:rPr>
                <w:rFonts w:ascii="Times New Roman" w:cs="Times New Roman" w:eastAsia="Times New Roman" w:hAnsi="Times New Roman"/>
                <w:sz w:val="19"/>
                <w:szCs w:val="19"/>
                <w:b w:val="1"/>
                <w:bCs w:val="1"/>
                <w:color w:val="29650B"/>
              </w:rPr>
              <w:t>Chair</w:t>
            </w:r>
          </w:p>
        </w:tc>
        <w:tc>
          <w:tcPr>
            <w:tcW w:w="0" w:type="dxa"/>
            <w:vAlign w:val="bottom"/>
          </w:tcPr>
          <w:p>
            <w:pPr>
              <w:spacing w:after="0"/>
              <w:rPr>
                <w:sz w:val="1"/>
                <w:szCs w:val="1"/>
                <w:color w:val="auto"/>
              </w:rPr>
            </w:pPr>
          </w:p>
        </w:tc>
      </w:tr>
      <w:tr>
        <w:trPr>
          <w:trHeight w:val="170"/>
        </w:trPr>
        <w:tc>
          <w:tcPr>
            <w:tcW w:w="54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9"/>
                <w:szCs w:val="19"/>
                <w:i w:val="1"/>
                <w:iCs w:val="1"/>
                <w:color w:val="auto"/>
              </w:rPr>
              <w:t>Former President and Chief Executive Officer of AptarGroup</w:t>
            </w:r>
          </w:p>
        </w:tc>
        <w:tc>
          <w:tcPr>
            <w:tcW w:w="6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5400" w:type="dxa"/>
            <w:vAlign w:val="bottom"/>
            <w:tcBorders>
              <w:left w:val="single" w:sz="8" w:color="auto"/>
            </w:tcBorders>
            <w:vMerge w:val="continue"/>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5400" w:type="dxa"/>
            <w:vAlign w:val="bottom"/>
            <w:tcBorders>
              <w:lef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54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9"/>
                <w:szCs w:val="19"/>
                <w:b w:val="1"/>
                <w:bCs w:val="1"/>
                <w:color w:val="auto"/>
              </w:rPr>
              <w:t>B. Craig Owens</w:t>
            </w:r>
          </w:p>
        </w:tc>
        <w:tc>
          <w:tcPr>
            <w:tcW w:w="6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4"/>
              </w:rPr>
              <w:t>71</w:t>
            </w:r>
          </w:p>
        </w:tc>
        <w:tc>
          <w:tcPr>
            <w:tcW w:w="88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9"/>
              </w:rPr>
              <w:t>2019</w:t>
            </w:r>
          </w:p>
        </w:tc>
        <w:tc>
          <w:tcPr>
            <w:tcW w:w="15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60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b w:val="1"/>
                <w:bCs w:val="1"/>
                <w:color w:val="29650B"/>
              </w:rPr>
              <w:t>Chair</w:t>
            </w:r>
          </w:p>
        </w:tc>
        <w:tc>
          <w:tcPr>
            <w:tcW w:w="780" w:type="dxa"/>
            <w:vAlign w:val="bottom"/>
            <w:shd w:val="clear" w:color="auto" w:fill="D9D9D9"/>
          </w:tcPr>
          <w:p>
            <w:pPr>
              <w:spacing w:after="0"/>
              <w:rPr>
                <w:sz w:val="20"/>
                <w:szCs w:val="20"/>
                <w:color w:val="auto"/>
              </w:rPr>
            </w:pPr>
          </w:p>
        </w:tc>
        <w:tc>
          <w:tcPr>
            <w:tcW w:w="600" w:type="dxa"/>
            <w:vAlign w:val="bottom"/>
            <w:vMerge w:val="restart"/>
            <w:shd w:val="clear" w:color="auto" w:fill="D9D9D9"/>
          </w:tcPr>
          <w:p>
            <w:pPr>
              <w:ind w:left="22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80" w:type="dxa"/>
            <w:vAlign w:val="bottom"/>
            <w:tcBorders>
              <w:right w:val="single" w:sz="8" w:color="auto"/>
            </w:tcBorders>
            <w:vMerge w:val="restart"/>
            <w:shd w:val="clear" w:color="auto" w:fill="D9D9D9"/>
          </w:tcPr>
          <w:p>
            <w:pPr>
              <w:jc w:val="center"/>
              <w:ind w:left="46"/>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shd w:val="clear" w:color="auto" w:fill="D9D9D9"/>
          </w:tcPr>
          <w:p>
            <w:pPr>
              <w:ind w:left="120"/>
              <w:spacing w:after="0" w:line="216" w:lineRule="exact"/>
              <w:rPr>
                <w:sz w:val="20"/>
                <w:szCs w:val="20"/>
                <w:color w:val="auto"/>
              </w:rPr>
            </w:pPr>
            <w:r>
              <w:rPr>
                <w:rFonts w:ascii="Times New Roman" w:cs="Times New Roman" w:eastAsia="Times New Roman" w:hAnsi="Times New Roman"/>
                <w:sz w:val="19"/>
                <w:szCs w:val="19"/>
                <w:i w:val="1"/>
                <w:iCs w:val="1"/>
                <w:color w:val="auto"/>
              </w:rPr>
              <w:t>Former Chief Financial Officer and Chief Administrative Officer of</w:t>
            </w:r>
          </w:p>
        </w:tc>
        <w:tc>
          <w:tcPr>
            <w:tcW w:w="660" w:type="dxa"/>
            <w:vAlign w:val="bottom"/>
            <w:vMerge w:val="continue"/>
            <w:shd w:val="clear" w:color="auto" w:fill="D9D9D9"/>
          </w:tcPr>
          <w:p>
            <w:pPr>
              <w:spacing w:after="0"/>
              <w:rPr>
                <w:sz w:val="18"/>
                <w:szCs w:val="18"/>
                <w:color w:val="auto"/>
              </w:rPr>
            </w:pPr>
          </w:p>
        </w:tc>
        <w:tc>
          <w:tcPr>
            <w:tcW w:w="880" w:type="dxa"/>
            <w:vAlign w:val="bottom"/>
            <w:vMerge w:val="continue"/>
            <w:shd w:val="clear" w:color="auto" w:fill="D9D9D9"/>
          </w:tcPr>
          <w:p>
            <w:pPr>
              <w:spacing w:after="0"/>
              <w:rPr>
                <w:sz w:val="18"/>
                <w:szCs w:val="18"/>
                <w:color w:val="auto"/>
              </w:rPr>
            </w:pPr>
          </w:p>
        </w:tc>
        <w:tc>
          <w:tcPr>
            <w:tcW w:w="1560" w:type="dxa"/>
            <w:vAlign w:val="bottom"/>
            <w:vMerge w:val="continue"/>
            <w:shd w:val="clear" w:color="auto" w:fill="D9D9D9"/>
          </w:tcPr>
          <w:p>
            <w:pPr>
              <w:spacing w:after="0"/>
              <w:rPr>
                <w:sz w:val="18"/>
                <w:szCs w:val="18"/>
                <w:color w:val="auto"/>
              </w:rPr>
            </w:pPr>
          </w:p>
        </w:tc>
        <w:tc>
          <w:tcPr>
            <w:tcW w:w="600" w:type="dxa"/>
            <w:vAlign w:val="bottom"/>
            <w:vMerge w:val="continue"/>
            <w:shd w:val="clear" w:color="auto" w:fill="D9D9D9"/>
          </w:tcPr>
          <w:p>
            <w:pPr>
              <w:spacing w:after="0"/>
              <w:rPr>
                <w:sz w:val="18"/>
                <w:szCs w:val="18"/>
                <w:color w:val="auto"/>
              </w:rPr>
            </w:pPr>
          </w:p>
        </w:tc>
        <w:tc>
          <w:tcPr>
            <w:tcW w:w="780" w:type="dxa"/>
            <w:vAlign w:val="bottom"/>
            <w:shd w:val="clear" w:color="auto" w:fill="D9D9D9"/>
          </w:tcPr>
          <w:p>
            <w:pPr>
              <w:spacing w:after="0"/>
              <w:rPr>
                <w:sz w:val="18"/>
                <w:szCs w:val="18"/>
                <w:color w:val="auto"/>
              </w:rPr>
            </w:pPr>
          </w:p>
        </w:tc>
        <w:tc>
          <w:tcPr>
            <w:tcW w:w="600" w:type="dxa"/>
            <w:vAlign w:val="bottom"/>
            <w:vMerge w:val="continue"/>
            <w:shd w:val="clear" w:color="auto" w:fill="D9D9D9"/>
          </w:tcPr>
          <w:p>
            <w:pPr>
              <w:spacing w:after="0"/>
              <w:rPr>
                <w:sz w:val="18"/>
                <w:szCs w:val="18"/>
                <w:color w:val="auto"/>
              </w:rPr>
            </w:pPr>
          </w:p>
        </w:tc>
        <w:tc>
          <w:tcPr>
            <w:tcW w:w="780" w:type="dxa"/>
            <w:vAlign w:val="bottom"/>
            <w:tcBorders>
              <w:right w:val="single" w:sz="8" w:color="auto"/>
            </w:tcBorders>
            <w:vMerge w:val="continue"/>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4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9"/>
                <w:szCs w:val="19"/>
                <w:i w:val="1"/>
                <w:iCs w:val="1"/>
                <w:color w:val="auto"/>
              </w:rPr>
              <w:t>Campbell Soup Company</w:t>
            </w:r>
          </w:p>
        </w:tc>
        <w:tc>
          <w:tcPr>
            <w:tcW w:w="660" w:type="dxa"/>
            <w:vAlign w:val="bottom"/>
            <w:tcBorders>
              <w:bottom w:val="single" w:sz="8" w:color="D9D9D9"/>
            </w:tcBorders>
            <w:shd w:val="clear" w:color="auto" w:fill="D9D9D9"/>
          </w:tcPr>
          <w:p>
            <w:pPr>
              <w:spacing w:after="0"/>
              <w:rPr>
                <w:sz w:val="23"/>
                <w:szCs w:val="23"/>
                <w:color w:val="auto"/>
              </w:rPr>
            </w:pPr>
          </w:p>
        </w:tc>
        <w:tc>
          <w:tcPr>
            <w:tcW w:w="880" w:type="dxa"/>
            <w:vAlign w:val="bottom"/>
            <w:tcBorders>
              <w:bottom w:val="single" w:sz="8" w:color="D9D9D9"/>
            </w:tcBorders>
            <w:shd w:val="clear" w:color="auto" w:fill="D9D9D9"/>
          </w:tcPr>
          <w:p>
            <w:pPr>
              <w:spacing w:after="0"/>
              <w:rPr>
                <w:sz w:val="23"/>
                <w:szCs w:val="23"/>
                <w:color w:val="auto"/>
              </w:rPr>
            </w:pPr>
          </w:p>
        </w:tc>
        <w:tc>
          <w:tcPr>
            <w:tcW w:w="1560" w:type="dxa"/>
            <w:vAlign w:val="bottom"/>
            <w:tcBorders>
              <w:bottom w:val="single" w:sz="8" w:color="D9D9D9"/>
            </w:tcBorders>
            <w:shd w:val="clear" w:color="auto" w:fill="D9D9D9"/>
          </w:tcPr>
          <w:p>
            <w:pPr>
              <w:spacing w:after="0"/>
              <w:rPr>
                <w:sz w:val="23"/>
                <w:szCs w:val="23"/>
                <w:color w:val="auto"/>
              </w:rPr>
            </w:pPr>
          </w:p>
        </w:tc>
        <w:tc>
          <w:tcPr>
            <w:tcW w:w="600" w:type="dxa"/>
            <w:vAlign w:val="bottom"/>
            <w:tcBorders>
              <w:bottom w:val="single" w:sz="8" w:color="D9D9D9"/>
            </w:tcBorders>
            <w:shd w:val="clear" w:color="auto" w:fill="D9D9D9"/>
          </w:tcPr>
          <w:p>
            <w:pPr>
              <w:spacing w:after="0"/>
              <w:rPr>
                <w:sz w:val="23"/>
                <w:szCs w:val="23"/>
                <w:color w:val="auto"/>
              </w:rPr>
            </w:pPr>
          </w:p>
        </w:tc>
        <w:tc>
          <w:tcPr>
            <w:tcW w:w="780" w:type="dxa"/>
            <w:vAlign w:val="bottom"/>
            <w:tcBorders>
              <w:bottom w:val="single" w:sz="8" w:color="D9D9D9"/>
            </w:tcBorders>
            <w:shd w:val="clear" w:color="auto" w:fill="D9D9D9"/>
          </w:tcPr>
          <w:p>
            <w:pPr>
              <w:spacing w:after="0"/>
              <w:rPr>
                <w:sz w:val="23"/>
                <w:szCs w:val="23"/>
                <w:color w:val="auto"/>
              </w:rPr>
            </w:pPr>
          </w:p>
        </w:tc>
        <w:tc>
          <w:tcPr>
            <w:tcW w:w="600" w:type="dxa"/>
            <w:vAlign w:val="bottom"/>
            <w:tcBorders>
              <w:bottom w:val="single" w:sz="8" w:color="D9D9D9"/>
            </w:tcBorders>
            <w:shd w:val="clear" w:color="auto" w:fill="D9D9D9"/>
          </w:tcPr>
          <w:p>
            <w:pPr>
              <w:spacing w:after="0"/>
              <w:rPr>
                <w:sz w:val="23"/>
                <w:szCs w:val="23"/>
                <w:color w:val="auto"/>
              </w:rPr>
            </w:pPr>
          </w:p>
        </w:tc>
        <w:tc>
          <w:tcPr>
            <w:tcW w:w="780" w:type="dxa"/>
            <w:vAlign w:val="bottom"/>
            <w:tcBorders>
              <w:bottom w:val="single" w:sz="8" w:color="D9D9D9"/>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Angela M. Snyder</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61</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2022</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600" w:type="dxa"/>
            <w:vAlign w:val="bottom"/>
            <w:vMerge w:val="restart"/>
          </w:tcPr>
          <w:p>
            <w:pPr>
              <w:jc w:val="center"/>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780" w:type="dxa"/>
            <w:vAlign w:val="bottom"/>
            <w:vMerge w:val="restart"/>
          </w:tcPr>
          <w:p>
            <w:pPr>
              <w:jc w:val="center"/>
              <w:ind w:right="6"/>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600" w:type="dxa"/>
            <w:vAlign w:val="bottom"/>
          </w:tcPr>
          <w:p>
            <w:pPr>
              <w:spacing w:after="0"/>
              <w:rPr>
                <w:sz w:val="20"/>
                <w:szCs w:val="20"/>
                <w:color w:val="auto"/>
              </w:rPr>
            </w:pP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400" w:type="dxa"/>
            <w:vAlign w:val="bottom"/>
            <w:tcBorders>
              <w:left w:val="single" w:sz="8" w:color="auto"/>
            </w:tcBorders>
            <w:vMerge w:val="restart"/>
          </w:tcPr>
          <w:p>
            <w:pPr>
              <w:ind w:left="120"/>
              <w:spacing w:after="0"/>
              <w:rPr>
                <w:sz w:val="20"/>
                <w:szCs w:val="20"/>
                <w:color w:val="auto"/>
              </w:rPr>
            </w:pPr>
            <w:r>
              <w:rPr>
                <w:rFonts w:ascii="Times New Roman" w:cs="Times New Roman" w:eastAsia="Times New Roman" w:hAnsi="Times New Roman"/>
                <w:sz w:val="19"/>
                <w:szCs w:val="19"/>
                <w:i w:val="1"/>
                <w:iCs w:val="1"/>
                <w:color w:val="auto"/>
              </w:rPr>
              <w:t>Former President of Fulton Financial Corporation and Fulton Bank</w:t>
            </w:r>
          </w:p>
        </w:tc>
        <w:tc>
          <w:tcPr>
            <w:tcW w:w="66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60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78"/>
        </w:trPr>
        <w:tc>
          <w:tcPr>
            <w:tcW w:w="5400" w:type="dxa"/>
            <w:vAlign w:val="bottom"/>
            <w:tcBorders>
              <w:left w:val="single" w:sz="8" w:color="auto"/>
            </w:tcBorders>
            <w:vMerge w:val="continue"/>
          </w:tcPr>
          <w:p>
            <w:pPr>
              <w:spacing w:after="0"/>
              <w:rPr>
                <w:sz w:val="6"/>
                <w:szCs w:val="6"/>
                <w:color w:val="auto"/>
              </w:rPr>
            </w:pPr>
          </w:p>
        </w:tc>
        <w:tc>
          <w:tcPr>
            <w:tcW w:w="66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5400" w:type="dxa"/>
            <w:vAlign w:val="bottom"/>
            <w:tcBorders>
              <w:lef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54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9"/>
                <w:szCs w:val="19"/>
                <w:b w:val="1"/>
                <w:bCs w:val="1"/>
                <w:color w:val="auto"/>
              </w:rPr>
              <w:t>Caesar F. Sweitzer</w:t>
            </w:r>
          </w:p>
        </w:tc>
        <w:tc>
          <w:tcPr>
            <w:tcW w:w="6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4"/>
              </w:rPr>
              <w:t>75</w:t>
            </w:r>
          </w:p>
        </w:tc>
        <w:tc>
          <w:tcPr>
            <w:tcW w:w="88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9"/>
              </w:rPr>
              <w:t>2014</w:t>
            </w:r>
          </w:p>
        </w:tc>
        <w:tc>
          <w:tcPr>
            <w:tcW w:w="15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600" w:type="dxa"/>
            <w:vAlign w:val="bottom"/>
            <w:vMerge w:val="restart"/>
            <w:shd w:val="clear" w:color="auto" w:fill="D9D9D9"/>
          </w:tcPr>
          <w:p>
            <w:pPr>
              <w:jc w:val="center"/>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780" w:type="dxa"/>
            <w:vAlign w:val="bottom"/>
            <w:shd w:val="clear" w:color="auto" w:fill="D9D9D9"/>
          </w:tcPr>
          <w:p>
            <w:pPr>
              <w:spacing w:after="0"/>
              <w:rPr>
                <w:sz w:val="20"/>
                <w:szCs w:val="20"/>
                <w:color w:val="auto"/>
              </w:rPr>
            </w:pPr>
          </w:p>
        </w:tc>
        <w:tc>
          <w:tcPr>
            <w:tcW w:w="600" w:type="dxa"/>
            <w:vAlign w:val="bottom"/>
            <w:vMerge w:val="restart"/>
            <w:shd w:val="clear" w:color="auto" w:fill="D9D9D9"/>
          </w:tcPr>
          <w:p>
            <w:pPr>
              <w:ind w:left="22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80" w:type="dxa"/>
            <w:vAlign w:val="bottom"/>
            <w:tcBorders>
              <w:right w:val="single" w:sz="8" w:color="auto"/>
            </w:tcBorders>
            <w:vMerge w:val="restart"/>
            <w:shd w:val="clear" w:color="auto" w:fill="D9D9D9"/>
          </w:tcPr>
          <w:p>
            <w:pPr>
              <w:jc w:val="center"/>
              <w:ind w:left="46"/>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shd w:val="clear" w:color="auto" w:fill="D9D9D9"/>
          </w:tcPr>
          <w:p>
            <w:pPr>
              <w:ind w:left="120"/>
              <w:spacing w:after="0" w:line="216" w:lineRule="exact"/>
              <w:rPr>
                <w:sz w:val="20"/>
                <w:szCs w:val="20"/>
                <w:color w:val="auto"/>
              </w:rPr>
            </w:pPr>
            <w:r>
              <w:rPr>
                <w:rFonts w:ascii="Times New Roman" w:cs="Times New Roman" w:eastAsia="Times New Roman" w:hAnsi="Times New Roman"/>
                <w:sz w:val="19"/>
                <w:szCs w:val="19"/>
                <w:i w:val="1"/>
                <w:iCs w:val="1"/>
                <w:color w:val="auto"/>
              </w:rPr>
              <w:t>Former Senior Advisor and Managing Director of Citigroup Global</w:t>
            </w:r>
          </w:p>
        </w:tc>
        <w:tc>
          <w:tcPr>
            <w:tcW w:w="660" w:type="dxa"/>
            <w:vAlign w:val="bottom"/>
            <w:vMerge w:val="continue"/>
            <w:shd w:val="clear" w:color="auto" w:fill="D9D9D9"/>
          </w:tcPr>
          <w:p>
            <w:pPr>
              <w:spacing w:after="0"/>
              <w:rPr>
                <w:sz w:val="18"/>
                <w:szCs w:val="18"/>
                <w:color w:val="auto"/>
              </w:rPr>
            </w:pPr>
          </w:p>
        </w:tc>
        <w:tc>
          <w:tcPr>
            <w:tcW w:w="880" w:type="dxa"/>
            <w:vAlign w:val="bottom"/>
            <w:vMerge w:val="continue"/>
            <w:shd w:val="clear" w:color="auto" w:fill="D9D9D9"/>
          </w:tcPr>
          <w:p>
            <w:pPr>
              <w:spacing w:after="0"/>
              <w:rPr>
                <w:sz w:val="18"/>
                <w:szCs w:val="18"/>
                <w:color w:val="auto"/>
              </w:rPr>
            </w:pPr>
          </w:p>
        </w:tc>
        <w:tc>
          <w:tcPr>
            <w:tcW w:w="1560" w:type="dxa"/>
            <w:vAlign w:val="bottom"/>
            <w:vMerge w:val="continue"/>
            <w:shd w:val="clear" w:color="auto" w:fill="D9D9D9"/>
          </w:tcPr>
          <w:p>
            <w:pPr>
              <w:spacing w:after="0"/>
              <w:rPr>
                <w:sz w:val="18"/>
                <w:szCs w:val="18"/>
                <w:color w:val="auto"/>
              </w:rPr>
            </w:pPr>
          </w:p>
        </w:tc>
        <w:tc>
          <w:tcPr>
            <w:tcW w:w="600" w:type="dxa"/>
            <w:vAlign w:val="bottom"/>
            <w:vMerge w:val="continue"/>
            <w:shd w:val="clear" w:color="auto" w:fill="D9D9D9"/>
          </w:tcPr>
          <w:p>
            <w:pPr>
              <w:spacing w:after="0"/>
              <w:rPr>
                <w:sz w:val="18"/>
                <w:szCs w:val="18"/>
                <w:color w:val="auto"/>
              </w:rPr>
            </w:pPr>
          </w:p>
        </w:tc>
        <w:tc>
          <w:tcPr>
            <w:tcW w:w="780" w:type="dxa"/>
            <w:vAlign w:val="bottom"/>
            <w:shd w:val="clear" w:color="auto" w:fill="D9D9D9"/>
          </w:tcPr>
          <w:p>
            <w:pPr>
              <w:spacing w:after="0"/>
              <w:rPr>
                <w:sz w:val="18"/>
                <w:szCs w:val="18"/>
                <w:color w:val="auto"/>
              </w:rPr>
            </w:pPr>
          </w:p>
        </w:tc>
        <w:tc>
          <w:tcPr>
            <w:tcW w:w="600" w:type="dxa"/>
            <w:vAlign w:val="bottom"/>
            <w:vMerge w:val="continue"/>
            <w:shd w:val="clear" w:color="auto" w:fill="D9D9D9"/>
          </w:tcPr>
          <w:p>
            <w:pPr>
              <w:spacing w:after="0"/>
              <w:rPr>
                <w:sz w:val="18"/>
                <w:szCs w:val="18"/>
                <w:color w:val="auto"/>
              </w:rPr>
            </w:pPr>
          </w:p>
        </w:tc>
        <w:tc>
          <w:tcPr>
            <w:tcW w:w="780" w:type="dxa"/>
            <w:vAlign w:val="bottom"/>
            <w:tcBorders>
              <w:right w:val="single" w:sz="8" w:color="auto"/>
            </w:tcBorders>
            <w:vMerge w:val="continue"/>
            <w:shd w:val="clear" w:color="auto" w:fill="D9D9D9"/>
          </w:tcPr>
          <w:p>
            <w:pPr>
              <w:spacing w:after="0"/>
              <w:rPr>
                <w:sz w:val="18"/>
                <w:szCs w:val="18"/>
                <w:color w:val="auto"/>
              </w:rPr>
            </w:pPr>
          </w:p>
        </w:tc>
        <w:tc>
          <w:tcPr>
            <w:tcW w:w="0" w:type="dxa"/>
            <w:vAlign w:val="bottom"/>
          </w:tcPr>
          <w:p>
            <w:pPr>
              <w:spacing w:after="0"/>
              <w:rPr>
                <w:sz w:val="1"/>
                <w:szCs w:val="1"/>
                <w:color w:val="auto"/>
              </w:rPr>
            </w:pPr>
          </w:p>
        </w:tc>
      </w:tr>
      <w:tr>
        <w:trPr>
          <w:trHeight w:val="267"/>
        </w:trPr>
        <w:tc>
          <w:tcPr>
            <w:tcW w:w="54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19"/>
                <w:szCs w:val="19"/>
                <w:i w:val="1"/>
                <w:iCs w:val="1"/>
                <w:color w:val="auto"/>
              </w:rPr>
              <w:t>Markets</w:t>
            </w:r>
          </w:p>
        </w:tc>
        <w:tc>
          <w:tcPr>
            <w:tcW w:w="660" w:type="dxa"/>
            <w:vAlign w:val="bottom"/>
            <w:tcBorders>
              <w:bottom w:val="single" w:sz="8" w:color="D9D9D9"/>
            </w:tcBorders>
            <w:shd w:val="clear" w:color="auto" w:fill="D9D9D9"/>
          </w:tcPr>
          <w:p>
            <w:pPr>
              <w:spacing w:after="0"/>
              <w:rPr>
                <w:sz w:val="23"/>
                <w:szCs w:val="23"/>
                <w:color w:val="auto"/>
              </w:rPr>
            </w:pPr>
          </w:p>
        </w:tc>
        <w:tc>
          <w:tcPr>
            <w:tcW w:w="880" w:type="dxa"/>
            <w:vAlign w:val="bottom"/>
            <w:tcBorders>
              <w:bottom w:val="single" w:sz="8" w:color="D9D9D9"/>
            </w:tcBorders>
            <w:shd w:val="clear" w:color="auto" w:fill="D9D9D9"/>
          </w:tcPr>
          <w:p>
            <w:pPr>
              <w:spacing w:after="0"/>
              <w:rPr>
                <w:sz w:val="23"/>
                <w:szCs w:val="23"/>
                <w:color w:val="auto"/>
              </w:rPr>
            </w:pPr>
          </w:p>
        </w:tc>
        <w:tc>
          <w:tcPr>
            <w:tcW w:w="1560" w:type="dxa"/>
            <w:vAlign w:val="bottom"/>
            <w:tcBorders>
              <w:bottom w:val="single" w:sz="8" w:color="D9D9D9"/>
            </w:tcBorders>
            <w:shd w:val="clear" w:color="auto" w:fill="D9D9D9"/>
          </w:tcPr>
          <w:p>
            <w:pPr>
              <w:spacing w:after="0"/>
              <w:rPr>
                <w:sz w:val="23"/>
                <w:szCs w:val="23"/>
                <w:color w:val="auto"/>
              </w:rPr>
            </w:pPr>
          </w:p>
        </w:tc>
        <w:tc>
          <w:tcPr>
            <w:tcW w:w="600" w:type="dxa"/>
            <w:vAlign w:val="bottom"/>
            <w:tcBorders>
              <w:bottom w:val="single" w:sz="8" w:color="D9D9D9"/>
            </w:tcBorders>
            <w:shd w:val="clear" w:color="auto" w:fill="D9D9D9"/>
          </w:tcPr>
          <w:p>
            <w:pPr>
              <w:spacing w:after="0"/>
              <w:rPr>
                <w:sz w:val="23"/>
                <w:szCs w:val="23"/>
                <w:color w:val="auto"/>
              </w:rPr>
            </w:pPr>
          </w:p>
        </w:tc>
        <w:tc>
          <w:tcPr>
            <w:tcW w:w="780" w:type="dxa"/>
            <w:vAlign w:val="bottom"/>
            <w:tcBorders>
              <w:bottom w:val="single" w:sz="8" w:color="D9D9D9"/>
            </w:tcBorders>
            <w:shd w:val="clear" w:color="auto" w:fill="D9D9D9"/>
          </w:tcPr>
          <w:p>
            <w:pPr>
              <w:spacing w:after="0"/>
              <w:rPr>
                <w:sz w:val="23"/>
                <w:szCs w:val="23"/>
                <w:color w:val="auto"/>
              </w:rPr>
            </w:pPr>
          </w:p>
        </w:tc>
        <w:tc>
          <w:tcPr>
            <w:tcW w:w="600" w:type="dxa"/>
            <w:vAlign w:val="bottom"/>
            <w:tcBorders>
              <w:bottom w:val="single" w:sz="8" w:color="D9D9D9"/>
            </w:tcBorders>
            <w:shd w:val="clear" w:color="auto" w:fill="D9D9D9"/>
          </w:tcPr>
          <w:p>
            <w:pPr>
              <w:spacing w:after="0"/>
              <w:rPr>
                <w:sz w:val="23"/>
                <w:szCs w:val="23"/>
                <w:color w:val="auto"/>
              </w:rPr>
            </w:pPr>
          </w:p>
        </w:tc>
        <w:tc>
          <w:tcPr>
            <w:tcW w:w="780" w:type="dxa"/>
            <w:vAlign w:val="bottom"/>
            <w:tcBorders>
              <w:bottom w:val="single" w:sz="8" w:color="D9D9D9"/>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b w:val="1"/>
                <w:bCs w:val="1"/>
                <w:color w:val="auto"/>
              </w:rPr>
              <w:t>Marsha C. Williams</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74</w:t>
            </w: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9"/>
              </w:rPr>
              <w:t>2022</w:t>
            </w:r>
          </w:p>
        </w:tc>
        <w:tc>
          <w:tcPr>
            <w:tcW w:w="1560" w:type="dxa"/>
            <w:vAlign w:val="bottom"/>
            <w:vMerge w:val="restart"/>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600" w:type="dxa"/>
            <w:vAlign w:val="bottom"/>
          </w:tcPr>
          <w:p>
            <w:pPr>
              <w:spacing w:after="0"/>
              <w:rPr>
                <w:sz w:val="20"/>
                <w:szCs w:val="20"/>
                <w:color w:val="auto"/>
              </w:rPr>
            </w:pPr>
          </w:p>
        </w:tc>
        <w:tc>
          <w:tcPr>
            <w:tcW w:w="780" w:type="dxa"/>
            <w:vAlign w:val="bottom"/>
            <w:vMerge w:val="restart"/>
          </w:tcPr>
          <w:p>
            <w:pPr>
              <w:jc w:val="center"/>
              <w:ind w:right="6"/>
              <w:spacing w:after="0"/>
              <w:rPr>
                <w:sz w:val="20"/>
                <w:szCs w:val="20"/>
                <w:color w:val="auto"/>
              </w:rPr>
            </w:pPr>
            <w:r>
              <w:rPr>
                <w:rFonts w:ascii="Times New Roman" w:cs="Times New Roman" w:eastAsia="Times New Roman" w:hAnsi="Times New Roman"/>
                <w:sz w:val="19"/>
                <w:szCs w:val="19"/>
                <w:b w:val="1"/>
                <w:bCs w:val="1"/>
                <w:color w:val="29650B"/>
              </w:rPr>
              <w:t>Chair</w:t>
            </w:r>
          </w:p>
        </w:tc>
        <w:tc>
          <w:tcPr>
            <w:tcW w:w="600" w:type="dxa"/>
            <w:vAlign w:val="bottom"/>
            <w:vMerge w:val="restart"/>
          </w:tcPr>
          <w:p>
            <w:pPr>
              <w:ind w:left="220"/>
              <w:spacing w:after="0" w:line="191" w:lineRule="exact"/>
              <w:rPr>
                <w:sz w:val="20"/>
                <w:szCs w:val="20"/>
                <w:color w:val="auto"/>
              </w:rPr>
            </w:pPr>
            <w:r>
              <w:rPr>
                <w:rFonts w:ascii="MS PGothic" w:cs="MS PGothic" w:eastAsia="MS PGothic" w:hAnsi="MS PGothic"/>
                <w:sz w:val="19"/>
                <w:szCs w:val="19"/>
                <w:color w:val="auto"/>
                <w:shd w:val="clear" w:color="auto" w:fill="29650B"/>
              </w:rPr>
              <w:t>✓</w:t>
            </w:r>
          </w:p>
        </w:tc>
        <w:tc>
          <w:tcPr>
            <w:tcW w:w="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400" w:type="dxa"/>
            <w:vAlign w:val="bottom"/>
            <w:tcBorders>
              <w:left w:val="single" w:sz="8" w:color="auto"/>
            </w:tcBorders>
          </w:tcPr>
          <w:p>
            <w:pPr>
              <w:ind w:left="120"/>
              <w:spacing w:after="0" w:line="216" w:lineRule="exact"/>
              <w:rPr>
                <w:sz w:val="20"/>
                <w:szCs w:val="20"/>
                <w:color w:val="auto"/>
              </w:rPr>
            </w:pPr>
            <w:r>
              <w:rPr>
                <w:rFonts w:ascii="Times New Roman" w:cs="Times New Roman" w:eastAsia="Times New Roman" w:hAnsi="Times New Roman"/>
                <w:sz w:val="19"/>
                <w:szCs w:val="19"/>
                <w:i w:val="1"/>
                <w:iCs w:val="1"/>
                <w:color w:val="auto"/>
              </w:rPr>
              <w:t>Former Senior Vice President and Chief Financial Officer of Orbitz</w:t>
            </w:r>
          </w:p>
        </w:tc>
        <w:tc>
          <w:tcPr>
            <w:tcW w:w="66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1560" w:type="dxa"/>
            <w:vAlign w:val="bottom"/>
            <w:vMerge w:val="continue"/>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7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54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9"/>
                <w:szCs w:val="19"/>
                <w:i w:val="1"/>
                <w:iCs w:val="1"/>
                <w:color w:val="auto"/>
              </w:rPr>
              <w:t>Worldwide</w:t>
            </w:r>
          </w:p>
        </w:tc>
        <w:tc>
          <w:tcPr>
            <w:tcW w:w="6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5400" w:type="dxa"/>
            <w:vAlign w:val="bottom"/>
            <w:tcBorders>
              <w:lef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880" w:type="dxa"/>
            <w:vAlign w:val="bottom"/>
          </w:tcPr>
          <w:p>
            <w:pPr>
              <w:spacing w:after="0"/>
              <w:rPr>
                <w:sz w:val="3"/>
                <w:szCs w:val="3"/>
                <w:color w:val="auto"/>
              </w:rPr>
            </w:pPr>
          </w:p>
        </w:tc>
        <w:tc>
          <w:tcPr>
            <w:tcW w:w="1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54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9"/>
                <w:szCs w:val="19"/>
                <w:b w:val="1"/>
                <w:bCs w:val="1"/>
                <w:color w:val="auto"/>
              </w:rPr>
              <w:t>Dwayne A. Wilson</w:t>
            </w:r>
          </w:p>
        </w:tc>
        <w:tc>
          <w:tcPr>
            <w:tcW w:w="6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4"/>
              </w:rPr>
              <w:t>67</w:t>
            </w:r>
          </w:p>
        </w:tc>
        <w:tc>
          <w:tcPr>
            <w:tcW w:w="88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9"/>
              </w:rPr>
              <w:t>2020</w:t>
            </w:r>
          </w:p>
        </w:tc>
        <w:tc>
          <w:tcPr>
            <w:tcW w:w="1560" w:type="dxa"/>
            <w:vAlign w:val="bottom"/>
            <w:vMerge w:val="restart"/>
            <w:shd w:val="clear" w:color="auto" w:fill="D9D9D9"/>
          </w:tcPr>
          <w:p>
            <w:pPr>
              <w:jc w:val="center"/>
              <w:spacing w:after="0"/>
              <w:rPr>
                <w:sz w:val="20"/>
                <w:szCs w:val="20"/>
                <w:color w:val="auto"/>
              </w:rPr>
            </w:pPr>
            <w:r>
              <w:rPr>
                <w:rFonts w:ascii="Times New Roman" w:cs="Times New Roman" w:eastAsia="Times New Roman" w:hAnsi="Times New Roman"/>
                <w:sz w:val="19"/>
                <w:szCs w:val="19"/>
                <w:color w:val="auto"/>
                <w:w w:val="94"/>
              </w:rPr>
              <w:t>Yes</w:t>
            </w:r>
          </w:p>
        </w:tc>
        <w:tc>
          <w:tcPr>
            <w:tcW w:w="600" w:type="dxa"/>
            <w:vAlign w:val="bottom"/>
            <w:vMerge w:val="restart"/>
            <w:shd w:val="clear" w:color="auto" w:fill="D9D9D9"/>
          </w:tcPr>
          <w:p>
            <w:pPr>
              <w:jc w:val="center"/>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780" w:type="dxa"/>
            <w:vAlign w:val="bottom"/>
            <w:vMerge w:val="restart"/>
            <w:shd w:val="clear" w:color="auto" w:fill="D9D9D9"/>
          </w:tcPr>
          <w:p>
            <w:pPr>
              <w:jc w:val="center"/>
              <w:ind w:right="6"/>
              <w:spacing w:after="0" w:line="191" w:lineRule="exact"/>
              <w:rPr>
                <w:sz w:val="20"/>
                <w:szCs w:val="20"/>
                <w:color w:val="auto"/>
              </w:rPr>
            </w:pPr>
            <w:r>
              <w:rPr>
                <w:rFonts w:ascii="MS PGothic" w:cs="MS PGothic" w:eastAsia="MS PGothic" w:hAnsi="MS PGothic"/>
                <w:sz w:val="19"/>
                <w:szCs w:val="19"/>
                <w:color w:val="auto"/>
                <w:w w:val="83"/>
                <w:shd w:val="clear" w:color="auto" w:fill="29650B"/>
              </w:rPr>
              <w:t>✓</w:t>
            </w:r>
          </w:p>
        </w:tc>
        <w:tc>
          <w:tcPr>
            <w:tcW w:w="600" w:type="dxa"/>
            <w:vAlign w:val="bottom"/>
            <w:shd w:val="clear" w:color="auto" w:fill="D9D9D9"/>
          </w:tcPr>
          <w:p>
            <w:pPr>
              <w:spacing w:after="0"/>
              <w:rPr>
                <w:sz w:val="20"/>
                <w:szCs w:val="20"/>
                <w:color w:val="auto"/>
              </w:rPr>
            </w:pPr>
          </w:p>
        </w:tc>
        <w:tc>
          <w:tcPr>
            <w:tcW w:w="780" w:type="dxa"/>
            <w:vAlign w:val="bottom"/>
            <w:tcBorders>
              <w:right w:val="single" w:sz="8" w:color="auto"/>
            </w:tcBorders>
            <w:shd w:val="clear" w:color="auto" w:fill="D9D9D9"/>
          </w:tcPr>
          <w:p>
            <w:pPr>
              <w:spacing w:after="0"/>
              <w:rPr>
                <w:sz w:val="20"/>
                <w:szCs w:val="20"/>
                <w:color w:val="auto"/>
              </w:rPr>
            </w:pPr>
          </w:p>
        </w:tc>
        <w:tc>
          <w:tcPr>
            <w:tcW w:w="0" w:type="dxa"/>
            <w:vAlign w:val="bottom"/>
          </w:tcPr>
          <w:p>
            <w:pPr>
              <w:spacing w:after="0"/>
              <w:rPr>
                <w:sz w:val="1"/>
                <w:szCs w:val="1"/>
                <w:color w:val="auto"/>
              </w:rPr>
            </w:pPr>
          </w:p>
        </w:tc>
      </w:tr>
      <w:tr>
        <w:trPr>
          <w:trHeight w:val="170"/>
        </w:trPr>
        <w:tc>
          <w:tcPr>
            <w:tcW w:w="5400" w:type="dxa"/>
            <w:vAlign w:val="bottom"/>
            <w:tcBorders>
              <w:lef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9"/>
                <w:szCs w:val="19"/>
                <w:i w:val="1"/>
                <w:iCs w:val="1"/>
                <w:color w:val="auto"/>
              </w:rPr>
              <w:t>Former Senior Vice President of Fluor Corporation</w:t>
            </w:r>
          </w:p>
        </w:tc>
        <w:tc>
          <w:tcPr>
            <w:tcW w:w="660" w:type="dxa"/>
            <w:vAlign w:val="bottom"/>
            <w:vMerge w:val="continue"/>
            <w:shd w:val="clear" w:color="auto" w:fill="D9D9D9"/>
          </w:tcPr>
          <w:p>
            <w:pPr>
              <w:spacing w:after="0"/>
              <w:rPr>
                <w:sz w:val="14"/>
                <w:szCs w:val="14"/>
                <w:color w:val="auto"/>
              </w:rPr>
            </w:pPr>
          </w:p>
        </w:tc>
        <w:tc>
          <w:tcPr>
            <w:tcW w:w="880" w:type="dxa"/>
            <w:vAlign w:val="bottom"/>
            <w:vMerge w:val="continue"/>
            <w:shd w:val="clear" w:color="auto" w:fill="D9D9D9"/>
          </w:tcPr>
          <w:p>
            <w:pPr>
              <w:spacing w:after="0"/>
              <w:rPr>
                <w:sz w:val="14"/>
                <w:szCs w:val="14"/>
                <w:color w:val="auto"/>
              </w:rPr>
            </w:pPr>
          </w:p>
        </w:tc>
        <w:tc>
          <w:tcPr>
            <w:tcW w:w="1560" w:type="dxa"/>
            <w:vAlign w:val="bottom"/>
            <w:vMerge w:val="continue"/>
            <w:shd w:val="clear" w:color="auto" w:fill="D9D9D9"/>
          </w:tcPr>
          <w:p>
            <w:pPr>
              <w:spacing w:after="0"/>
              <w:rPr>
                <w:sz w:val="14"/>
                <w:szCs w:val="14"/>
                <w:color w:val="auto"/>
              </w:rPr>
            </w:pPr>
          </w:p>
        </w:tc>
        <w:tc>
          <w:tcPr>
            <w:tcW w:w="600" w:type="dxa"/>
            <w:vAlign w:val="bottom"/>
            <w:vMerge w:val="continue"/>
            <w:shd w:val="clear" w:color="auto" w:fill="D9D9D9"/>
          </w:tcPr>
          <w:p>
            <w:pPr>
              <w:spacing w:after="0"/>
              <w:rPr>
                <w:sz w:val="14"/>
                <w:szCs w:val="14"/>
                <w:color w:val="auto"/>
              </w:rPr>
            </w:pPr>
          </w:p>
        </w:tc>
        <w:tc>
          <w:tcPr>
            <w:tcW w:w="780" w:type="dxa"/>
            <w:vAlign w:val="bottom"/>
            <w:vMerge w:val="continue"/>
            <w:shd w:val="clear" w:color="auto" w:fill="D9D9D9"/>
          </w:tcPr>
          <w:p>
            <w:pPr>
              <w:spacing w:after="0"/>
              <w:rPr>
                <w:sz w:val="14"/>
                <w:szCs w:val="14"/>
                <w:color w:val="auto"/>
              </w:rPr>
            </w:pPr>
          </w:p>
        </w:tc>
        <w:tc>
          <w:tcPr>
            <w:tcW w:w="600" w:type="dxa"/>
            <w:vAlign w:val="bottom"/>
            <w:shd w:val="clear" w:color="auto" w:fill="D9D9D9"/>
          </w:tcPr>
          <w:p>
            <w:pPr>
              <w:spacing w:after="0"/>
              <w:rPr>
                <w:sz w:val="14"/>
                <w:szCs w:val="14"/>
                <w:color w:val="auto"/>
              </w:rPr>
            </w:pPr>
          </w:p>
        </w:tc>
        <w:tc>
          <w:tcPr>
            <w:tcW w:w="780" w:type="dxa"/>
            <w:vAlign w:val="bottom"/>
            <w:tcBorders>
              <w:right w:val="single" w:sz="8" w:color="auto"/>
            </w:tcBorders>
            <w:shd w:val="clear" w:color="auto" w:fill="D9D9D9"/>
          </w:tcPr>
          <w:p>
            <w:pPr>
              <w:spacing w:after="0"/>
              <w:rPr>
                <w:sz w:val="14"/>
                <w:szCs w:val="14"/>
                <w:color w:val="auto"/>
              </w:rPr>
            </w:pPr>
          </w:p>
        </w:tc>
        <w:tc>
          <w:tcPr>
            <w:tcW w:w="0" w:type="dxa"/>
            <w:vAlign w:val="bottom"/>
          </w:tcPr>
          <w:p>
            <w:pPr>
              <w:spacing w:after="0"/>
              <w:rPr>
                <w:sz w:val="1"/>
                <w:szCs w:val="1"/>
                <w:color w:val="auto"/>
              </w:rPr>
            </w:pPr>
          </w:p>
        </w:tc>
      </w:tr>
      <w:tr>
        <w:trPr>
          <w:trHeight w:val="97"/>
        </w:trPr>
        <w:tc>
          <w:tcPr>
            <w:tcW w:w="5400" w:type="dxa"/>
            <w:vAlign w:val="bottom"/>
            <w:tcBorders>
              <w:left w:val="single" w:sz="8" w:color="auto"/>
              <w:bottom w:val="single" w:sz="8" w:color="D9D9D9"/>
            </w:tcBorders>
            <w:vMerge w:val="continue"/>
            <w:shd w:val="clear" w:color="auto" w:fill="D9D9D9"/>
          </w:tcPr>
          <w:p>
            <w:pPr>
              <w:spacing w:after="0"/>
              <w:rPr>
                <w:sz w:val="8"/>
                <w:szCs w:val="8"/>
                <w:color w:val="auto"/>
              </w:rPr>
            </w:pPr>
          </w:p>
        </w:tc>
        <w:tc>
          <w:tcPr>
            <w:tcW w:w="660" w:type="dxa"/>
            <w:vAlign w:val="bottom"/>
            <w:tcBorders>
              <w:bottom w:val="single" w:sz="8" w:color="D9D9D9"/>
            </w:tcBorders>
            <w:shd w:val="clear" w:color="auto" w:fill="D9D9D9"/>
          </w:tcPr>
          <w:p>
            <w:pPr>
              <w:spacing w:after="0"/>
              <w:rPr>
                <w:sz w:val="8"/>
                <w:szCs w:val="8"/>
                <w:color w:val="auto"/>
              </w:rPr>
            </w:pPr>
          </w:p>
        </w:tc>
        <w:tc>
          <w:tcPr>
            <w:tcW w:w="880" w:type="dxa"/>
            <w:vAlign w:val="bottom"/>
            <w:tcBorders>
              <w:bottom w:val="single" w:sz="8" w:color="D9D9D9"/>
            </w:tcBorders>
            <w:shd w:val="clear" w:color="auto" w:fill="D9D9D9"/>
          </w:tcPr>
          <w:p>
            <w:pPr>
              <w:spacing w:after="0"/>
              <w:rPr>
                <w:sz w:val="8"/>
                <w:szCs w:val="8"/>
                <w:color w:val="auto"/>
              </w:rPr>
            </w:pPr>
          </w:p>
        </w:tc>
        <w:tc>
          <w:tcPr>
            <w:tcW w:w="1560" w:type="dxa"/>
            <w:vAlign w:val="bottom"/>
            <w:tcBorders>
              <w:bottom w:val="single" w:sz="8" w:color="D9D9D9"/>
            </w:tcBorders>
            <w:shd w:val="clear" w:color="auto" w:fill="D9D9D9"/>
          </w:tcPr>
          <w:p>
            <w:pPr>
              <w:spacing w:after="0"/>
              <w:rPr>
                <w:sz w:val="8"/>
                <w:szCs w:val="8"/>
                <w:color w:val="auto"/>
              </w:rPr>
            </w:pPr>
          </w:p>
        </w:tc>
        <w:tc>
          <w:tcPr>
            <w:tcW w:w="600" w:type="dxa"/>
            <w:vAlign w:val="bottom"/>
            <w:tcBorders>
              <w:bottom w:val="single" w:sz="8" w:color="D9D9D9"/>
            </w:tcBorders>
            <w:shd w:val="clear" w:color="auto" w:fill="D9D9D9"/>
          </w:tcPr>
          <w:p>
            <w:pPr>
              <w:spacing w:after="0"/>
              <w:rPr>
                <w:sz w:val="8"/>
                <w:szCs w:val="8"/>
                <w:color w:val="auto"/>
              </w:rPr>
            </w:pPr>
          </w:p>
        </w:tc>
        <w:tc>
          <w:tcPr>
            <w:tcW w:w="780" w:type="dxa"/>
            <w:vAlign w:val="bottom"/>
            <w:tcBorders>
              <w:bottom w:val="single" w:sz="8" w:color="D9D9D9"/>
            </w:tcBorders>
            <w:shd w:val="clear" w:color="auto" w:fill="D9D9D9"/>
          </w:tcPr>
          <w:p>
            <w:pPr>
              <w:spacing w:after="0"/>
              <w:rPr>
                <w:sz w:val="8"/>
                <w:szCs w:val="8"/>
                <w:color w:val="auto"/>
              </w:rPr>
            </w:pPr>
          </w:p>
        </w:tc>
        <w:tc>
          <w:tcPr>
            <w:tcW w:w="600" w:type="dxa"/>
            <w:vAlign w:val="bottom"/>
            <w:tcBorders>
              <w:bottom w:val="single" w:sz="8" w:color="D9D9D9"/>
            </w:tcBorders>
            <w:shd w:val="clear" w:color="auto" w:fill="D9D9D9"/>
          </w:tcPr>
          <w:p>
            <w:pPr>
              <w:spacing w:after="0"/>
              <w:rPr>
                <w:sz w:val="8"/>
                <w:szCs w:val="8"/>
                <w:color w:val="auto"/>
              </w:rPr>
            </w:pPr>
          </w:p>
        </w:tc>
        <w:tc>
          <w:tcPr>
            <w:tcW w:w="780" w:type="dxa"/>
            <w:vAlign w:val="bottom"/>
            <w:tcBorders>
              <w:bottom w:val="single" w:sz="8" w:color="D9D9D9"/>
              <w:right w:val="single" w:sz="8" w:color="auto"/>
            </w:tcBorders>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5400" w:type="dxa"/>
            <w:vAlign w:val="bottom"/>
            <w:tcBorders>
              <w:left w:val="single" w:sz="8" w:color="auto"/>
            </w:tcBorders>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5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780" w:type="dxa"/>
            <w:vAlign w:val="bottom"/>
            <w:tcBorders>
              <w:right w:val="single" w:sz="8" w:color="auto"/>
            </w:tcBorders>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spacing w:after="0"/>
        <w:tabs>
          <w:tab w:leader="none" w:pos="140" w:val="left"/>
        </w:tabs>
        <w:rPr>
          <w:sz w:val="20"/>
          <w:szCs w:val="20"/>
          <w:color w:val="auto"/>
        </w:rPr>
      </w:pPr>
      <w:r>
        <w:rPr>
          <w:rFonts w:ascii="Times New Roman" w:cs="Times New Roman" w:eastAsia="Times New Roman" w:hAnsi="Times New Roman"/>
          <w:sz w:val="17"/>
          <w:szCs w:val="17"/>
          <w:b w:val="1"/>
          <w:bCs w:val="1"/>
          <w:color w:val="auto"/>
        </w:rPr>
        <w:t xml:space="preserve">A: </w:t>
      </w:r>
      <w:r>
        <w:rPr>
          <w:rFonts w:ascii="Times New Roman" w:cs="Times New Roman" w:eastAsia="Times New Roman" w:hAnsi="Times New Roman"/>
          <w:sz w:val="17"/>
          <w:szCs w:val="17"/>
          <w:i w:val="1"/>
          <w:iCs w:val="1"/>
          <w:color w:val="auto"/>
        </w:rPr>
        <w:t>Audit Committee</w:t>
      </w:r>
      <w:r>
        <w:rPr>
          <w:rFonts w:ascii="Times New Roman" w:cs="Times New Roman" w:eastAsia="Times New Roman" w:hAnsi="Times New Roman"/>
          <w:sz w:val="17"/>
          <w:szCs w:val="17"/>
          <w:b w:val="1"/>
          <w:bCs w:val="1"/>
          <w:color w:val="auto"/>
        </w:rPr>
        <w:t xml:space="preserve">  C: </w:t>
      </w:r>
      <w:r>
        <w:rPr>
          <w:rFonts w:ascii="Times New Roman" w:cs="Times New Roman" w:eastAsia="Times New Roman" w:hAnsi="Times New Roman"/>
          <w:sz w:val="17"/>
          <w:szCs w:val="17"/>
          <w:i w:val="1"/>
          <w:iCs w:val="1"/>
          <w:color w:val="auto"/>
        </w:rPr>
        <w:t>Compensation Committee</w:t>
      </w:r>
      <w:r>
        <w:rPr>
          <w:rFonts w:ascii="Times New Roman" w:cs="Times New Roman" w:eastAsia="Times New Roman" w:hAnsi="Times New Roman"/>
          <w:sz w:val="17"/>
          <w:szCs w:val="17"/>
          <w:b w:val="1"/>
          <w:bCs w:val="1"/>
          <w:color w:val="auto"/>
        </w:rPr>
        <w:tab/>
        <w:t xml:space="preserve">E: </w:t>
      </w:r>
      <w:r>
        <w:rPr>
          <w:rFonts w:ascii="Times New Roman" w:cs="Times New Roman" w:eastAsia="Times New Roman" w:hAnsi="Times New Roman"/>
          <w:sz w:val="17"/>
          <w:szCs w:val="17"/>
          <w:i w:val="1"/>
          <w:iCs w:val="1"/>
          <w:color w:val="auto"/>
        </w:rPr>
        <w:t>Executive Committee</w:t>
      </w:r>
      <w:r>
        <w:rPr>
          <w:rFonts w:ascii="Times New Roman" w:cs="Times New Roman" w:eastAsia="Times New Roman" w:hAnsi="Times New Roman"/>
          <w:sz w:val="17"/>
          <w:szCs w:val="17"/>
          <w:b w:val="1"/>
          <w:bCs w:val="1"/>
          <w:color w:val="auto"/>
        </w:rPr>
        <w:t xml:space="preserve"> NCG: </w:t>
      </w:r>
      <w:r>
        <w:rPr>
          <w:rFonts w:ascii="Times New Roman" w:cs="Times New Roman" w:eastAsia="Times New Roman" w:hAnsi="Times New Roman"/>
          <w:sz w:val="17"/>
          <w:szCs w:val="17"/>
          <w:i w:val="1"/>
          <w:iCs w:val="1"/>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17830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23"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Two additional Directors were appointed in 2022 pursuant to an agreement with a Shareholder and resigned in November 2023.</w:t>
      </w: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803" w:right="339" w:bottom="1440" w:gutter="0" w:footer="0" w:header="0"/>
        </w:sectPr>
      </w:pPr>
    </w:p>
    <w:bookmarkStart w:id="5" w:name="page6"/>
    <w:bookmarkEnd w:id="5"/>
    <w:p>
      <w:pPr>
        <w:jc w:val="both"/>
        <w:spacing w:after="0" w:line="255" w:lineRule="auto"/>
        <w:rPr>
          <w:sz w:val="20"/>
          <w:szCs w:val="20"/>
          <w:color w:val="auto"/>
        </w:rPr>
      </w:pPr>
      <w:r>
        <w:rPr>
          <w:rFonts w:ascii="Times New Roman" w:cs="Times New Roman" w:eastAsia="Times New Roman" w:hAnsi="Times New Roman"/>
          <w:sz w:val="21"/>
          <w:szCs w:val="21"/>
          <w:color w:val="auto"/>
        </w:rPr>
        <w:t>The Board elected Mr. Timothy Donahue as its Chairman following the 2022 Annual Meeting. The Board elected Mr. Stephen Hagge as its Independent Lead Director in February 2025. See the section below titled “Corporate Governance: Board Leadership and Risk Oversight” for a summary of the duties of our Independent Lead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7132320" cy="14916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49161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Director Tenure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08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22"/>
                <w:szCs w:val="22"/>
                <w:b w:val="1"/>
                <w:bCs w:val="1"/>
                <w:color w:val="auto"/>
              </w:rPr>
              <w:t>Less than 6 years</w:t>
            </w:r>
          </w:p>
        </w:tc>
        <w:tc>
          <w:tcPr>
            <w:tcW w:w="3820" w:type="dxa"/>
            <w:vAlign w:val="bottom"/>
            <w:tcBorders>
              <w:top w:val="single" w:sz="8" w:color="auto"/>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22"/>
                <w:szCs w:val="22"/>
                <w:b w:val="1"/>
                <w:bCs w:val="1"/>
                <w:color w:val="auto"/>
              </w:rPr>
              <w:t>6 – 10 years</w:t>
            </w:r>
          </w:p>
        </w:tc>
        <w:tc>
          <w:tcPr>
            <w:tcW w:w="33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22"/>
                <w:szCs w:val="22"/>
                <w:b w:val="1"/>
                <w:bCs w:val="1"/>
                <w:color w:val="auto"/>
              </w:rPr>
              <w:t>More than 10 years</w:t>
            </w:r>
          </w:p>
        </w:tc>
      </w:tr>
      <w:tr>
        <w:trPr>
          <w:trHeight w:val="1519"/>
        </w:trPr>
        <w:tc>
          <w:tcPr>
            <w:tcW w:w="4080" w:type="dxa"/>
            <w:vAlign w:val="bottom"/>
            <w:tcBorders>
              <w:bottom w:val="single" w:sz="8" w:color="auto"/>
              <w:right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3340" w:type="dxa"/>
            <w:vAlign w:val="bottom"/>
            <w:tcBorders>
              <w:bottom w:val="single" w:sz="8" w:color="auto"/>
            </w:tcBorders>
          </w:tcPr>
          <w:p>
            <w:pPr>
              <w:spacing w:after="0"/>
              <w:rPr>
                <w:sz w:val="24"/>
                <w:szCs w:val="24"/>
                <w:color w:val="auto"/>
              </w:rPr>
            </w:pPr>
          </w:p>
        </w:tc>
      </w:tr>
    </w:tbl>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333333"/>
        </w:rPr>
        <w:t>The Company has had an active Board refreshment program. We have added six new Directors in the last six years</w:t>
      </w:r>
      <w:r>
        <w:rPr>
          <w:rFonts w:ascii="Times New Roman" w:cs="Times New Roman" w:eastAsia="Times New Roman" w:hAnsi="Times New Roman"/>
          <w:sz w:val="35"/>
          <w:szCs w:val="35"/>
          <w:color w:val="333333"/>
          <w:vertAlign w:val="superscript"/>
        </w:rPr>
        <w:t>1</w:t>
      </w:r>
      <w:r>
        <w:rPr>
          <w:rFonts w:ascii="Times New Roman" w:cs="Times New Roman" w:eastAsia="Times New Roman" w:hAnsi="Times New Roman"/>
          <w:sz w:val="22"/>
          <w:szCs w:val="22"/>
          <w:color w:val="33333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1945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945640"/>
                    </a:xfrm>
                    <a:prstGeom prst="rect">
                      <a:avLst/>
                    </a:prstGeom>
                    <a:noFill/>
                  </pic:spPr>
                </pic:pic>
              </a:graphicData>
            </a:graphic>
          </wp:anchor>
        </w:drawing>
      </w: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Board Independence and Diversity</w:t>
      </w:r>
    </w:p>
    <w:p>
      <w:pPr>
        <w:spacing w:after="0" w:line="277" w:lineRule="exact"/>
        <w:rPr>
          <w:sz w:val="20"/>
          <w:szCs w:val="20"/>
          <w:color w:val="auto"/>
        </w:rPr>
      </w:pPr>
    </w:p>
    <w:p>
      <w:pPr>
        <w:ind w:left="7700"/>
        <w:spacing w:after="0"/>
        <w:rPr>
          <w:sz w:val="20"/>
          <w:szCs w:val="20"/>
          <w:color w:val="auto"/>
        </w:rPr>
      </w:pPr>
      <w:r>
        <w:rPr>
          <w:rFonts w:ascii="Times New Roman" w:cs="Times New Roman" w:eastAsia="Times New Roman" w:hAnsi="Times New Roman"/>
          <w:sz w:val="22"/>
          <w:szCs w:val="22"/>
          <w:b w:val="1"/>
          <w:bCs w:val="1"/>
          <w:color w:val="auto"/>
        </w:rPr>
        <w:t>Board Diversity</w:t>
      </w:r>
    </w:p>
    <w:p>
      <w:pPr>
        <w:spacing w:after="0" w:line="200" w:lineRule="exact"/>
        <w:rPr>
          <w:sz w:val="20"/>
          <w:szCs w:val="20"/>
          <w:color w:val="auto"/>
        </w:rPr>
      </w:pPr>
    </w:p>
    <w:p>
      <w:pPr>
        <w:spacing w:after="0" w:line="280"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29650B"/>
        </w:rPr>
        <w:t xml:space="preserve">· </w:t>
      </w:r>
      <w:r>
        <w:rPr>
          <w:rFonts w:ascii="Times New Roman" w:cs="Times New Roman" w:eastAsia="Times New Roman" w:hAnsi="Times New Roman"/>
          <w:sz w:val="22"/>
          <w:szCs w:val="22"/>
          <w:color w:val="000000"/>
        </w:rPr>
        <w:t>Three female Directors</w:t>
      </w:r>
    </w:p>
    <w:p>
      <w:pPr>
        <w:spacing w:after="0" w:line="98"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22"/>
          <w:szCs w:val="22"/>
          <w:color w:val="29650B"/>
        </w:rPr>
        <w:t xml:space="preserve">· </w:t>
      </w:r>
      <w:r>
        <w:rPr>
          <w:rFonts w:ascii="Times New Roman" w:cs="Times New Roman" w:eastAsia="Times New Roman" w:hAnsi="Times New Roman"/>
          <w:sz w:val="22"/>
          <w:szCs w:val="22"/>
          <w:color w:val="000000"/>
        </w:rPr>
        <w:t>One African American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ten Director nominees standing for reelection to the Board have diverse backgrounds, skills and experiences. We believe their varied backgrounds contribute to an effective and well-balanced Board that is able to provide valuable insight to, and effective oversight of, our senior executive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556260</wp:posOffset>
            </wp:positionV>
            <wp:extent cx="17830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firstLine="8"/>
        <w:spacing w:after="0" w:line="189" w:lineRule="auto"/>
        <w:tabs>
          <w:tab w:leader="none" w:pos="164" w:val="left"/>
        </w:tabs>
        <w:numPr>
          <w:ilvl w:val="0"/>
          <w:numId w:val="9"/>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Two of the six Directors were appointed pursuant to an agreement with a Shareholder. They served from December 2022 to November 2023.</w:t>
      </w: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079" w:right="339" w:bottom="1440" w:gutter="0" w:footer="0" w:header="0"/>
        </w:sectPr>
      </w:pPr>
    </w:p>
    <w:bookmarkStart w:id="6" w:name="page7"/>
    <w:bookmarkEnd w:id="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46545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7132320" cy="46545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9019"/>
          </w:cols>
          <w:pgMar w:left="1440" w:top="1440"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9"/>
          <w:szCs w:val="29"/>
          <w:b w:val="1"/>
          <w:bCs w:val="1"/>
          <w:color w:val="29650B"/>
        </w:rPr>
        <w:t>Governance Best Practices</w:t>
      </w:r>
    </w:p>
    <w:p>
      <w:pPr>
        <w:spacing w:after="0" w:line="25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Board of Directors is committed to implementing and maintaining strong corporate governance practices. The Board continually adopts emerging best practices in governance that enhance the effectiveness of the Board and our management and that serve the best interests of the Company’s Shareholders. The Corporate Governance section beginning on page 28 describes our governance framework. We call your attention to the following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4474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4474845"/>
                    </a:xfrm>
                    <a:prstGeom prst="rect">
                      <a:avLst/>
                    </a:prstGeom>
                    <a:noFill/>
                  </pic:spPr>
                </pic:pic>
              </a:graphicData>
            </a:graphic>
          </wp:anchor>
        </w:drawing>
      </w:r>
    </w:p>
    <w:p>
      <w:pPr>
        <w:spacing w:after="0" w:line="336" w:lineRule="exact"/>
        <w:rPr>
          <w:sz w:val="20"/>
          <w:szCs w:val="20"/>
          <w:color w:val="auto"/>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Annual election of all Directors</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Resignation policy applicable to Directors who do not receive a majority of votes cast in uncontested elections</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Mandatory retirement policy for Directors</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Proxy access</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Active outreach and engagement with Shareholders throughout the year</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Overboarding limits</w:t>
      </w:r>
    </w:p>
    <w:p>
      <w:pPr>
        <w:spacing w:after="0" w:line="29" w:lineRule="exact"/>
        <w:rPr>
          <w:rFonts w:ascii="Wingdings" w:cs="Wingdings" w:eastAsia="Wingdings" w:hAnsi="Wingdings"/>
          <w:sz w:val="22"/>
          <w:szCs w:val="22"/>
          <w:b w:val="1"/>
          <w:bCs w:val="1"/>
          <w:color w:val="4F6228"/>
        </w:rPr>
      </w:pPr>
    </w:p>
    <w:p>
      <w:pPr>
        <w:ind w:left="880" w:hanging="531"/>
        <w:spacing w:after="0" w:line="195" w:lineRule="auto"/>
        <w:tabs>
          <w:tab w:leader="none" w:pos="880" w:val="left"/>
        </w:tabs>
        <w:numPr>
          <w:ilvl w:val="0"/>
          <w:numId w:val="10"/>
        </w:numPr>
        <w:rPr>
          <w:rFonts w:ascii="Wingdings" w:cs="Wingdings" w:eastAsia="Wingdings" w:hAnsi="Wingdings"/>
          <w:sz w:val="43"/>
          <w:szCs w:val="43"/>
          <w:b w:val="1"/>
          <w:bCs w:val="1"/>
          <w:color w:val="4F6228"/>
          <w:vertAlign w:val="superscript"/>
        </w:rPr>
      </w:pPr>
      <w:r>
        <w:rPr>
          <w:rFonts w:ascii="Times New Roman" w:cs="Times New Roman" w:eastAsia="Times New Roman" w:hAnsi="Times New Roman"/>
          <w:sz w:val="22"/>
          <w:szCs w:val="22"/>
          <w:color w:val="auto"/>
        </w:rPr>
        <w:t>Robust Board refreshment with six new independent Directors joining the Board in the last six years</w:t>
      </w:r>
      <w:r>
        <w:rPr>
          <w:rFonts w:ascii="Times New Roman" w:cs="Times New Roman" w:eastAsia="Times New Roman" w:hAnsi="Times New Roman"/>
          <w:sz w:val="35"/>
          <w:szCs w:val="35"/>
          <w:color w:val="auto"/>
          <w:vertAlign w:val="superscript"/>
        </w:rPr>
        <w:t>1</w:t>
      </w:r>
    </w:p>
    <w:p>
      <w:pPr>
        <w:spacing w:after="0" w:line="1" w:lineRule="exact"/>
        <w:rPr>
          <w:rFonts w:ascii="Wingdings" w:cs="Wingdings" w:eastAsia="Wingdings" w:hAnsi="Wingdings"/>
          <w:sz w:val="43"/>
          <w:szCs w:val="43"/>
          <w:b w:val="1"/>
          <w:bCs w:val="1"/>
          <w:color w:val="4F6228"/>
          <w:vertAlign w:val="superscript"/>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9 of 10 Directors independent – all key committees consisting solely of independent Directors</w:t>
      </w:r>
    </w:p>
    <w:p>
      <w:pPr>
        <w:spacing w:after="0" w:line="20"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Independent Lead Director with broad authority</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Executive sessions of independent Directors held regularly</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Annual review of Committee charters and Corporate Governance Guidelines</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Robust stock ownership guidelines for Directors and Named Executive Officers</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Prohibition on all pledging and hedging of the Company’s stock by Directors, Officers and other insiders</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Annual Say-on-Pay vote</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Code of Business Conduct and Ethics that applies to Directors and employees</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No supermajority voting requirement to amend By-Laws</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Shareholder right to call special meetings</w:t>
      </w:r>
    </w:p>
    <w:p>
      <w:pPr>
        <w:spacing w:after="0" w:line="44"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No poison pill</w:t>
      </w:r>
    </w:p>
    <w:p>
      <w:pPr>
        <w:spacing w:after="0" w:line="44" w:lineRule="exact"/>
        <w:rPr>
          <w:rFonts w:ascii="Wingdings" w:cs="Wingdings" w:eastAsia="Wingdings" w:hAnsi="Wingdings"/>
          <w:sz w:val="22"/>
          <w:szCs w:val="22"/>
          <w:b w:val="1"/>
          <w:bCs w:val="1"/>
          <w:color w:val="4F6228"/>
        </w:rPr>
      </w:pPr>
    </w:p>
    <w:p>
      <w:pPr>
        <w:jc w:val="both"/>
        <w:ind w:left="880" w:right="720" w:hanging="531"/>
        <w:spacing w:after="0" w:line="244" w:lineRule="auto"/>
        <w:tabs>
          <w:tab w:leader="none" w:pos="887"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Review of sustainability/environmental, social and governance (“ESG”) policy matters assigned to Nominating and Corporate Governance Committee and review of the Company’s ESG disclosures and reporting assigned to Audit Committee</w:t>
      </w:r>
    </w:p>
    <w:p>
      <w:pPr>
        <w:spacing w:after="0" w:line="11" w:lineRule="exact"/>
        <w:rPr>
          <w:rFonts w:ascii="Wingdings" w:cs="Wingdings" w:eastAsia="Wingdings" w:hAnsi="Wingdings"/>
          <w:sz w:val="22"/>
          <w:szCs w:val="22"/>
          <w:b w:val="1"/>
          <w:bCs w:val="1"/>
          <w:color w:val="4F6228"/>
        </w:rPr>
      </w:pPr>
    </w:p>
    <w:p>
      <w:pPr>
        <w:ind w:left="880" w:hanging="531"/>
        <w:spacing w:after="0"/>
        <w:tabs>
          <w:tab w:leader="none" w:pos="880"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Board oversight of information security and artificial intelligence risks</w:t>
      </w:r>
    </w:p>
    <w:p>
      <w:pPr>
        <w:spacing w:after="0" w:line="44" w:lineRule="exact"/>
        <w:rPr>
          <w:rFonts w:ascii="Wingdings" w:cs="Wingdings" w:eastAsia="Wingdings" w:hAnsi="Wingdings"/>
          <w:sz w:val="22"/>
          <w:szCs w:val="22"/>
          <w:b w:val="1"/>
          <w:bCs w:val="1"/>
          <w:color w:val="4F6228"/>
        </w:rPr>
      </w:pPr>
    </w:p>
    <w:p>
      <w:pPr>
        <w:ind w:left="880" w:right="1140" w:hanging="531"/>
        <w:spacing w:after="0" w:line="258" w:lineRule="auto"/>
        <w:tabs>
          <w:tab w:leader="none" w:pos="887" w:val="left"/>
        </w:tabs>
        <w:numPr>
          <w:ilvl w:val="0"/>
          <w:numId w:val="10"/>
        </w:numPr>
        <w:rPr>
          <w:rFonts w:ascii="Wingdings" w:cs="Wingdings" w:eastAsia="Wingdings" w:hAnsi="Wingdings"/>
          <w:sz w:val="22"/>
          <w:szCs w:val="22"/>
          <w:b w:val="1"/>
          <w:bCs w:val="1"/>
          <w:color w:val="4F6228"/>
        </w:rPr>
      </w:pPr>
      <w:r>
        <w:rPr>
          <w:rFonts w:ascii="Times New Roman" w:cs="Times New Roman" w:eastAsia="Times New Roman" w:hAnsi="Times New Roman"/>
          <w:sz w:val="22"/>
          <w:szCs w:val="22"/>
          <w:color w:val="auto"/>
        </w:rPr>
        <w:t>Annual update from Management to the Board on the Company’s political contributions and annual public disclosure of candidate contributions pursuant to published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203835</wp:posOffset>
            </wp:positionV>
            <wp:extent cx="17830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firstLine="8"/>
        <w:spacing w:after="0" w:line="189" w:lineRule="auto"/>
        <w:tabs>
          <w:tab w:leader="none" w:pos="164" w:val="left"/>
        </w:tabs>
        <w:numPr>
          <w:ilvl w:val="0"/>
          <w:numId w:val="1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Two of the six Directors were appointed pursuant to an agreement with a Shareholder. They served from December 2022 to November 2023.</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763"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9"/>
          <w:szCs w:val="29"/>
          <w:b w:val="1"/>
          <w:bCs w:val="1"/>
          <w:color w:val="29650B"/>
        </w:rPr>
        <w:t>Shareholder Engagement</w:t>
      </w:r>
    </w:p>
    <w:p>
      <w:pPr>
        <w:spacing w:after="0" w:line="258"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has developed a multi-platform Shareholder engagement program that results in active dialogue with both current and prospective investors globally. Major elements of the program include individual or group investor meetings, scheduled teleconferences, participation in institutional investor conferences and investor visits to Company manufacturing, research and development or administrative facilities. Topics of discussion at these events (subject to applicable disclosure regulations) include long-term strategy, financial information, recent and pending acquisitions and divestitures, major trends and issues affecting the Company’s businesses, industry dynamics, executive compensation, sustainability and corporate governance, among other matters. Periodically, the Company hosts investor day events, which may also include facility tours. The Company also cultivates relationships with the stewardship teams of its index-based Shareholders. In discussions with current and prospective Shareholders, our engagement includes eliciting Shareholder perspectives on our long-term strategy, financial performance, capital allocation policies and business portfolio, among other matters. We estimate that during 2025 we had direct engagement with investors owning well over 60% of the Company’s outstanding shares. The Company is included in the S&amp;P 400 MidCap Index.</w:t>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29650B"/>
        </w:rPr>
        <w:t>Sustainability – Environmental and Social Responsibility</w:t>
      </w:r>
    </w:p>
    <w:p>
      <w:pPr>
        <w:spacing w:after="0" w:line="25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0D0D0D"/>
        </w:rPr>
        <w:t>Sustainability is a priority within the Company's strategic approach. Under the general direction of the Board and in accordance with its charter, the Nominating and Corporate Governance Committee regularly reviews and assesses the Company's sustainability programs, policies and practices. Similarly, the Audit Committee reviews the Company’s main sustainability disclosures, reports and audits, as well as management’s assessment and measurement of the Company’s progress towards achieving its sustainability goals and objectives. Robust governance frameworks govern all facets of the business, with a particular emphasis on sustainability. In addition to the responsibilities of the Board Committees described above, the Company monitors its sustainability efforts through a Corporate Governance &amp; Sustainability Committee, comprising senior Company executives.</w:t>
      </w:r>
    </w:p>
    <w:p>
      <w:pPr>
        <w:spacing w:after="0" w:line="214" w:lineRule="exact"/>
        <w:rPr>
          <w:sz w:val="20"/>
          <w:szCs w:val="20"/>
          <w:color w:val="auto"/>
        </w:rPr>
      </w:pPr>
    </w:p>
    <w:p>
      <w:pPr>
        <w:jc w:val="both"/>
        <w:spacing w:after="0" w:line="222" w:lineRule="auto"/>
        <w:rPr>
          <w:sz w:val="20"/>
          <w:szCs w:val="20"/>
          <w:color w:val="auto"/>
        </w:rPr>
      </w:pPr>
      <w:r>
        <w:rPr>
          <w:rFonts w:ascii="Times New Roman" w:cs="Times New Roman" w:eastAsia="Times New Roman" w:hAnsi="Times New Roman"/>
          <w:sz w:val="22"/>
          <w:szCs w:val="22"/>
          <w:color w:val="auto"/>
        </w:rPr>
        <w:t xml:space="preserve">In 2020, Crown established its comprehensive </w:t>
      </w:r>
      <w:r>
        <w:rPr>
          <w:rFonts w:ascii="Times New Roman" w:cs="Times New Roman" w:eastAsia="Times New Roman" w:hAnsi="Times New Roman"/>
          <w:sz w:val="22"/>
          <w:szCs w:val="22"/>
          <w:b w:val="1"/>
          <w:bCs w:val="1"/>
          <w:color w:val="auto"/>
        </w:rPr>
        <w:t>Twenty</w:t>
      </w: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b w:val="1"/>
          <w:bCs w:val="1"/>
          <w:color w:val="auto"/>
        </w:rPr>
        <w:t>30</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xml:space="preserve"> program, setting 20 measurable goals that the Company would attempt to reach by 2030 or sooner. These objectives encompass multiple aspects of sustainability and reflect areas which may be material to the Company’s business as well as areas where it believes it can create notable impact. Structured within five core program pillars of: Climate Action, Resource Efficiency, Optimum Circularity, Working Together and Never Compromise, these initiatives include efforts such as making operational improvements in energy, water and waste and elevating our focus on material use efficiency, recycling, responsible and ethical sourcing and food safety.</w:t>
      </w:r>
    </w:p>
    <w:p>
      <w:pPr>
        <w:spacing w:after="0" w:line="20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0"/>
          <w:szCs w:val="20"/>
          <w:color w:val="auto"/>
        </w:rPr>
        <w:t>The Company’s main raw material inputs, aluminum and steel, offer unparalleled sustainability credentials for packaging not only due to their superior recycling rates and recycled content, but also because both materials are infinitely recyclable, meaning they can be recycled repeatedly with no loss of physical properties or quality. This reuse into new containers or other metal products saves raw materials, energy and CO</w:t>
      </w:r>
      <w:r>
        <w:rPr>
          <w:rFonts w:ascii="Times New Roman" w:cs="Times New Roman" w:eastAsia="Times New Roman" w:hAnsi="Times New Roman"/>
          <w:sz w:val="32"/>
          <w:szCs w:val="32"/>
          <w:color w:val="auto"/>
          <w:vertAlign w:val="subscript"/>
        </w:rPr>
        <w:t>2</w:t>
      </w:r>
      <w:r>
        <w:rPr>
          <w:rFonts w:ascii="Times New Roman" w:cs="Times New Roman" w:eastAsia="Times New Roman" w:hAnsi="Times New Roman"/>
          <w:sz w:val="20"/>
          <w:szCs w:val="20"/>
          <w:color w:val="auto"/>
        </w:rPr>
        <w:t xml:space="preserve"> emissions. Most of the products made by the Company’s Transit Packaging Division use a high degree</w:t>
      </w:r>
    </w:p>
    <w:p>
      <w:pPr>
        <w:spacing w:after="0" w:line="1" w:lineRule="exact"/>
        <w:rPr>
          <w:sz w:val="20"/>
          <w:szCs w:val="20"/>
          <w:color w:val="auto"/>
        </w:rPr>
      </w:pPr>
    </w:p>
    <w:p>
      <w:pPr>
        <w:jc w:val="both"/>
        <w:ind w:right="20"/>
        <w:spacing w:after="0" w:line="237" w:lineRule="auto"/>
        <w:rPr>
          <w:sz w:val="20"/>
          <w:szCs w:val="20"/>
          <w:color w:val="auto"/>
        </w:rPr>
      </w:pPr>
      <w:r>
        <w:rPr>
          <w:rFonts w:ascii="Times New Roman" w:cs="Times New Roman" w:eastAsia="Times New Roman" w:hAnsi="Times New Roman"/>
          <w:sz w:val="22"/>
          <w:szCs w:val="22"/>
          <w:color w:val="auto"/>
        </w:rPr>
        <w:t>of recycled content, and many are made from 100% recycled material. In fact, the group recycles hundreds of millions of pounds of plastic every year for use in its products.</w:t>
      </w:r>
    </w:p>
    <w:p>
      <w:pPr>
        <w:spacing w:after="0" w:line="7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560" w:right="339" w:bottom="1440" w:gutter="0" w:footer="0" w:header="0"/>
        </w:sectPr>
      </w:pPr>
    </w:p>
    <w:bookmarkStart w:id="9" w:name="page10"/>
    <w:bookmarkEnd w:id="9"/>
    <w:p>
      <w:pPr>
        <w:jc w:val="both"/>
        <w:spacing w:after="0" w:line="238" w:lineRule="auto"/>
        <w:rPr>
          <w:sz w:val="20"/>
          <w:szCs w:val="20"/>
          <w:color w:val="auto"/>
        </w:rPr>
      </w:pPr>
      <w:r>
        <w:rPr>
          <w:rFonts w:ascii="Times New Roman" w:cs="Times New Roman" w:eastAsia="Times New Roman" w:hAnsi="Times New Roman"/>
          <w:sz w:val="22"/>
          <w:szCs w:val="22"/>
          <w:color w:val="0D0D0D"/>
        </w:rPr>
        <w:t>Crown acknowledges that its sustainability efforts rely on collaboration throughout the value chain. The Company works to positively influence its upstream value chain by communicating its comprehensive environmental supplier standards. These standards grant the Company oversight of and visibility into the environmental practices of our suppliers, and the Company expects all suppliers to comply with them. Third-party risk assessments and audits further reinforce the Company’s commitment to sustainability in its raw material supply chains.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Company issued its most recent complete Sustainability Report in June 2025. The report uses the Global Reporting Initiative’s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2021 guidelines and is available in full at:</w:t>
      </w:r>
    </w:p>
    <w:p>
      <w:pPr>
        <w:spacing w:after="0"/>
        <w:rPr>
          <w:sz w:val="20"/>
          <w:szCs w:val="20"/>
          <w:color w:val="auto"/>
        </w:rPr>
      </w:pPr>
      <w:r>
        <w:rPr>
          <w:rFonts w:ascii="Times New Roman" w:cs="Times New Roman" w:eastAsia="Times New Roman" w:hAnsi="Times New Roman"/>
          <w:sz w:val="22"/>
          <w:szCs w:val="22"/>
          <w:b w:val="1"/>
          <w:bCs w:val="1"/>
          <w:u w:val="single" w:color="auto"/>
          <w:color w:val="29650B"/>
        </w:rPr>
        <w:t>www.crowncork.com/sustainability/reporting</w:t>
      </w:r>
      <w:r>
        <w:rPr>
          <w:rFonts w:ascii="Times New Roman" w:cs="Times New Roman" w:eastAsia="Times New Roman" w:hAnsi="Times New Roman"/>
          <w:sz w:val="22"/>
          <w:szCs w:val="22"/>
          <w:b w:val="1"/>
          <w:bCs w:val="1"/>
          <w:color w:val="000000"/>
        </w:rPr>
        <w: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This report detailed progress within the Company’s </w:t>
      </w:r>
      <w:r>
        <w:rPr>
          <w:rFonts w:ascii="Times New Roman" w:cs="Times New Roman" w:eastAsia="Times New Roman" w:hAnsi="Times New Roman"/>
          <w:sz w:val="22"/>
          <w:szCs w:val="22"/>
          <w:b w:val="1"/>
          <w:bCs w:val="1"/>
          <w:color w:val="auto"/>
        </w:rPr>
        <w:t>Twenty</w:t>
      </w: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b w:val="1"/>
          <w:bCs w:val="1"/>
          <w:color w:val="auto"/>
        </w:rPr>
        <w:t>30</w:t>
      </w:r>
      <w:r>
        <w:rPr>
          <w:rFonts w:ascii="Times New Roman" w:cs="Times New Roman" w:eastAsia="Times New Roman" w:hAnsi="Times New Roman"/>
          <w:sz w:val="22"/>
          <w:szCs w:val="22"/>
          <w:color w:val="auto"/>
        </w:rPr>
        <w:t xml:space="preserve"> program through 2024, which included the following:</w:t>
      </w:r>
    </w:p>
    <w:p>
      <w:pPr>
        <w:spacing w:after="0" w:line="98" w:lineRule="exact"/>
        <w:rPr>
          <w:sz w:val="20"/>
          <w:szCs w:val="20"/>
          <w:color w:val="auto"/>
        </w:rPr>
      </w:pPr>
    </w:p>
    <w:p>
      <w:pPr>
        <w:ind w:left="980" w:hanging="324"/>
        <w:spacing w:after="0"/>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Climate Action</w:t>
      </w:r>
    </w:p>
    <w:p>
      <w:pPr>
        <w:spacing w:after="0" w:line="102"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Reached goal of reducing absolute GHG emissions from our supply chain (Scope 3) by 16%.</w:t>
      </w:r>
    </w:p>
    <w:p>
      <w:pPr>
        <w:spacing w:after="0" w:line="13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1"/>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Reached goal of reducing Volatile Organic Compound (VOC) emissions by 10% per unit of product.</w:t>
      </w:r>
    </w:p>
    <w:p>
      <w:pPr>
        <w:spacing w:after="0" w:line="202" w:lineRule="exact"/>
        <w:rPr>
          <w:rFonts w:ascii="Times New Roman" w:cs="Times New Roman" w:eastAsia="Times New Roman" w:hAnsi="Times New Roman"/>
          <w:sz w:val="22"/>
          <w:szCs w:val="22"/>
          <w:color w:val="auto"/>
        </w:rPr>
      </w:pPr>
    </w:p>
    <w:p>
      <w:pPr>
        <w:ind w:left="980" w:hanging="324"/>
        <w:spacing w:after="0" w:line="262" w:lineRule="auto"/>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Resource Efficiency - </w:t>
      </w:r>
      <w:r>
        <w:rPr>
          <w:rFonts w:ascii="Times New Roman" w:cs="Times New Roman" w:eastAsia="Times New Roman" w:hAnsi="Times New Roman"/>
          <w:sz w:val="22"/>
          <w:szCs w:val="22"/>
          <w:color w:val="auto"/>
        </w:rPr>
        <w:t>Crown reduced its water consumption by 15% compared to its 2019 baseline, which is 75%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way toward its goal of reducing water usage 20%.</w:t>
      </w:r>
    </w:p>
    <w:p>
      <w:pPr>
        <w:spacing w:after="0" w:line="68" w:lineRule="exact"/>
        <w:rPr>
          <w:rFonts w:ascii="Times New Roman" w:cs="Times New Roman" w:eastAsia="Times New Roman" w:hAnsi="Times New Roman"/>
          <w:sz w:val="22"/>
          <w:szCs w:val="22"/>
          <w:color w:val="auto"/>
        </w:rPr>
      </w:pPr>
    </w:p>
    <w:p>
      <w:pPr>
        <w:ind w:left="980" w:hanging="324"/>
        <w:spacing w:after="0" w:line="262" w:lineRule="auto"/>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Optimum Circularity </w:t>
      </w:r>
      <w:r>
        <w:rPr>
          <w:rFonts w:ascii="Times New Roman" w:cs="Times New Roman" w:eastAsia="Times New Roman" w:hAnsi="Times New Roman"/>
          <w:sz w:val="22"/>
          <w:szCs w:val="22"/>
          <w:color w:val="auto"/>
        </w:rPr>
        <w:t>– Crown reduced the overall global average weight of its standard (12oz or 330ml) beverage cans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8%, which is 80% of the way toward the Company's goal of a 10% reduction by 2030.</w:t>
      </w:r>
    </w:p>
    <w:p>
      <w:pPr>
        <w:spacing w:after="0" w:line="149" w:lineRule="exact"/>
        <w:rPr>
          <w:rFonts w:ascii="Times New Roman" w:cs="Times New Roman" w:eastAsia="Times New Roman" w:hAnsi="Times New Roman"/>
          <w:sz w:val="22"/>
          <w:szCs w:val="22"/>
          <w:color w:val="auto"/>
        </w:rPr>
      </w:pPr>
    </w:p>
    <w:p>
      <w:pPr>
        <w:ind w:left="980" w:hanging="324"/>
        <w:spacing w:after="0" w:line="262" w:lineRule="auto"/>
        <w:tabs>
          <w:tab w:leader="none" w:pos="98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Working Together </w:t>
      </w:r>
      <w:r>
        <w:rPr>
          <w:rFonts w:ascii="Times New Roman" w:cs="Times New Roman" w:eastAsia="Times New Roman" w:hAnsi="Times New Roman"/>
          <w:sz w:val="22"/>
          <w:szCs w:val="22"/>
          <w:color w:val="auto"/>
        </w:rPr>
        <w:t>– Crown achieved an overall 7% reduction in its Total Recordable Incident Rate to move it 34% closer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its overall safety goal for employees.</w:t>
      </w:r>
    </w:p>
    <w:p>
      <w:pPr>
        <w:spacing w:after="0" w:line="149" w:lineRule="exact"/>
        <w:rPr>
          <w:rFonts w:ascii="Times New Roman" w:cs="Times New Roman" w:eastAsia="Times New Roman" w:hAnsi="Times New Roman"/>
          <w:sz w:val="22"/>
          <w:szCs w:val="22"/>
          <w:color w:val="auto"/>
        </w:rPr>
      </w:pPr>
    </w:p>
    <w:p>
      <w:pPr>
        <w:ind w:left="980" w:hanging="324"/>
        <w:spacing w:after="0" w:line="286" w:lineRule="auto"/>
        <w:tabs>
          <w:tab w:leader="none" w:pos="980" w:val="left"/>
        </w:tabs>
        <w:numPr>
          <w:ilvl w:val="0"/>
          <w:numId w:val="1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Never Compromise </w:t>
      </w:r>
      <w:r>
        <w:rPr>
          <w:rFonts w:ascii="Times New Roman" w:cs="Times New Roman" w:eastAsia="Times New Roman" w:hAnsi="Times New Roman"/>
          <w:sz w:val="21"/>
          <w:szCs w:val="21"/>
          <w:color w:val="auto"/>
        </w:rPr>
        <w:t>–Crown successfully validated nearly 100% of its core raw materials and service suppliers by spend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compliant with its Responsible and Ethical Sourcing policies and requirement, exceeding the 75% target for 2025.</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2025, the Company received recognition of its sustainability efforts from several sources, including:</w:t>
      </w:r>
    </w:p>
    <w:p>
      <w:pPr>
        <w:spacing w:after="0" w:line="202"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Earned a spot on America’s Best Employers 2025 (and again in 2026) by </w:t>
      </w:r>
      <w:r>
        <w:rPr>
          <w:rFonts w:ascii="Times New Roman" w:cs="Times New Roman" w:eastAsia="Times New Roman" w:hAnsi="Times New Roman"/>
          <w:sz w:val="22"/>
          <w:szCs w:val="22"/>
          <w:i w:val="1"/>
          <w:iCs w:val="1"/>
          <w:color w:val="auto"/>
        </w:rPr>
        <w:t>Forbes</w:t>
      </w:r>
    </w:p>
    <w:p>
      <w:pPr>
        <w:spacing w:after="0" w:line="18" w:lineRule="exact"/>
        <w:rPr>
          <w:rFonts w:ascii="Times New Roman" w:cs="Times New Roman" w:eastAsia="Times New Roman" w:hAnsi="Times New Roman"/>
          <w:sz w:val="22"/>
          <w:szCs w:val="22"/>
          <w:color w:val="auto"/>
        </w:rPr>
      </w:pP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Among </w:t>
      </w:r>
      <w:r>
        <w:rPr>
          <w:rFonts w:ascii="Times New Roman" w:cs="Times New Roman" w:eastAsia="Times New Roman" w:hAnsi="Times New Roman"/>
          <w:sz w:val="22"/>
          <w:szCs w:val="22"/>
          <w:i w:val="1"/>
          <w:iCs w:val="1"/>
          <w:color w:val="auto"/>
        </w:rPr>
        <w:t>Forbes</w:t>
      </w:r>
      <w:r>
        <w:rPr>
          <w:rFonts w:ascii="Times New Roman" w:cs="Times New Roman" w:eastAsia="Times New Roman" w:hAnsi="Times New Roman"/>
          <w:sz w:val="22"/>
          <w:szCs w:val="22"/>
          <w:color w:val="auto"/>
        </w:rPr>
        <w:t>’ Net Zero Leaders 2025</w:t>
      </w: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a gold award at the Global ESG Awards in Dubai in 2025</w:t>
      </w:r>
    </w:p>
    <w:p>
      <w:pPr>
        <w:ind w:left="660" w:hanging="328"/>
        <w:spacing w:after="0" w:line="230" w:lineRule="auto"/>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Recognized again within America’s Most Responsible Companies 2025 by </w:t>
      </w:r>
      <w:r>
        <w:rPr>
          <w:rFonts w:ascii="Times New Roman" w:cs="Times New Roman" w:eastAsia="Times New Roman" w:hAnsi="Times New Roman"/>
          <w:sz w:val="22"/>
          <w:szCs w:val="22"/>
          <w:i w:val="1"/>
          <w:iCs w:val="1"/>
          <w:color w:val="auto"/>
        </w:rPr>
        <w:t>Newsweek</w:t>
      </w:r>
    </w:p>
    <w:p>
      <w:pPr>
        <w:ind w:left="660" w:hanging="328"/>
        <w:spacing w:after="0"/>
        <w:tabs>
          <w:tab w:leader="none" w:pos="66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Received the Outstanding Supplier Award at TCP Group’s Sustainability Forum 2025</w:t>
      </w:r>
    </w:p>
    <w:p>
      <w:pPr>
        <w:spacing w:after="0" w:line="209"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Company’s next Sustainability Report will be issued in 2026 and will use the Global Reporting Initiative’s 2021 guidelines, which are effective for reports or other materials published on or after January 1, 2023. As with any material risk to the Company, Crown closely manages risks and opportunities that climate change and the transition to a low-carbon economy could create for the Company.</w:t>
      </w:r>
    </w:p>
    <w:p>
      <w:pPr>
        <w:spacing w:after="0" w:line="31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57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9"/>
          <w:szCs w:val="29"/>
          <w:b w:val="1"/>
          <w:bCs w:val="1"/>
          <w:color w:val="29650B"/>
        </w:rPr>
        <w:t>Information Security</w:t>
      </w:r>
    </w:p>
    <w:p>
      <w:pPr>
        <w:spacing w:after="0" w:line="25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 places a high priority on securing its confidential business information, as well as the confidential business information and personal information that we receive from and store about our business partners and employees.</w:t>
      </w:r>
    </w:p>
    <w:p>
      <w:pPr>
        <w:spacing w:after="0" w:line="185"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The Company has resources in place to prevent, protect against, detect, respond to and recover from information security incidents. The Company has information security compliance procedures in place to manage information security risk and conducts frequent security awareness training for all Company employees. This program provides training and testing at least annually on information security. To respond to the threat of security breaches and cyberattacks, the Company maintains a program, overseen by the Company’s Chief Information Security Officer (“CISO”), that is designed to protect and preserve the confidentiality, integrity and continued availability of all information owned or controlled by the Company. This program also includes a cyber incident response plan that provides controls and procedures for timely and accurate reporting of any material information security incident. The Company undergoes annual third-party security testing to gain an independent view of the strength of our information security defenses and audits its information technology and security compliance procedures annually in order to comply with the requirements of the Sarbanes Oxley Act. Third party security consultants engaged by the Company for this purpose are best-in-class industry leaders in the information security industry that use standard cyber security frameworks such as NIST Cyber Security Framework and ISO 27001 standards. The Company also maintains an information security risk insurance policy.</w:t>
      </w:r>
    </w:p>
    <w:p>
      <w:pPr>
        <w:spacing w:after="0" w:line="20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Board, the Audit Committee and Company management share top-level responsibility for management of information security risk. Day-to-day oversight rests with the Company’s CISO, who reports to the Company’s Chief Financial Officer. The Audit Committee, which is tasked with oversight of certain risk issues, including information security risk, receives two to four reports annually from the Company’s senior leadership, including the CISO, that includes an information security dashboard and discussion of emerging risks and trends. The Audit Committee then briefs the Board on these matters. The full Board receives a presentation, usually annually, from the Company’s senior leadership on information security matters. The Company has conducted training programs for Board members to enhance our Directors’ literacy on information security issues.</w:t>
      </w:r>
    </w:p>
    <w:p>
      <w:pPr>
        <w:spacing w:after="0" w:line="200" w:lineRule="exact"/>
        <w:rPr>
          <w:sz w:val="20"/>
          <w:szCs w:val="20"/>
          <w:color w:val="auto"/>
        </w:rPr>
      </w:pPr>
    </w:p>
    <w:p>
      <w:pPr>
        <w:spacing w:after="0" w:line="34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560"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9"/>
          <w:szCs w:val="29"/>
          <w:b w:val="1"/>
          <w:bCs w:val="1"/>
          <w:color w:val="29650B"/>
        </w:rPr>
        <w:t>Proposal 2 – Ratification of Appointment of Independent Auditors</w:t>
      </w:r>
    </w:p>
    <w:p>
      <w:pPr>
        <w:spacing w:after="0" w:line="200" w:lineRule="exact"/>
        <w:rPr>
          <w:sz w:val="20"/>
          <w:szCs w:val="20"/>
          <w:color w:val="auto"/>
        </w:rPr>
      </w:pPr>
    </w:p>
    <w:p>
      <w:pPr>
        <w:spacing w:after="0" w:line="2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As a matter of good corporate governance, the Company asks its Shareholders to ratify the selection by the Audit Committee of PricewaterhouseCoopers LLP (“PwC”) as the Company’s independent auditors for 2026. The following table summarizes the fees PwC billed to the Company for 2025.</w:t>
      </w:r>
    </w:p>
    <w:p>
      <w:pPr>
        <w:spacing w:after="0" w:line="289" w:lineRule="exact"/>
        <w:rPr>
          <w:sz w:val="20"/>
          <w:szCs w:val="20"/>
          <w:color w:val="auto"/>
        </w:rPr>
      </w:pPr>
    </w:p>
    <w:tbl>
      <w:tblPr>
        <w:tblLayout w:type="fixed"/>
        <w:tblInd w:w="1430" w:type="dxa"/>
        <w:tblCellMar>
          <w:top w:w="0" w:type="dxa"/>
          <w:left w:w="0" w:type="dxa"/>
          <w:bottom w:w="0" w:type="dxa"/>
          <w:right w:w="0" w:type="dxa"/>
        </w:tblCellMar>
      </w:tblPr>
      <w:tr>
        <w:trPr>
          <w:trHeight w:val="257"/>
        </w:trPr>
        <w:tc>
          <w:tcPr>
            <w:tcW w:w="1540" w:type="dxa"/>
            <w:vAlign w:val="bottom"/>
            <w:tcBorders>
              <w:top w:val="single" w:sz="8" w:color="auto"/>
              <w:left w:val="single" w:sz="8" w:color="auto"/>
              <w:bottom w:val="single" w:sz="8" w:color="auto"/>
              <w:right w:val="single" w:sz="8" w:color="auto"/>
            </w:tcBorders>
            <w:shd w:val="clear" w:color="auto" w:fill="29650B"/>
          </w:tcPr>
          <w:p>
            <w:pPr>
              <w:jc w:val="right"/>
              <w:ind w:right="172"/>
              <w:spacing w:after="0"/>
              <w:rPr>
                <w:sz w:val="20"/>
                <w:szCs w:val="20"/>
                <w:color w:val="auto"/>
              </w:rPr>
            </w:pPr>
            <w:r>
              <w:rPr>
                <w:rFonts w:ascii="Times New Roman" w:cs="Times New Roman" w:eastAsia="Times New Roman" w:hAnsi="Times New Roman"/>
                <w:sz w:val="22"/>
                <w:szCs w:val="22"/>
                <w:b w:val="1"/>
                <w:bCs w:val="1"/>
                <w:color w:val="FFFFFF"/>
              </w:rPr>
              <w:t>Audit Fees</w:t>
            </w:r>
          </w:p>
        </w:tc>
        <w:tc>
          <w:tcPr>
            <w:tcW w:w="2360" w:type="dxa"/>
            <w:vAlign w:val="bottom"/>
            <w:tcBorders>
              <w:top w:val="single" w:sz="8" w:color="auto"/>
              <w:bottom w:val="single" w:sz="8" w:color="auto"/>
              <w:right w:val="single" w:sz="8" w:color="auto"/>
            </w:tcBorders>
            <w:shd w:val="clear" w:color="auto" w:fill="29650B"/>
          </w:tcPr>
          <w:p>
            <w:pPr>
              <w:jc w:val="right"/>
              <w:ind w:right="192"/>
              <w:spacing w:after="0"/>
              <w:rPr>
                <w:sz w:val="20"/>
                <w:szCs w:val="20"/>
                <w:color w:val="auto"/>
              </w:rPr>
            </w:pPr>
            <w:r>
              <w:rPr>
                <w:rFonts w:ascii="Times New Roman" w:cs="Times New Roman" w:eastAsia="Times New Roman" w:hAnsi="Times New Roman"/>
                <w:sz w:val="22"/>
                <w:szCs w:val="22"/>
                <w:b w:val="1"/>
                <w:bCs w:val="1"/>
                <w:color w:val="FFFFFF"/>
              </w:rPr>
              <w:t>Audit-Related Fees</w:t>
            </w:r>
          </w:p>
        </w:tc>
        <w:tc>
          <w:tcPr>
            <w:tcW w:w="2760" w:type="dxa"/>
            <w:vAlign w:val="bottom"/>
            <w:tcBorders>
              <w:top w:val="single" w:sz="8" w:color="auto"/>
              <w:bottom w:val="single" w:sz="8" w:color="auto"/>
              <w:right w:val="single" w:sz="8" w:color="auto"/>
            </w:tcBorders>
            <w:shd w:val="clear" w:color="auto" w:fill="29650B"/>
          </w:tcPr>
          <w:p>
            <w:pPr>
              <w:jc w:val="right"/>
              <w:ind w:right="492"/>
              <w:spacing w:after="0"/>
              <w:rPr>
                <w:sz w:val="20"/>
                <w:szCs w:val="20"/>
                <w:color w:val="auto"/>
              </w:rPr>
            </w:pPr>
            <w:r>
              <w:rPr>
                <w:rFonts w:ascii="Times New Roman" w:cs="Times New Roman" w:eastAsia="Times New Roman" w:hAnsi="Times New Roman"/>
                <w:sz w:val="22"/>
                <w:szCs w:val="22"/>
                <w:b w:val="1"/>
                <w:bCs w:val="1"/>
                <w:color w:val="FFFFFF"/>
              </w:rPr>
              <w:t>Tax-Related Fees</w:t>
            </w:r>
          </w:p>
        </w:tc>
        <w:tc>
          <w:tcPr>
            <w:tcW w:w="1760" w:type="dxa"/>
            <w:vAlign w:val="bottom"/>
            <w:tcBorders>
              <w:top w:val="single" w:sz="8" w:color="auto"/>
              <w:bottom w:val="single" w:sz="8" w:color="auto"/>
              <w:right w:val="single" w:sz="8" w:color="auto"/>
            </w:tcBorders>
            <w:shd w:val="clear" w:color="auto" w:fill="29650B"/>
          </w:tcPr>
          <w:p>
            <w:pPr>
              <w:jc w:val="right"/>
              <w:ind w:right="112"/>
              <w:spacing w:after="0"/>
              <w:rPr>
                <w:sz w:val="20"/>
                <w:szCs w:val="20"/>
                <w:color w:val="auto"/>
              </w:rPr>
            </w:pPr>
            <w:r>
              <w:rPr>
                <w:rFonts w:ascii="Times New Roman" w:cs="Times New Roman" w:eastAsia="Times New Roman" w:hAnsi="Times New Roman"/>
                <w:sz w:val="22"/>
                <w:szCs w:val="22"/>
                <w:b w:val="1"/>
                <w:bCs w:val="1"/>
                <w:color w:val="FFFFFF"/>
              </w:rPr>
              <w:t>All Other Fees</w:t>
            </w:r>
          </w:p>
        </w:tc>
      </w:tr>
      <w:tr>
        <w:trPr>
          <w:trHeight w:val="237"/>
        </w:trPr>
        <w:tc>
          <w:tcPr>
            <w:tcW w:w="1540" w:type="dxa"/>
            <w:vAlign w:val="bottom"/>
            <w:tcBorders>
              <w:left w:val="single" w:sz="8" w:color="auto"/>
              <w:bottom w:val="single" w:sz="8" w:color="auto"/>
              <w:right w:val="single" w:sz="8" w:color="auto"/>
            </w:tcBorders>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$9,168,000</w:t>
            </w:r>
          </w:p>
        </w:tc>
        <w:tc>
          <w:tcPr>
            <w:tcW w:w="2360" w:type="dxa"/>
            <w:vAlign w:val="bottom"/>
            <w:tcBorders>
              <w:bottom w:val="single" w:sz="8" w:color="auto"/>
              <w:right w:val="single" w:sz="8" w:color="auto"/>
            </w:tcBorders>
          </w:tcPr>
          <w:p>
            <w:pPr>
              <w:jc w:val="right"/>
              <w:ind w:right="752"/>
              <w:spacing w:after="0" w:line="237" w:lineRule="exact"/>
              <w:rPr>
                <w:sz w:val="20"/>
                <w:szCs w:val="20"/>
                <w:color w:val="auto"/>
              </w:rPr>
            </w:pPr>
            <w:r>
              <w:rPr>
                <w:rFonts w:ascii="Times New Roman" w:cs="Times New Roman" w:eastAsia="Times New Roman" w:hAnsi="Times New Roman"/>
                <w:sz w:val="22"/>
                <w:szCs w:val="22"/>
                <w:color w:val="auto"/>
              </w:rPr>
              <w:t>$430,000</w:t>
            </w:r>
          </w:p>
        </w:tc>
        <w:tc>
          <w:tcPr>
            <w:tcW w:w="2760" w:type="dxa"/>
            <w:vAlign w:val="bottom"/>
            <w:tcBorders>
              <w:bottom w:val="single" w:sz="8" w:color="auto"/>
              <w:right w:val="single" w:sz="8" w:color="auto"/>
            </w:tcBorders>
          </w:tcPr>
          <w:p>
            <w:pPr>
              <w:jc w:val="right"/>
              <w:ind w:right="852"/>
              <w:spacing w:after="0" w:line="237" w:lineRule="exact"/>
              <w:rPr>
                <w:sz w:val="20"/>
                <w:szCs w:val="20"/>
                <w:color w:val="auto"/>
              </w:rPr>
            </w:pPr>
            <w:r>
              <w:rPr>
                <w:rFonts w:ascii="Times New Roman" w:cs="Times New Roman" w:eastAsia="Times New Roman" w:hAnsi="Times New Roman"/>
                <w:sz w:val="22"/>
                <w:szCs w:val="22"/>
                <w:color w:val="auto"/>
              </w:rPr>
              <w:t>$1,010,000</w:t>
            </w:r>
          </w:p>
        </w:tc>
        <w:tc>
          <w:tcPr>
            <w:tcW w:w="1760" w:type="dxa"/>
            <w:vAlign w:val="bottom"/>
            <w:tcBorders>
              <w:bottom w:val="single" w:sz="8" w:color="auto"/>
              <w:right w:val="single" w:sz="8" w:color="auto"/>
            </w:tcBorders>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$15,000</w:t>
            </w:r>
          </w:p>
        </w:tc>
      </w:tr>
    </w:tbl>
    <w:p>
      <w:pPr>
        <w:spacing w:after="0" w:line="29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Additional information in the section titled “Principal Accountant Fees and Services” and the Audit Committee Report may be found on pages 70 and 71.</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9"/>
          <w:szCs w:val="29"/>
          <w:b w:val="1"/>
          <w:bCs w:val="1"/>
          <w:color w:val="29650B"/>
        </w:rPr>
        <w:t>Proposal 3 – Advisory Vote to Approve Executive Compensation</w:t>
      </w:r>
    </w:p>
    <w:p>
      <w:pPr>
        <w:spacing w:after="0" w:line="19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At the 2025 Annual Meeting, the Say-on-Pay resolution with respect to Named Executive Officer (“NEO”) compensation received a favorable vote of approximately 92%. Accordingly, the general approach to the compensation of our NEOs, including the Chief Executive Officer (“CEO”), remained largely unchanged. See the Compensation Discussion and Analysis (“CD&amp;A”) section that begins on page 34. Below is a summary of the CEO’s compensation for 2023, 2024 and 2025. Compensation for Mr. Donahue and the other NEOs is more fully described in the Summary Compensation Table on page 52.</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240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660" w:type="dxa"/>
            <w:vAlign w:val="bottom"/>
            <w:tcBorders>
              <w:top w:val="single" w:sz="8" w:color="auto"/>
              <w:right w:val="single" w:sz="8" w:color="auto"/>
            </w:tcBorders>
            <w:shd w:val="clear" w:color="auto" w:fill="29650B"/>
          </w:tcPr>
          <w:p>
            <w:pPr>
              <w:spacing w:after="0"/>
              <w:rPr>
                <w:sz w:val="18"/>
                <w:szCs w:val="18"/>
                <w:color w:val="auto"/>
              </w:rPr>
            </w:pPr>
          </w:p>
        </w:tc>
        <w:tc>
          <w:tcPr>
            <w:tcW w:w="1120" w:type="dxa"/>
            <w:vAlign w:val="bottom"/>
            <w:tcBorders>
              <w:top w:val="single" w:sz="8" w:color="auto"/>
              <w:right w:val="single" w:sz="8" w:color="auto"/>
            </w:tcBorders>
            <w:shd w:val="clear" w:color="auto" w:fill="29650B"/>
          </w:tcPr>
          <w:p>
            <w:pPr>
              <w:spacing w:after="0"/>
              <w:rPr>
                <w:sz w:val="18"/>
                <w:szCs w:val="18"/>
                <w:color w:val="auto"/>
              </w:rPr>
            </w:pP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Grant Date</w:t>
            </w:r>
          </w:p>
        </w:tc>
        <w:tc>
          <w:tcPr>
            <w:tcW w:w="1440" w:type="dxa"/>
            <w:vAlign w:val="bottom"/>
            <w:tcBorders>
              <w:top w:val="single" w:sz="8" w:color="auto"/>
              <w:right w:val="single" w:sz="8" w:color="auto"/>
            </w:tcBorders>
            <w:shd w:val="clear" w:color="auto" w:fill="29650B"/>
          </w:tcPr>
          <w:p>
            <w:pPr>
              <w:spacing w:after="0"/>
              <w:rPr>
                <w:sz w:val="18"/>
                <w:szCs w:val="18"/>
                <w:color w:val="auto"/>
              </w:rPr>
            </w:pPr>
          </w:p>
        </w:tc>
        <w:tc>
          <w:tcPr>
            <w:tcW w:w="1140" w:type="dxa"/>
            <w:vAlign w:val="bottom"/>
            <w:tcBorders>
              <w:top w:val="single" w:sz="8" w:color="auto"/>
              <w:right w:val="single" w:sz="8" w:color="auto"/>
            </w:tcBorders>
            <w:shd w:val="clear" w:color="auto" w:fill="29650B"/>
          </w:tcPr>
          <w:p>
            <w:pPr>
              <w:spacing w:after="0"/>
              <w:rPr>
                <w:sz w:val="18"/>
                <w:szCs w:val="18"/>
                <w:color w:val="auto"/>
              </w:rPr>
            </w:pPr>
          </w:p>
        </w:tc>
        <w:tc>
          <w:tcPr>
            <w:tcW w:w="1440" w:type="dxa"/>
            <w:vAlign w:val="bottom"/>
            <w:tcBorders>
              <w:top w:val="single" w:sz="8" w:color="auto"/>
              <w:right w:val="single" w:sz="8" w:color="auto"/>
            </w:tcBorders>
            <w:shd w:val="clear" w:color="auto" w:fill="29650B"/>
          </w:tcPr>
          <w:p>
            <w:pPr>
              <w:spacing w:after="0"/>
              <w:rPr>
                <w:sz w:val="18"/>
                <w:szCs w:val="18"/>
                <w:color w:val="auto"/>
              </w:rPr>
            </w:pPr>
          </w:p>
        </w:tc>
        <w:tc>
          <w:tcPr>
            <w:tcW w:w="1460" w:type="dxa"/>
            <w:vAlign w:val="bottom"/>
            <w:tcBorders>
              <w:top w:val="single" w:sz="8" w:color="auto"/>
              <w:right w:val="single" w:sz="8" w:color="auto"/>
            </w:tcBorders>
            <w:shd w:val="clear" w:color="auto" w:fill="29650B"/>
          </w:tcPr>
          <w:p>
            <w:pPr>
              <w:spacing w:after="0"/>
              <w:rPr>
                <w:sz w:val="18"/>
                <w:szCs w:val="18"/>
                <w:color w:val="auto"/>
              </w:rPr>
            </w:pPr>
          </w:p>
        </w:tc>
      </w:tr>
      <w:tr>
        <w:trPr>
          <w:trHeight w:val="216"/>
        </w:trPr>
        <w:tc>
          <w:tcPr>
            <w:tcW w:w="240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Projected Value</w:t>
            </w:r>
          </w:p>
        </w:tc>
        <w:tc>
          <w:tcPr>
            <w:tcW w:w="1440" w:type="dxa"/>
            <w:vAlign w:val="bottom"/>
            <w:tcBorders>
              <w:right w:val="single" w:sz="8" w:color="auto"/>
            </w:tcBorders>
            <w:shd w:val="clear" w:color="auto" w:fill="29650B"/>
          </w:tcPr>
          <w:p>
            <w:pPr>
              <w:spacing w:after="0"/>
              <w:rPr>
                <w:sz w:val="18"/>
                <w:szCs w:val="18"/>
                <w:color w:val="auto"/>
              </w:rPr>
            </w:pPr>
          </w:p>
        </w:tc>
        <w:tc>
          <w:tcPr>
            <w:tcW w:w="114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r>
      <w:tr>
        <w:trPr>
          <w:trHeight w:val="216"/>
        </w:trPr>
        <w:tc>
          <w:tcPr>
            <w:tcW w:w="240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of Unvested</w:t>
            </w:r>
          </w:p>
        </w:tc>
        <w:tc>
          <w:tcPr>
            <w:tcW w:w="1440" w:type="dxa"/>
            <w:vAlign w:val="bottom"/>
            <w:tcBorders>
              <w:right w:val="single" w:sz="8" w:color="auto"/>
            </w:tcBorders>
            <w:shd w:val="clear" w:color="auto" w:fill="29650B"/>
          </w:tcPr>
          <w:p>
            <w:pPr>
              <w:jc w:val="right"/>
              <w:ind w:right="190"/>
              <w:spacing w:after="0"/>
              <w:rPr>
                <w:sz w:val="20"/>
                <w:szCs w:val="20"/>
                <w:color w:val="auto"/>
              </w:rPr>
            </w:pPr>
            <w:r>
              <w:rPr>
                <w:rFonts w:ascii="Times New Roman" w:cs="Times New Roman" w:eastAsia="Times New Roman" w:hAnsi="Times New Roman"/>
                <w:sz w:val="18"/>
                <w:szCs w:val="18"/>
                <w:b w:val="1"/>
                <w:bCs w:val="1"/>
                <w:color w:val="FFFFFF"/>
              </w:rPr>
              <w:t>Non-Equity</w:t>
            </w:r>
          </w:p>
        </w:tc>
        <w:tc>
          <w:tcPr>
            <w:tcW w:w="11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Change in</w:t>
            </w:r>
          </w:p>
        </w:tc>
        <w:tc>
          <w:tcPr>
            <w:tcW w:w="144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shd w:val="clear" w:color="auto" w:fill="29650B"/>
          </w:tcPr>
          <w:p>
            <w:pPr>
              <w:spacing w:after="0"/>
              <w:rPr>
                <w:sz w:val="18"/>
                <w:szCs w:val="18"/>
                <w:color w:val="auto"/>
              </w:rPr>
            </w:pPr>
          </w:p>
        </w:tc>
      </w:tr>
      <w:tr>
        <w:trPr>
          <w:trHeight w:val="216"/>
        </w:trPr>
        <w:tc>
          <w:tcPr>
            <w:tcW w:w="2400" w:type="dxa"/>
            <w:vAlign w:val="bottom"/>
            <w:tcBorders>
              <w:left w:val="single" w:sz="8" w:color="auto"/>
              <w:right w:val="single" w:sz="8" w:color="auto"/>
            </w:tcBorders>
            <w:shd w:val="clear" w:color="auto" w:fill="29650B"/>
          </w:tcPr>
          <w:p>
            <w:pPr>
              <w:spacing w:after="0"/>
              <w:rPr>
                <w:sz w:val="18"/>
                <w:szCs w:val="18"/>
                <w:color w:val="auto"/>
              </w:rPr>
            </w:pPr>
          </w:p>
        </w:tc>
        <w:tc>
          <w:tcPr>
            <w:tcW w:w="660" w:type="dxa"/>
            <w:vAlign w:val="bottom"/>
            <w:tcBorders>
              <w:right w:val="single" w:sz="8" w:color="auto"/>
            </w:tcBorders>
            <w:shd w:val="clear" w:color="auto" w:fill="29650B"/>
          </w:tcPr>
          <w:p>
            <w:pPr>
              <w:spacing w:after="0"/>
              <w:rPr>
                <w:sz w:val="18"/>
                <w:szCs w:val="18"/>
                <w:color w:val="auto"/>
              </w:rPr>
            </w:pPr>
          </w:p>
        </w:tc>
        <w:tc>
          <w:tcPr>
            <w:tcW w:w="112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Restricted</w:t>
            </w:r>
          </w:p>
        </w:tc>
        <w:tc>
          <w:tcPr>
            <w:tcW w:w="1440" w:type="dxa"/>
            <w:vAlign w:val="bottom"/>
            <w:tcBorders>
              <w:right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Incentive Plan</w:t>
            </w:r>
          </w:p>
        </w:tc>
        <w:tc>
          <w:tcPr>
            <w:tcW w:w="11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Pension</w:t>
            </w:r>
          </w:p>
        </w:tc>
        <w:tc>
          <w:tcPr>
            <w:tcW w:w="1440" w:type="dxa"/>
            <w:vAlign w:val="bottom"/>
            <w:tcBorders>
              <w:right w:val="single" w:sz="8" w:color="auto"/>
            </w:tcBorders>
            <w:shd w:val="clear" w:color="auto" w:fill="29650B"/>
          </w:tcPr>
          <w:p>
            <w:pPr>
              <w:jc w:val="right"/>
              <w:ind w:right="271"/>
              <w:spacing w:after="0"/>
              <w:rPr>
                <w:sz w:val="20"/>
                <w:szCs w:val="20"/>
                <w:color w:val="auto"/>
              </w:rPr>
            </w:pPr>
            <w:r>
              <w:rPr>
                <w:rFonts w:ascii="Times New Roman" w:cs="Times New Roman" w:eastAsia="Times New Roman" w:hAnsi="Times New Roman"/>
                <w:sz w:val="18"/>
                <w:szCs w:val="18"/>
                <w:b w:val="1"/>
                <w:bCs w:val="1"/>
                <w:color w:val="FFFFFF"/>
              </w:rPr>
              <w:t>All Other</w:t>
            </w:r>
          </w:p>
        </w:tc>
        <w:tc>
          <w:tcPr>
            <w:tcW w:w="1460" w:type="dxa"/>
            <w:vAlign w:val="bottom"/>
            <w:tcBorders>
              <w:right w:val="single" w:sz="8" w:color="auto"/>
            </w:tcBorders>
            <w:shd w:val="clear" w:color="auto" w:fill="29650B"/>
          </w:tcPr>
          <w:p>
            <w:pPr>
              <w:jc w:val="right"/>
              <w:ind w:right="451"/>
              <w:spacing w:after="0"/>
              <w:rPr>
                <w:sz w:val="20"/>
                <w:szCs w:val="20"/>
                <w:color w:val="auto"/>
              </w:rPr>
            </w:pPr>
            <w:r>
              <w:rPr>
                <w:rFonts w:ascii="Times New Roman" w:cs="Times New Roman" w:eastAsia="Times New Roman" w:hAnsi="Times New Roman"/>
                <w:sz w:val="18"/>
                <w:szCs w:val="18"/>
                <w:b w:val="1"/>
                <w:bCs w:val="1"/>
                <w:color w:val="FFFFFF"/>
              </w:rPr>
              <w:t>Total</w:t>
            </w:r>
          </w:p>
        </w:tc>
      </w:tr>
      <w:tr>
        <w:trPr>
          <w:trHeight w:val="238"/>
        </w:trPr>
        <w:tc>
          <w:tcPr>
            <w:tcW w:w="2400" w:type="dxa"/>
            <w:vAlign w:val="bottom"/>
            <w:tcBorders>
              <w:left w:val="single" w:sz="8" w:color="auto"/>
              <w:bottom w:val="single" w:sz="8" w:color="auto"/>
              <w:right w:val="single" w:sz="8" w:color="auto"/>
            </w:tcBorders>
            <w:shd w:val="clear" w:color="auto" w:fill="29650B"/>
          </w:tcPr>
          <w:p>
            <w:pPr>
              <w:ind w:left="120"/>
              <w:spacing w:after="0"/>
              <w:rPr>
                <w:sz w:val="20"/>
                <w:szCs w:val="20"/>
                <w:color w:val="auto"/>
              </w:rPr>
            </w:pPr>
            <w:r>
              <w:rPr>
                <w:rFonts w:ascii="Times New Roman" w:cs="Times New Roman" w:eastAsia="Times New Roman" w:hAnsi="Times New Roman"/>
                <w:sz w:val="18"/>
                <w:szCs w:val="18"/>
                <w:b w:val="1"/>
                <w:bCs w:val="1"/>
                <w:color w:val="FFFFFF"/>
              </w:rPr>
              <w:t>Name and Position</w:t>
            </w:r>
          </w:p>
        </w:tc>
        <w:tc>
          <w:tcPr>
            <w:tcW w:w="660" w:type="dxa"/>
            <w:vAlign w:val="bottom"/>
            <w:tcBorders>
              <w:bottom w:val="single" w:sz="8" w:color="auto"/>
              <w:right w:val="single" w:sz="8" w:color="auto"/>
            </w:tcBorders>
            <w:shd w:val="clear" w:color="auto" w:fill="29650B"/>
          </w:tcPr>
          <w:p>
            <w:pPr>
              <w:ind w:left="140"/>
              <w:spacing w:after="0"/>
              <w:rPr>
                <w:sz w:val="20"/>
                <w:szCs w:val="20"/>
                <w:color w:val="auto"/>
              </w:rPr>
            </w:pPr>
            <w:r>
              <w:rPr>
                <w:rFonts w:ascii="Times New Roman" w:cs="Times New Roman" w:eastAsia="Times New Roman" w:hAnsi="Times New Roman"/>
                <w:sz w:val="18"/>
                <w:szCs w:val="18"/>
                <w:b w:val="1"/>
                <w:bCs w:val="1"/>
                <w:color w:val="FFFFFF"/>
              </w:rPr>
              <w:t>Year</w:t>
            </w:r>
          </w:p>
        </w:tc>
        <w:tc>
          <w:tcPr>
            <w:tcW w:w="1120" w:type="dxa"/>
            <w:vAlign w:val="bottom"/>
            <w:tcBorders>
              <w:bottom w:val="single" w:sz="8" w:color="auto"/>
              <w:right w:val="single" w:sz="8" w:color="auto"/>
            </w:tcBorders>
            <w:shd w:val="clear" w:color="auto" w:fill="29650B"/>
          </w:tcPr>
          <w:p>
            <w:pPr>
              <w:jc w:val="right"/>
              <w:ind w:right="230"/>
              <w:spacing w:after="0"/>
              <w:rPr>
                <w:sz w:val="20"/>
                <w:szCs w:val="20"/>
                <w:color w:val="auto"/>
              </w:rPr>
            </w:pPr>
            <w:r>
              <w:rPr>
                <w:rFonts w:ascii="Times New Roman" w:cs="Times New Roman" w:eastAsia="Times New Roman" w:hAnsi="Times New Roman"/>
                <w:sz w:val="18"/>
                <w:szCs w:val="18"/>
                <w:b w:val="1"/>
                <w:bCs w:val="1"/>
                <w:color w:val="FFFFFF"/>
              </w:rPr>
              <w:t>Salary</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Stock Awards</w:t>
            </w:r>
          </w:p>
        </w:tc>
        <w:tc>
          <w:tcPr>
            <w:tcW w:w="1440" w:type="dxa"/>
            <w:vAlign w:val="bottom"/>
            <w:tcBorders>
              <w:bottom w:val="single" w:sz="8" w:color="auto"/>
              <w:right w:val="single" w:sz="8" w:color="auto"/>
            </w:tcBorders>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1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7"/>
              </w:rPr>
              <w:t>Value</w:t>
            </w:r>
          </w:p>
        </w:tc>
        <w:tc>
          <w:tcPr>
            <w:tcW w:w="1440" w:type="dxa"/>
            <w:vAlign w:val="bottom"/>
            <w:tcBorders>
              <w:bottom w:val="single" w:sz="8" w:color="auto"/>
              <w:right w:val="single" w:sz="8" w:color="auto"/>
            </w:tcBorders>
            <w:shd w:val="clear" w:color="auto" w:fill="29650B"/>
          </w:tcPr>
          <w:p>
            <w:pPr>
              <w:jc w:val="right"/>
              <w:ind w:right="91"/>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460" w:type="dxa"/>
            <w:vAlign w:val="bottom"/>
            <w:tcBorders>
              <w:bottom w:val="single" w:sz="8" w:color="auto"/>
              <w:right w:val="single" w:sz="8" w:color="auto"/>
            </w:tcBorders>
            <w:shd w:val="clear" w:color="auto" w:fill="29650B"/>
          </w:tcPr>
          <w:p>
            <w:pPr>
              <w:jc w:val="right"/>
              <w:ind w:right="91"/>
              <w:spacing w:after="0"/>
              <w:rPr>
                <w:sz w:val="20"/>
                <w:szCs w:val="20"/>
                <w:color w:val="auto"/>
              </w:rPr>
            </w:pPr>
            <w:r>
              <w:rPr>
                <w:rFonts w:ascii="Times New Roman" w:cs="Times New Roman" w:eastAsia="Times New Roman" w:hAnsi="Times New Roman"/>
                <w:sz w:val="18"/>
                <w:szCs w:val="18"/>
                <w:b w:val="1"/>
                <w:bCs w:val="1"/>
                <w:color w:val="FFFFFF"/>
              </w:rPr>
              <w:t>Compensation</w:t>
            </w:r>
          </w:p>
        </w:tc>
      </w:tr>
      <w:tr>
        <w:trPr>
          <w:trHeight w:val="264"/>
        </w:trPr>
        <w:tc>
          <w:tcPr>
            <w:tcW w:w="24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6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2025</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$1,450,000</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$8,627,475</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$4,205,000</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$3,158,490</w:t>
            </w:r>
          </w:p>
        </w:tc>
        <w:tc>
          <w:tcPr>
            <w:tcW w:w="144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$60,398</w:t>
            </w:r>
          </w:p>
        </w:tc>
        <w:tc>
          <w:tcPr>
            <w:tcW w:w="1460" w:type="dxa"/>
            <w:vAlign w:val="bottom"/>
            <w:tcBorders>
              <w:bottom w:val="single" w:sz="8" w:color="auto"/>
              <w:right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$17,501,363</w:t>
            </w:r>
          </w:p>
        </w:tc>
      </w:tr>
      <w:tr>
        <w:trPr>
          <w:trHeight w:val="263"/>
        </w:trPr>
        <w:tc>
          <w:tcPr>
            <w:tcW w:w="2400" w:type="dxa"/>
            <w:vAlign w:val="bottom"/>
            <w:tcBorders>
              <w:left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President and Chief</w:t>
            </w:r>
          </w:p>
        </w:tc>
        <w:tc>
          <w:tcPr>
            <w:tcW w:w="6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2024</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1,425,000</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7,979,960</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4,132,500</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8"/>
                <w:szCs w:val="18"/>
                <w:color w:val="auto"/>
              </w:rPr>
              <w:t>80,690</w:t>
            </w:r>
          </w:p>
        </w:tc>
        <w:tc>
          <w:tcPr>
            <w:tcW w:w="1460" w:type="dxa"/>
            <w:vAlign w:val="bottom"/>
            <w:tcBorders>
              <w:bottom w:val="single" w:sz="8" w:color="auto"/>
              <w:right w:val="single" w:sz="8" w:color="auto"/>
            </w:tcBorders>
          </w:tcPr>
          <w:p>
            <w:pPr>
              <w:jc w:val="right"/>
              <w:ind w:right="151"/>
              <w:spacing w:after="0"/>
              <w:rPr>
                <w:sz w:val="20"/>
                <w:szCs w:val="20"/>
                <w:color w:val="auto"/>
              </w:rPr>
            </w:pPr>
            <w:r>
              <w:rPr>
                <w:rFonts w:ascii="Times New Roman" w:cs="Times New Roman" w:eastAsia="Times New Roman" w:hAnsi="Times New Roman"/>
                <w:sz w:val="18"/>
                <w:szCs w:val="18"/>
                <w:color w:val="auto"/>
              </w:rPr>
              <w:t>13,618,150</w:t>
            </w:r>
          </w:p>
        </w:tc>
      </w:tr>
      <w:tr>
        <w:trPr>
          <w:trHeight w:val="263"/>
        </w:trPr>
        <w:tc>
          <w:tcPr>
            <w:tcW w:w="2400" w:type="dxa"/>
            <w:vAlign w:val="bottom"/>
            <w:tcBorders>
              <w:left w:val="single" w:sz="8" w:color="auto"/>
              <w:bottom w:val="single" w:sz="8" w:color="auto"/>
              <w:right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Executive Officer</w:t>
            </w:r>
          </w:p>
        </w:tc>
        <w:tc>
          <w:tcPr>
            <w:tcW w:w="6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2023</w:t>
            </w:r>
          </w:p>
        </w:tc>
        <w:tc>
          <w:tcPr>
            <w:tcW w:w="11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1,370,000</w:t>
            </w:r>
          </w:p>
        </w:tc>
        <w:tc>
          <w:tcPr>
            <w:tcW w:w="1580" w:type="dxa"/>
            <w:vAlign w:val="bottom"/>
            <w:tcBorders>
              <w:bottom w:val="single" w:sz="8" w:color="auto"/>
              <w:right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7,671,945</w:t>
            </w:r>
          </w:p>
        </w:tc>
        <w:tc>
          <w:tcPr>
            <w:tcW w:w="14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2,820,488</w:t>
            </w:r>
          </w:p>
        </w:tc>
        <w:tc>
          <w:tcPr>
            <w:tcW w:w="114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w:t>
            </w:r>
          </w:p>
        </w:tc>
        <w:tc>
          <w:tcPr>
            <w:tcW w:w="1440" w:type="dxa"/>
            <w:vAlign w:val="bottom"/>
            <w:tcBorders>
              <w:bottom w:val="single" w:sz="8" w:color="auto"/>
              <w:right w:val="single" w:sz="8" w:color="auto"/>
            </w:tcBorders>
          </w:tcPr>
          <w:p>
            <w:pPr>
              <w:jc w:val="right"/>
              <w:ind w:right="71"/>
              <w:spacing w:after="0"/>
              <w:rPr>
                <w:sz w:val="20"/>
                <w:szCs w:val="20"/>
                <w:color w:val="auto"/>
              </w:rPr>
            </w:pPr>
            <w:r>
              <w:rPr>
                <w:rFonts w:ascii="Times New Roman" w:cs="Times New Roman" w:eastAsia="Times New Roman" w:hAnsi="Times New Roman"/>
                <w:sz w:val="17"/>
                <w:szCs w:val="17"/>
                <w:color w:val="auto"/>
              </w:rPr>
              <w:t>65,790</w:t>
            </w:r>
          </w:p>
        </w:tc>
        <w:tc>
          <w:tcPr>
            <w:tcW w:w="1460" w:type="dxa"/>
            <w:vAlign w:val="bottom"/>
            <w:tcBorders>
              <w:bottom w:val="single" w:sz="8" w:color="auto"/>
              <w:right w:val="single" w:sz="8" w:color="auto"/>
            </w:tcBorders>
          </w:tcPr>
          <w:p>
            <w:pPr>
              <w:jc w:val="right"/>
              <w:ind w:right="151"/>
              <w:spacing w:after="0"/>
              <w:rPr>
                <w:sz w:val="20"/>
                <w:szCs w:val="20"/>
                <w:color w:val="auto"/>
              </w:rPr>
            </w:pPr>
            <w:r>
              <w:rPr>
                <w:rFonts w:ascii="Times New Roman" w:cs="Times New Roman" w:eastAsia="Times New Roman" w:hAnsi="Times New Roman"/>
                <w:sz w:val="17"/>
                <w:szCs w:val="17"/>
                <w:color w:val="auto"/>
              </w:rPr>
              <w:t>11,928,223</w:t>
            </w:r>
          </w:p>
        </w:tc>
      </w:tr>
    </w:tbl>
    <w:p>
      <w:pPr>
        <w:spacing w:after="0" w:line="200" w:lineRule="exact"/>
        <w:rPr>
          <w:sz w:val="20"/>
          <w:szCs w:val="20"/>
          <w:color w:val="auto"/>
        </w:rPr>
      </w:pPr>
    </w:p>
    <w:p>
      <w:pPr>
        <w:spacing w:after="0" w:line="29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 xml:space="preserve">The lump-sum present value calculations required to be included for all of our NEOs in this Proxy Statement for certain components of Total Compensation (e.g., Change in Pension Value) are affected strongly by interest rates. </w:t>
      </w:r>
      <w:r>
        <w:rPr>
          <w:rFonts w:ascii="Times New Roman" w:cs="Times New Roman" w:eastAsia="Times New Roman" w:hAnsi="Times New Roman"/>
          <w:sz w:val="22"/>
          <w:szCs w:val="22"/>
          <w:b w:val="1"/>
          <w:bCs w:val="1"/>
          <w:color w:val="auto"/>
        </w:rPr>
        <w:t>Future changes in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 xml:space="preserve">interest rates could cause significant changes in the lump-sum value of such benefits. See page 59, footnote 5, for more information about interest rate sensitivity. </w:t>
      </w:r>
      <w:r>
        <w:rPr>
          <w:rFonts w:ascii="Times New Roman" w:cs="Times New Roman" w:eastAsia="Times New Roman" w:hAnsi="Times New Roman"/>
          <w:sz w:val="22"/>
          <w:szCs w:val="22"/>
          <w:color w:val="auto"/>
        </w:rPr>
        <w:t>Note also that not all of the pension benefits payable to our NEOs will be paid in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lump sum.</w:t>
      </w:r>
    </w:p>
    <w:p>
      <w:pPr>
        <w:spacing w:after="0" w:line="200" w:lineRule="exact"/>
        <w:rPr>
          <w:sz w:val="20"/>
          <w:szCs w:val="20"/>
          <w:color w:val="auto"/>
        </w:rPr>
      </w:pPr>
    </w:p>
    <w:p>
      <w:pPr>
        <w:spacing w:after="0" w:line="26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56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9"/>
          <w:szCs w:val="29"/>
          <w:b w:val="1"/>
          <w:bCs w:val="1"/>
          <w:color w:val="29650B"/>
        </w:rPr>
        <w:t>Pay-for-Performance Alignment – Performance-Based Compensation</w:t>
      </w:r>
    </w:p>
    <w:p>
      <w:pPr>
        <w:spacing w:after="0" w:line="258"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Company has developed an executive compensation program that is ownership-oriented and that rewards the attainment of specific annual and long-term goals that will result in improvement in shareholder value. Approximately two-thirds of our NEOs’ share awards are performance-based. Vesting is based on two performance metrics: the Company’s relative total shareholder return (“TSR”) against a published index of company peers (the Dow Jones U.S. Containers &amp; Packaging Index) and the Company’s return on invested capital (“ROIC”). Annual incentive bonuses are also based on two performance metrics: the Company’s modified operating cash flow (“MOCF”) and its economic profit.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notes the following outcomes for the performance-based components of its compensation program for its NEOs: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Performance-Based Share Vestings</w:t>
      </w:r>
    </w:p>
    <w:p>
      <w:pPr>
        <w:spacing w:after="0" w:line="237" w:lineRule="exact"/>
        <w:rPr>
          <w:sz w:val="20"/>
          <w:szCs w:val="20"/>
          <w:color w:val="auto"/>
        </w:rPr>
      </w:pPr>
    </w:p>
    <w:p>
      <w:pPr>
        <w:jc w:val="both"/>
        <w:ind w:left="660" w:hanging="328"/>
        <w:spacing w:after="0" w:line="237" w:lineRule="auto"/>
        <w:tabs>
          <w:tab w:leader="none" w:pos="660" w:val="left"/>
        </w:tabs>
        <w:numPr>
          <w:ilvl w:val="0"/>
          <w:numId w:val="14"/>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Based on the Company’s performance for the measurement period related to the vesting of performance-based shares in 2026, the Company’s NEOs, including the CEO, received TSR-based awards that were 99% above target and received ROIC-based awards that were 20% above target.</w:t>
      </w:r>
    </w:p>
    <w:p>
      <w:pPr>
        <w:spacing w:after="0" w:line="204"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14"/>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In 2025, the NEOs forfeited 100% of the TSR-based awards and 30% of the ROIC-based awards made in 2022.</w:t>
      </w:r>
    </w:p>
    <w:p>
      <w:pPr>
        <w:spacing w:after="0" w:line="214" w:lineRule="exact"/>
        <w:rPr>
          <w:rFonts w:ascii="Courier New" w:cs="Courier New" w:eastAsia="Courier New" w:hAnsi="Courier New"/>
          <w:sz w:val="22"/>
          <w:szCs w:val="22"/>
          <w:color w:val="auto"/>
        </w:rPr>
      </w:pPr>
    </w:p>
    <w:p>
      <w:pPr>
        <w:jc w:val="both"/>
        <w:ind w:left="660" w:hanging="328"/>
        <w:spacing w:after="0" w:line="237" w:lineRule="auto"/>
        <w:tabs>
          <w:tab w:leader="none" w:pos="660" w:val="left"/>
        </w:tabs>
        <w:numPr>
          <w:ilvl w:val="0"/>
          <w:numId w:val="14"/>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Over the last ten years, aggregate performance share vestings have ranged from 0% of target to 165% of target in accordance with the outcome of the relevant objective metrics, with the average annual aggregate payout over the period at 107%.</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Annual Incentive Bonus</w:t>
      </w:r>
    </w:p>
    <w:p>
      <w:pPr>
        <w:spacing w:after="0" w:line="246" w:lineRule="exact"/>
        <w:rPr>
          <w:sz w:val="20"/>
          <w:szCs w:val="20"/>
          <w:color w:val="auto"/>
        </w:rPr>
      </w:pPr>
    </w:p>
    <w:p>
      <w:pPr>
        <w:ind w:left="340" w:right="20"/>
        <w:spacing w:after="0" w:line="208" w:lineRule="auto"/>
        <w:rPr>
          <w:sz w:val="20"/>
          <w:szCs w:val="20"/>
          <w:color w:val="auto"/>
        </w:rPr>
      </w:pPr>
      <w:r>
        <w:rPr>
          <w:rFonts w:ascii="Times New Roman" w:cs="Times New Roman" w:eastAsia="Times New Roman" w:hAnsi="Times New Roman"/>
          <w:sz w:val="22"/>
          <w:szCs w:val="22"/>
          <w:color w:val="auto"/>
        </w:rPr>
        <w:t>Reflective of the Company’s record performance in respect of reportable Segment Income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and cash flow generation over the last few years:</w:t>
      </w:r>
    </w:p>
    <w:p>
      <w:pPr>
        <w:spacing w:after="0" w:line="206" w:lineRule="exact"/>
        <w:rPr>
          <w:sz w:val="20"/>
          <w:szCs w:val="20"/>
          <w:color w:val="auto"/>
        </w:rPr>
      </w:pPr>
    </w:p>
    <w:p>
      <w:pPr>
        <w:ind w:left="660" w:hanging="328"/>
        <w:spacing w:after="0"/>
        <w:tabs>
          <w:tab w:leader="none" w:pos="660" w:val="left"/>
        </w:tabs>
        <w:numPr>
          <w:ilvl w:val="0"/>
          <w:numId w:val="15"/>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For 2025, based on the Company’s over-performance on the MOCF and economic profit components of the annual incentive bonus, corporate-level NEOs (including the CEO) received bonuses that were 100% above target.</w:t>
      </w:r>
    </w:p>
    <w:p>
      <w:pPr>
        <w:spacing w:after="0" w:line="204"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15"/>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Company’s corporate-level NEOs received annual incentive bonuses for 2024 that were 100% above target and for 2023 that were 52.5% above target.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views these outcomes as demonstrative of the Company’s “pay-for-performance” philosophy.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199390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firstLine="8"/>
        <w:spacing w:after="0" w:line="189" w:lineRule="auto"/>
        <w:tabs>
          <w:tab w:leader="none" w:pos="167" w:val="left"/>
        </w:tabs>
        <w:numPr>
          <w:ilvl w:val="0"/>
          <w:numId w:val="16"/>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A reconciliation of reportable Segment Income to Income before Income Taxes can be found on page 86 of the Company’s Annual Report on Form 10-K for the fiscal year ended December 31, 2025.</w:t>
      </w:r>
    </w:p>
    <w:p>
      <w:pPr>
        <w:spacing w:after="0" w:line="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560"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29"/>
          <w:szCs w:val="29"/>
          <w:b w:val="1"/>
          <w:bCs w:val="1"/>
          <w:color w:val="29650B"/>
        </w:rPr>
        <w:t>Elements of Total Direct Compensation</w:t>
      </w:r>
    </w:p>
    <w:p>
      <w:pPr>
        <w:spacing w:after="0" w:line="25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allocation of 2025 total direct compensation for our CEO and for our other NEOs among the various components of compensation is set forth in the following charts that highlight the Company’s emphasis on “at risk” and equity-based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69780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6978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56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29"/>
          <w:szCs w:val="29"/>
          <w:b w:val="1"/>
          <w:bCs w:val="1"/>
          <w:color w:val="29650B"/>
        </w:rPr>
        <w:t>Executive Compensation Best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95250</wp:posOffset>
            </wp:positionV>
            <wp:extent cx="7132320" cy="65493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6549390"/>
                    </a:xfrm>
                    <a:prstGeom prst="rect">
                      <a:avLst/>
                    </a:prstGeom>
                    <a:noFill/>
                  </pic:spPr>
                </pic:pic>
              </a:graphicData>
            </a:graphic>
          </wp:anchor>
        </w:drawing>
      </w:r>
    </w:p>
    <w:p>
      <w:pPr>
        <w:spacing w:after="0" w:line="2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9"/>
          <w:szCs w:val="19"/>
          <w:b w:val="1"/>
          <w:bCs w:val="1"/>
          <w:color w:val="auto"/>
        </w:rPr>
        <w:t>WHAT WE DO</w:t>
      </w:r>
    </w:p>
    <w:p>
      <w:pPr>
        <w:spacing w:after="0" w:line="123" w:lineRule="exact"/>
        <w:rPr>
          <w:sz w:val="20"/>
          <w:szCs w:val="20"/>
          <w:color w:val="auto"/>
        </w:rPr>
      </w:pPr>
    </w:p>
    <w:p>
      <w:pPr>
        <w:ind w:left="620" w:hanging="342"/>
        <w:spacing w:after="0"/>
        <w:tabs>
          <w:tab w:leader="none" w:pos="620"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Maintain a Compensation Committee comprised entirely of independent Directors</w:t>
      </w:r>
    </w:p>
    <w:p>
      <w:pPr>
        <w:spacing w:after="0" w:line="68" w:lineRule="exact"/>
        <w:rPr>
          <w:rFonts w:ascii="Wingdings" w:cs="Wingdings" w:eastAsia="Wingdings" w:hAnsi="Wingdings"/>
          <w:sz w:val="19"/>
          <w:szCs w:val="19"/>
          <w:b w:val="1"/>
          <w:bCs w:val="1"/>
          <w:color w:val="4F6228"/>
        </w:rPr>
      </w:pPr>
    </w:p>
    <w:p>
      <w:pPr>
        <w:ind w:left="600" w:right="160" w:hanging="326"/>
        <w:spacing w:after="0" w:line="207" w:lineRule="auto"/>
        <w:tabs>
          <w:tab w:leader="none" w:pos="654"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Use the 50</w:t>
      </w:r>
      <w:r>
        <w:rPr>
          <w:rFonts w:ascii="Times New Roman" w:cs="Times New Roman" w:eastAsia="Times New Roman" w:hAnsi="Times New Roman"/>
          <w:sz w:val="31"/>
          <w:szCs w:val="31"/>
          <w:color w:val="auto"/>
          <w:vertAlign w:val="superscript"/>
        </w:rPr>
        <w:t>th</w:t>
      </w:r>
      <w:r>
        <w:rPr>
          <w:rFonts w:ascii="Times New Roman" w:cs="Times New Roman" w:eastAsia="Times New Roman" w:hAnsi="Times New Roman"/>
          <w:sz w:val="19"/>
          <w:szCs w:val="19"/>
          <w:color w:val="auto"/>
        </w:rPr>
        <w:t xml:space="preserve"> percentile of our peer group’s total direct compensation as a guidepost for our NEOs’ total direct compensation, considering position and responsibilities, seniority and years of experience in the position</w:t>
      </w:r>
    </w:p>
    <w:p>
      <w:pPr>
        <w:spacing w:after="0" w:line="67" w:lineRule="exact"/>
        <w:rPr>
          <w:rFonts w:ascii="Wingdings" w:cs="Wingdings" w:eastAsia="Wingdings" w:hAnsi="Wingdings"/>
          <w:sz w:val="19"/>
          <w:szCs w:val="19"/>
          <w:b w:val="1"/>
          <w:bCs w:val="1"/>
          <w:color w:val="4F6228"/>
        </w:rPr>
      </w:pPr>
    </w:p>
    <w:p>
      <w:pPr>
        <w:ind w:left="620" w:hanging="346"/>
        <w:spacing w:after="0"/>
        <w:tabs>
          <w:tab w:leader="none" w:pos="620"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Review pay and performance alignment annually</w:t>
      </w:r>
    </w:p>
    <w:p>
      <w:pPr>
        <w:spacing w:after="0" w:line="78" w:lineRule="exact"/>
        <w:rPr>
          <w:rFonts w:ascii="Wingdings" w:cs="Wingdings" w:eastAsia="Wingdings" w:hAnsi="Wingdings"/>
          <w:sz w:val="19"/>
          <w:szCs w:val="19"/>
          <w:b w:val="1"/>
          <w:bCs w:val="1"/>
          <w:color w:val="4F6228"/>
        </w:rPr>
      </w:pPr>
    </w:p>
    <w:p>
      <w:pPr>
        <w:ind w:left="620" w:hanging="346"/>
        <w:spacing w:after="0"/>
        <w:tabs>
          <w:tab w:leader="none" w:pos="620"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Target and provide a majority of the direct compensation paid to our NEOs in performance-based compensation</w:t>
      </w:r>
    </w:p>
    <w:p>
      <w:pPr>
        <w:spacing w:after="0" w:line="119" w:lineRule="exact"/>
        <w:rPr>
          <w:rFonts w:ascii="Wingdings" w:cs="Wingdings" w:eastAsia="Wingdings" w:hAnsi="Wingdings"/>
          <w:sz w:val="19"/>
          <w:szCs w:val="19"/>
          <w:b w:val="1"/>
          <w:bCs w:val="1"/>
          <w:color w:val="4F6228"/>
        </w:rPr>
      </w:pPr>
    </w:p>
    <w:p>
      <w:pPr>
        <w:ind w:left="600" w:right="160" w:hanging="326"/>
        <w:spacing w:after="0" w:line="265" w:lineRule="auto"/>
        <w:tabs>
          <w:tab w:leader="none" w:pos="613"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Allocate approximately two-thirds of compensation under the Company’s long-term incentive plan to performance-based share awards and approximately one-third to time-based share awards</w:t>
      </w:r>
    </w:p>
    <w:p>
      <w:pPr>
        <w:spacing w:after="0" w:line="30" w:lineRule="exact"/>
        <w:rPr>
          <w:rFonts w:ascii="Wingdings" w:cs="Wingdings" w:eastAsia="Wingdings" w:hAnsi="Wingdings"/>
          <w:sz w:val="19"/>
          <w:szCs w:val="19"/>
          <w:b w:val="1"/>
          <w:bCs w:val="1"/>
          <w:color w:val="4F6228"/>
        </w:rPr>
      </w:pPr>
    </w:p>
    <w:p>
      <w:pPr>
        <w:ind w:left="620" w:hanging="346"/>
        <w:spacing w:after="0"/>
        <w:tabs>
          <w:tab w:leader="none" w:pos="620"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Vest performance-based shares on the basis of two metrics (relative total shareholder return and return on invested capital)</w:t>
      </w:r>
    </w:p>
    <w:p>
      <w:pPr>
        <w:spacing w:after="0" w:line="92" w:lineRule="exact"/>
        <w:rPr>
          <w:rFonts w:ascii="Wingdings" w:cs="Wingdings" w:eastAsia="Wingdings" w:hAnsi="Wingdings"/>
          <w:sz w:val="19"/>
          <w:szCs w:val="19"/>
          <w:b w:val="1"/>
          <w:bCs w:val="1"/>
          <w:color w:val="4F6228"/>
        </w:rPr>
      </w:pPr>
    </w:p>
    <w:p>
      <w:pPr>
        <w:ind w:left="600" w:right="140" w:hanging="326"/>
        <w:spacing w:after="0" w:line="265" w:lineRule="auto"/>
        <w:tabs>
          <w:tab w:leader="none" w:pos="640"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Base payouts under the Company’s Annual Incentive Bonus Plan on the achievement of specified levels of economic profit and modified operating cash flow</w:t>
      </w:r>
    </w:p>
    <w:p>
      <w:pPr>
        <w:spacing w:after="0" w:line="30" w:lineRule="exact"/>
        <w:rPr>
          <w:rFonts w:ascii="Wingdings" w:cs="Wingdings" w:eastAsia="Wingdings" w:hAnsi="Wingdings"/>
          <w:sz w:val="19"/>
          <w:szCs w:val="19"/>
          <w:b w:val="1"/>
          <w:bCs w:val="1"/>
          <w:color w:val="4F6228"/>
        </w:rPr>
      </w:pPr>
    </w:p>
    <w:p>
      <w:pPr>
        <w:ind w:left="620" w:hanging="346"/>
        <w:spacing w:after="0"/>
        <w:tabs>
          <w:tab w:leader="none" w:pos="620"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Maintain stock ownership and holding period requirements for our NEOs</w:t>
      </w:r>
    </w:p>
    <w:p>
      <w:pPr>
        <w:spacing w:after="0" w:line="78" w:lineRule="exact"/>
        <w:rPr>
          <w:rFonts w:ascii="Wingdings" w:cs="Wingdings" w:eastAsia="Wingdings" w:hAnsi="Wingdings"/>
          <w:sz w:val="19"/>
          <w:szCs w:val="19"/>
          <w:b w:val="1"/>
          <w:bCs w:val="1"/>
          <w:color w:val="4F6228"/>
        </w:rPr>
      </w:pPr>
    </w:p>
    <w:p>
      <w:pPr>
        <w:jc w:val="both"/>
        <w:ind w:left="600" w:right="140" w:hanging="326"/>
        <w:spacing w:after="0" w:line="242" w:lineRule="auto"/>
        <w:tabs>
          <w:tab w:leader="none" w:pos="613"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Pursuant to our compensation recovery policy (the “Compensation Recovery Policy”) for incentive compensation paid or awarded on or after October 2, 2023, we may recover from certain current or former executive officers, including our NEOs, the amount of any erroneously awarded cash- or equity-based compensation paid on the basis of the achievement of financial performance measures in the event of an accounting restatement, without regard to whether the NEO engaged in intentional misconduct or fraud. The Compensation Recovery Policy applies in addition to any other rights of recovery under any similar policy, including under the Company’s general clawback policy pursuant to which the Company may recoup non-equity incentive bonus payments and performance-based equity awards from NEOs in the event of certain acts of misconduct.</w:t>
      </w:r>
    </w:p>
    <w:p>
      <w:pPr>
        <w:spacing w:after="0" w:line="64" w:lineRule="exact"/>
        <w:rPr>
          <w:rFonts w:ascii="Wingdings" w:cs="Wingdings" w:eastAsia="Wingdings" w:hAnsi="Wingdings"/>
          <w:sz w:val="19"/>
          <w:szCs w:val="19"/>
          <w:b w:val="1"/>
          <w:bCs w:val="1"/>
          <w:color w:val="4F6228"/>
        </w:rPr>
      </w:pPr>
    </w:p>
    <w:p>
      <w:pPr>
        <w:ind w:left="620" w:hanging="346"/>
        <w:spacing w:after="0"/>
        <w:tabs>
          <w:tab w:leader="none" w:pos="620"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Engage an independent compensation consultant for our Compensation Committee</w:t>
      </w:r>
    </w:p>
    <w:p>
      <w:pPr>
        <w:spacing w:after="0" w:line="78" w:lineRule="exact"/>
        <w:rPr>
          <w:rFonts w:ascii="Wingdings" w:cs="Wingdings" w:eastAsia="Wingdings" w:hAnsi="Wingdings"/>
          <w:sz w:val="19"/>
          <w:szCs w:val="19"/>
          <w:b w:val="1"/>
          <w:bCs w:val="1"/>
          <w:color w:val="4F6228"/>
        </w:rPr>
      </w:pPr>
    </w:p>
    <w:p>
      <w:pPr>
        <w:ind w:left="620" w:hanging="346"/>
        <w:spacing w:after="0"/>
        <w:tabs>
          <w:tab w:leader="none" w:pos="620"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Annually review the independence of the compensation consultant retained by the Compensation Committee</w:t>
      </w:r>
    </w:p>
    <w:p>
      <w:pPr>
        <w:spacing w:after="0" w:line="78" w:lineRule="exact"/>
        <w:rPr>
          <w:rFonts w:ascii="Wingdings" w:cs="Wingdings" w:eastAsia="Wingdings" w:hAnsi="Wingdings"/>
          <w:sz w:val="19"/>
          <w:szCs w:val="19"/>
          <w:b w:val="1"/>
          <w:bCs w:val="1"/>
          <w:color w:val="4F6228"/>
        </w:rPr>
      </w:pPr>
    </w:p>
    <w:p>
      <w:pPr>
        <w:jc w:val="both"/>
        <w:ind w:left="600" w:right="160" w:hanging="326"/>
        <w:spacing w:after="0" w:line="251" w:lineRule="auto"/>
        <w:tabs>
          <w:tab w:leader="none" w:pos="613"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Utilize tally sheets to review, for each NEO, total compensation, compensation mix, internal pay equity, total value of Company stock held by the NEO, payouts under certain potential termination scenarios and the aggregate value of retirement benefits and interest rate sensitivity of retirement benefits</w:t>
      </w:r>
    </w:p>
    <w:p>
      <w:pPr>
        <w:spacing w:after="0" w:line="57" w:lineRule="exact"/>
        <w:rPr>
          <w:rFonts w:ascii="Wingdings" w:cs="Wingdings" w:eastAsia="Wingdings" w:hAnsi="Wingdings"/>
          <w:sz w:val="19"/>
          <w:szCs w:val="19"/>
          <w:b w:val="1"/>
          <w:bCs w:val="1"/>
          <w:color w:val="4F6228"/>
        </w:rPr>
      </w:pPr>
    </w:p>
    <w:p>
      <w:pPr>
        <w:ind w:left="620" w:hanging="346"/>
        <w:spacing w:after="0"/>
        <w:tabs>
          <w:tab w:leader="none" w:pos="620"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Hold annual Say-on-Pay votes</w:t>
      </w:r>
    </w:p>
    <w:p>
      <w:pPr>
        <w:spacing w:after="0" w:line="78" w:lineRule="exact"/>
        <w:rPr>
          <w:rFonts w:ascii="Wingdings" w:cs="Wingdings" w:eastAsia="Wingdings" w:hAnsi="Wingdings"/>
          <w:sz w:val="19"/>
          <w:szCs w:val="19"/>
          <w:b w:val="1"/>
          <w:bCs w:val="1"/>
          <w:color w:val="4F6228"/>
        </w:rPr>
      </w:pPr>
    </w:p>
    <w:p>
      <w:pPr>
        <w:ind w:left="620" w:hanging="346"/>
        <w:spacing w:after="0"/>
        <w:tabs>
          <w:tab w:leader="none" w:pos="620" w:val="left"/>
        </w:tabs>
        <w:numPr>
          <w:ilvl w:val="0"/>
          <w:numId w:val="17"/>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Include a sustainability criterion for the Board’s annual evaluation of the CEO</w:t>
      </w:r>
    </w:p>
    <w:p>
      <w:pPr>
        <w:spacing w:after="0" w:line="142"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9"/>
          <w:szCs w:val="19"/>
          <w:b w:val="1"/>
          <w:bCs w:val="1"/>
          <w:color w:val="auto"/>
        </w:rPr>
        <w:t>WHAT WE DON’T DO</w:t>
      </w:r>
    </w:p>
    <w:p>
      <w:pPr>
        <w:spacing w:after="0" w:line="123" w:lineRule="exact"/>
        <w:rPr>
          <w:sz w:val="20"/>
          <w:szCs w:val="20"/>
          <w:color w:val="auto"/>
        </w:rPr>
      </w:pPr>
    </w:p>
    <w:p>
      <w:pPr>
        <w:ind w:left="600" w:hanging="326"/>
        <w:spacing w:after="0" w:line="265" w:lineRule="auto"/>
        <w:tabs>
          <w:tab w:leader="none" w:pos="599" w:val="left"/>
        </w:tabs>
        <w:numPr>
          <w:ilvl w:val="0"/>
          <w:numId w:val="18"/>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Allow carry-forward or banking of economic profit or modified operating cash flow achievement in the Company’s Annual Incentive Bonus Plan</w:t>
      </w:r>
    </w:p>
    <w:p>
      <w:pPr>
        <w:spacing w:after="0" w:line="30" w:lineRule="exact"/>
        <w:rPr>
          <w:rFonts w:ascii="Wingdings" w:cs="Wingdings" w:eastAsia="Wingdings" w:hAnsi="Wingdings"/>
          <w:sz w:val="19"/>
          <w:szCs w:val="19"/>
          <w:b w:val="1"/>
          <w:bCs w:val="1"/>
          <w:color w:val="4F6228"/>
        </w:rPr>
      </w:pPr>
    </w:p>
    <w:p>
      <w:pPr>
        <w:jc w:val="both"/>
        <w:ind w:left="600" w:hanging="326"/>
        <w:spacing w:after="0" w:line="251" w:lineRule="auto"/>
        <w:tabs>
          <w:tab w:leader="none" w:pos="585" w:val="left"/>
        </w:tabs>
        <w:numPr>
          <w:ilvl w:val="0"/>
          <w:numId w:val="18"/>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Enter into any new employment, severance or separation agreement, or establish any new severance plan or policy covering any NEO that provides for cash severance benefits exceeding 2.99 times the sum of the NEO’s base salary plus target bonus, without seeking Shareholder ratification of such agreement, plan or policy</w:t>
      </w:r>
    </w:p>
    <w:p>
      <w:pPr>
        <w:spacing w:after="0" w:line="43" w:lineRule="exact"/>
        <w:rPr>
          <w:rFonts w:ascii="Wingdings" w:cs="Wingdings" w:eastAsia="Wingdings" w:hAnsi="Wingdings"/>
          <w:sz w:val="19"/>
          <w:szCs w:val="19"/>
          <w:b w:val="1"/>
          <w:bCs w:val="1"/>
          <w:color w:val="4F6228"/>
        </w:rPr>
      </w:pPr>
    </w:p>
    <w:p>
      <w:pPr>
        <w:ind w:left="580" w:hanging="306"/>
        <w:spacing w:after="0"/>
        <w:tabs>
          <w:tab w:leader="none" w:pos="580" w:val="left"/>
        </w:tabs>
        <w:numPr>
          <w:ilvl w:val="0"/>
          <w:numId w:val="18"/>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Use subjective individual qualitative factors in determining annual bonuses for our NEOs</w:t>
      </w:r>
    </w:p>
    <w:p>
      <w:pPr>
        <w:spacing w:after="0" w:line="92" w:lineRule="exact"/>
        <w:rPr>
          <w:rFonts w:ascii="Wingdings" w:cs="Wingdings" w:eastAsia="Wingdings" w:hAnsi="Wingdings"/>
          <w:sz w:val="19"/>
          <w:szCs w:val="19"/>
          <w:b w:val="1"/>
          <w:bCs w:val="1"/>
          <w:color w:val="4F6228"/>
        </w:rPr>
      </w:pPr>
    </w:p>
    <w:p>
      <w:pPr>
        <w:ind w:left="580" w:hanging="306"/>
        <w:spacing w:after="0"/>
        <w:tabs>
          <w:tab w:leader="none" w:pos="580" w:val="left"/>
        </w:tabs>
        <w:numPr>
          <w:ilvl w:val="0"/>
          <w:numId w:val="18"/>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Include any tax gross-up provisions in our executive employment agreements</w:t>
      </w:r>
    </w:p>
    <w:p>
      <w:pPr>
        <w:spacing w:after="0" w:line="78" w:lineRule="exact"/>
        <w:rPr>
          <w:rFonts w:ascii="Wingdings" w:cs="Wingdings" w:eastAsia="Wingdings" w:hAnsi="Wingdings"/>
          <w:sz w:val="19"/>
          <w:szCs w:val="19"/>
          <w:b w:val="1"/>
          <w:bCs w:val="1"/>
          <w:color w:val="4F6228"/>
        </w:rPr>
      </w:pPr>
    </w:p>
    <w:p>
      <w:pPr>
        <w:ind w:left="580" w:hanging="306"/>
        <w:spacing w:after="0"/>
        <w:tabs>
          <w:tab w:leader="none" w:pos="580" w:val="left"/>
        </w:tabs>
        <w:numPr>
          <w:ilvl w:val="0"/>
          <w:numId w:val="18"/>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Provide excessive perquisites</w:t>
      </w:r>
    </w:p>
    <w:p>
      <w:pPr>
        <w:spacing w:after="0" w:line="78" w:lineRule="exact"/>
        <w:rPr>
          <w:rFonts w:ascii="Wingdings" w:cs="Wingdings" w:eastAsia="Wingdings" w:hAnsi="Wingdings"/>
          <w:sz w:val="19"/>
          <w:szCs w:val="19"/>
          <w:b w:val="1"/>
          <w:bCs w:val="1"/>
          <w:color w:val="4F6228"/>
        </w:rPr>
      </w:pPr>
    </w:p>
    <w:p>
      <w:pPr>
        <w:ind w:left="580" w:hanging="306"/>
        <w:spacing w:after="0"/>
        <w:tabs>
          <w:tab w:leader="none" w:pos="580" w:val="left"/>
        </w:tabs>
        <w:numPr>
          <w:ilvl w:val="0"/>
          <w:numId w:val="18"/>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Permit any form of hedging or pledging of Company stock</w:t>
      </w:r>
    </w:p>
    <w:p>
      <w:pPr>
        <w:spacing w:after="0" w:line="92" w:lineRule="exact"/>
        <w:rPr>
          <w:rFonts w:ascii="Wingdings" w:cs="Wingdings" w:eastAsia="Wingdings" w:hAnsi="Wingdings"/>
          <w:sz w:val="19"/>
          <w:szCs w:val="19"/>
          <w:b w:val="1"/>
          <w:bCs w:val="1"/>
          <w:color w:val="4F6228"/>
        </w:rPr>
      </w:pPr>
    </w:p>
    <w:p>
      <w:pPr>
        <w:ind w:left="580" w:hanging="306"/>
        <w:spacing w:after="0"/>
        <w:tabs>
          <w:tab w:leader="none" w:pos="580" w:val="left"/>
        </w:tabs>
        <w:numPr>
          <w:ilvl w:val="0"/>
          <w:numId w:val="18"/>
        </w:numPr>
        <w:rPr>
          <w:rFonts w:ascii="Wingdings" w:cs="Wingdings" w:eastAsia="Wingdings" w:hAnsi="Wingdings"/>
          <w:sz w:val="19"/>
          <w:szCs w:val="19"/>
          <w:b w:val="1"/>
          <w:bCs w:val="1"/>
          <w:color w:val="4F6228"/>
        </w:rPr>
      </w:pPr>
      <w:r>
        <w:rPr>
          <w:rFonts w:ascii="Times New Roman" w:cs="Times New Roman" w:eastAsia="Times New Roman" w:hAnsi="Times New Roman"/>
          <w:sz w:val="19"/>
          <w:szCs w:val="19"/>
          <w:color w:val="auto"/>
        </w:rPr>
        <w:t>Count unexercised stock options or unearned performance shares toward the achievement of ownership guidelines</w:t>
      </w:r>
    </w:p>
    <w:p>
      <w:pPr>
        <w:spacing w:after="0" w:line="334" w:lineRule="exact"/>
        <w:rPr>
          <w:sz w:val="20"/>
          <w:szCs w:val="20"/>
          <w:color w:val="auto"/>
        </w:rPr>
      </w:pPr>
    </w:p>
    <w:p>
      <w:pPr>
        <w:ind w:right="680"/>
        <w:spacing w:after="0" w:line="258" w:lineRule="auto"/>
        <w:rPr>
          <w:sz w:val="20"/>
          <w:szCs w:val="20"/>
          <w:color w:val="auto"/>
        </w:rPr>
      </w:pPr>
      <w:r>
        <w:rPr>
          <w:rFonts w:ascii="Times New Roman" w:cs="Times New Roman" w:eastAsia="Times New Roman" w:hAnsi="Times New Roman"/>
          <w:sz w:val="22"/>
          <w:szCs w:val="22"/>
          <w:color w:val="auto"/>
        </w:rPr>
        <w:t>Please read the CD&amp;A, beginning on page 34, for a more detailed description of the Company’s executive compensation program.</w:t>
      </w:r>
    </w:p>
    <w:p>
      <w:pPr>
        <w:spacing w:after="0" w:line="200" w:lineRule="exact"/>
        <w:rPr>
          <w:sz w:val="20"/>
          <w:szCs w:val="20"/>
          <w:color w:val="auto"/>
        </w:rPr>
      </w:pPr>
    </w:p>
    <w:p>
      <w:pPr>
        <w:spacing w:after="0" w:line="30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120"/>
          </w:cols>
          <w:pgMar w:left="320" w:top="560" w:right="459" w:bottom="1440" w:gutter="0" w:footer="0" w:header="0"/>
        </w:sectPr>
      </w:pPr>
    </w:p>
    <w:bookmarkStart w:id="15" w:name="page16"/>
    <w:bookmarkEnd w:id="15"/>
    <w:p>
      <w:pPr>
        <w:ind w:right="320"/>
        <w:spacing w:after="0" w:line="278" w:lineRule="auto"/>
        <w:rPr>
          <w:sz w:val="20"/>
          <w:szCs w:val="20"/>
          <w:color w:val="auto"/>
        </w:rPr>
      </w:pPr>
      <w:r>
        <w:rPr>
          <w:rFonts w:ascii="Times New Roman" w:cs="Times New Roman" w:eastAsia="Times New Roman" w:hAnsi="Times New Roman"/>
          <w:sz w:val="29"/>
          <w:szCs w:val="29"/>
          <w:b w:val="1"/>
          <w:bCs w:val="1"/>
          <w:color w:val="29650B"/>
        </w:rPr>
        <w:t>Proposal 4 – Consideration of Shareholder Proposal Regarding Shareholder Right to Act by Written Consent</w:t>
      </w:r>
    </w:p>
    <w:p>
      <w:pPr>
        <w:spacing w:after="0" w:line="1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Mr. John Chevedden has advised he intends to present a Shareholder proposal regarding Shareholder right to act by written consent. See page 74.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The Board has carefully considered this Shareholder proposal and recommends that you vote </w:t>
      </w:r>
      <w:r>
        <w:rPr>
          <w:rFonts w:ascii="Times New Roman" w:cs="Times New Roman" w:eastAsia="Times New Roman" w:hAnsi="Times New Roman"/>
          <w:sz w:val="22"/>
          <w:szCs w:val="22"/>
          <w:b w:val="1"/>
          <w:bCs w:val="1"/>
          <w:color w:val="auto"/>
        </w:rPr>
        <w:t>AGAINST</w:t>
      </w:r>
      <w:r>
        <w:rPr>
          <w:rFonts w:ascii="Times New Roman" w:cs="Times New Roman" w:eastAsia="Times New Roman" w:hAnsi="Times New Roman"/>
          <w:sz w:val="22"/>
          <w:szCs w:val="22"/>
          <w:color w:val="auto"/>
        </w:rPr>
        <w:t xml:space="preserve"> Proposal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560"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32"/>
          <w:szCs w:val="32"/>
          <w:b w:val="1"/>
          <w:bCs w:val="1"/>
          <w:color w:val="29650B"/>
        </w:rPr>
        <w:t>QUESTIONS &amp; ANSWERS ABOUT THE 2026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Why am I receiving these materials?</w:t>
      </w:r>
    </w:p>
    <w:p>
      <w:pPr>
        <w:spacing w:after="0" w:line="2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1"/>
          <w:szCs w:val="21"/>
          <w:color w:val="auto"/>
        </w:rPr>
        <w:t>The Company is providing you this Proxy Statement, the accompanying Proxy Card and a copy of our Annual Report for the year ended December 31, 2025, containing audited financial statements, in connection with our Annual Meeting of Shareholders or any adjournments or postponements of the Annual Meeting. The Meeting will be held on April 30, 2026 at 9:30 a.m. Eastern Time at the Tampa Marriott Water Street located at 505 Water Street, Tampa, Florida. As a Shareholder of the Company, you are cordially invited to attend the Annual Meeting and are encouraged to exercise your right to vote on the matters described in this Proxy Statement. The accompanying Proxy is solicited on behalf of the Board of Directors of the Company. We are mailing this Proxy Statement and the accompanying Proxy Card and Annual Report to our Shareholders on or about March 23, 2026.</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is a Proxy?</w:t>
      </w:r>
    </w:p>
    <w:p>
      <w:pPr>
        <w:spacing w:after="0" w:line="212"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A Proxy is your legal designation of another person to vote the shares that you own in accordance with your instructions. The person you appoint to vote your shares is called a Proxy Holder. On the Proxy Card you will find the names of the persons designated by the Company to act as Proxy Holders to vote your shares at the Annual Meeting. The Board is asking you to allow any of the persons named as Proxy Holders on the Proxy Card (all of whom are Officers of the Company) to vote your shares at the Annual Meeting. The Proxy Holders must vote your shares in the manner you instruct.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is entitled to vote?</w:t>
      </w:r>
    </w:p>
    <w:p>
      <w:pPr>
        <w:spacing w:after="0" w:line="21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Only Shareholders as of the close of business on March 10, 2026 (“Record Date”) are entitled to receive notice of, to attend and to vote at the Annual Meeting or any adjournment or postponement of the Annual Meeting. Each Shareholder has one vote per share on all matters to be voted on. As of the Record Date, there were 112,241,962 shares of Common Stock outstanding.</w:t>
      </w: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is the difference between a “record owner” and a “beneficial owner”?</w:t>
      </w:r>
    </w:p>
    <w:p>
      <w:pPr>
        <w:spacing w:after="0" w:line="20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2"/>
          <w:szCs w:val="22"/>
          <w:b w:val="1"/>
          <w:bCs w:val="1"/>
          <w:color w:val="auto"/>
        </w:rPr>
        <w:t>Record Owners</w:t>
      </w:r>
      <w:r>
        <w:rPr>
          <w:rFonts w:ascii="Times New Roman" w:cs="Times New Roman" w:eastAsia="Times New Roman" w:hAnsi="Times New Roman"/>
          <w:sz w:val="22"/>
          <w:szCs w:val="22"/>
          <w:color w:val="auto"/>
        </w:rPr>
        <w:t>: If your shares are registered directly in your name with EQ Shareowner Services, the Company’s stock transfer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agent, you are considered the “Shareholder of record” or “record owner” with respect to those shares. You vote your shares directly via a Proxy Card or in person at the Annual Meeting. You also may participate in and vote at the Annual Meeting with no prior authorizations required.</w:t>
      </w:r>
    </w:p>
    <w:p>
      <w:pPr>
        <w:spacing w:after="0" w:line="17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b w:val="1"/>
          <w:bCs w:val="1"/>
          <w:color w:val="auto"/>
        </w:rPr>
        <w:t>Beneficial Owners</w:t>
      </w:r>
      <w:r>
        <w:rPr>
          <w:rFonts w:ascii="Times New Roman" w:cs="Times New Roman" w:eastAsia="Times New Roman" w:hAnsi="Times New Roman"/>
          <w:sz w:val="22"/>
          <w:szCs w:val="22"/>
          <w:color w:val="auto"/>
        </w:rPr>
        <w:t>: If your shares are held in an account at a brokerage firm, bank or trust as custodian on your behalf, you are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considered the “beneficial owner” of those shares. Your shares are registered on the Company’s books in the name of the brokerage firm, bank or trust, or its nominee. Shares held in this manner are commonly referred to as being held in “street name.” As the beneficial owner of the shares, you have the right to direct your broker, bank or trustee how to vote your shares by using the voting instruction form (“VIF”) provided by them to you along with this Proxy Statement. You also are invited to attend the Annual Meeting. However, because a beneficial owner is not the Shareholder of record, you may not vote these shares in person at the Annual Meeting, or participate in the Annual Meeting, unless you obtain a legal proxy from the broker, bank or trust who is the Shareholder of record, or holds a legal proxy from the Shareholder of record, giving you the right to vote the shares at the Annual Meeting.</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551"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i w:val="1"/>
          <w:iCs w:val="1"/>
          <w:color w:val="auto"/>
        </w:rPr>
        <w:t>What proposals will be voted on at the Annual Meeting?</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 xml:space="preserve">Shareholders will vote on </w:t>
      </w:r>
      <w:r>
        <w:rPr>
          <w:rFonts w:ascii="Times New Roman" w:cs="Times New Roman" w:eastAsia="Times New Roman" w:hAnsi="Times New Roman"/>
          <w:sz w:val="22"/>
          <w:szCs w:val="22"/>
          <w:b w:val="1"/>
          <w:bCs w:val="1"/>
          <w:color w:val="auto"/>
        </w:rPr>
        <w:t>four</w:t>
      </w:r>
      <w:r>
        <w:rPr>
          <w:rFonts w:ascii="Times New Roman" w:cs="Times New Roman" w:eastAsia="Times New Roman" w:hAnsi="Times New Roman"/>
          <w:sz w:val="22"/>
          <w:szCs w:val="22"/>
          <w:color w:val="auto"/>
        </w:rPr>
        <w:t xml:space="preserve"> proposals at the Annual Meeting:</w:t>
      </w:r>
    </w:p>
    <w:p>
      <w:pPr>
        <w:spacing w:after="0" w:line="210"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election of Directors</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ratification of the appointment of the Company’s independent auditors for the fiscal year ending December 31, 2026</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“Say-on-Pay” vote</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properly presented, a Shareholder proposal regarding Shareholder right to act by written consent</w:t>
      </w:r>
    </w:p>
    <w:p>
      <w:pPr>
        <w:spacing w:after="0" w:line="20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Company also will consider any other business that properly comes before the Annual Meeting in accordance with Pennsylvania law and the Company’s By-Laws.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does the Board of Directors recommend that I vote?</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Board of Directors recommends that you vote your shares:</w:t>
      </w:r>
    </w:p>
    <w:p>
      <w:pPr>
        <w:spacing w:after="0" w:line="202"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FOR”</w:t>
      </w:r>
      <w:r>
        <w:rPr>
          <w:rFonts w:ascii="Times New Roman" w:cs="Times New Roman" w:eastAsia="Times New Roman" w:hAnsi="Times New Roman"/>
          <w:sz w:val="22"/>
          <w:szCs w:val="22"/>
          <w:color w:val="auto"/>
        </w:rPr>
        <w:t xml:space="preserve"> each of the nominees for election to the Board</w:t>
      </w:r>
    </w:p>
    <w:p>
      <w:pPr>
        <w:spacing w:after="0" w:line="206" w:lineRule="exact"/>
        <w:rPr>
          <w:rFonts w:ascii="Times New Roman" w:cs="Times New Roman" w:eastAsia="Times New Roman" w:hAnsi="Times New Roman"/>
          <w:sz w:val="22"/>
          <w:szCs w:val="22"/>
          <w:color w:val="auto"/>
        </w:rPr>
      </w:pPr>
    </w:p>
    <w:p>
      <w:pPr>
        <w:ind w:left="660" w:hanging="328"/>
        <w:spacing w:after="0" w:line="262"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ratification of the appointment of PricewaterhouseCoopers LLP as the Company’s independent auditors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2026</w:t>
      </w:r>
    </w:p>
    <w:p>
      <w:pPr>
        <w:spacing w:after="0" w:line="149" w:lineRule="exact"/>
        <w:rPr>
          <w:rFonts w:ascii="Times New Roman" w:cs="Times New Roman" w:eastAsia="Times New Roman" w:hAnsi="Times New Roman"/>
          <w:sz w:val="22"/>
          <w:szCs w:val="22"/>
          <w:color w:val="auto"/>
        </w:rPr>
      </w:pPr>
    </w:p>
    <w:p>
      <w:pPr>
        <w:ind w:left="660" w:hanging="328"/>
        <w:spacing w:after="0" w:line="262" w:lineRule="auto"/>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“FOR” </w:t>
      </w:r>
      <w:r>
        <w:rPr>
          <w:rFonts w:ascii="Times New Roman" w:cs="Times New Roman" w:eastAsia="Times New Roman" w:hAnsi="Times New Roman"/>
          <w:sz w:val="22"/>
          <w:szCs w:val="22"/>
          <w:color w:val="auto"/>
        </w:rPr>
        <w:t>the advisory resolution to approve the compensation of the Named Executive Officers as disclosed in this Proxy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Statement</w:t>
      </w:r>
    </w:p>
    <w:p>
      <w:pPr>
        <w:spacing w:after="0" w:line="149"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“AGAINST” </w:t>
      </w:r>
      <w:r>
        <w:rPr>
          <w:rFonts w:ascii="Times New Roman" w:cs="Times New Roman" w:eastAsia="Times New Roman" w:hAnsi="Times New Roman"/>
          <w:sz w:val="22"/>
          <w:szCs w:val="22"/>
          <w:color w:val="auto"/>
        </w:rPr>
        <w:t>the Shareholder proposal regarding Shareholder right to act by written consent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happens if additional matters are presented at the Annual Meeting?</w:t>
      </w:r>
    </w:p>
    <w:p>
      <w:pPr>
        <w:spacing w:after="0" w:line="212"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Other than the items of business described in this Proxy Statement, we are not aware of any other business to be acted upon at the Annual Meeting. If you grant a Proxy to the Proxy Holders named on the Proxy Card, they will have the discretion to vote your shares in their best judgment with respect to any additional matters properly brought before the Annual Meeting in accordance with Pennsylvania law and the Company’s By-Laws. Also, if for any reason any of our nominees are not available as candidates for Director, the Proxy Holders will vote the Proxies for any other candidate or candidates who may be nominated by the Board.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do I vote my shares?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You may vote your shares by Proxy or in person.</w:t>
      </w:r>
    </w:p>
    <w:p>
      <w:pPr>
        <w:spacing w:after="0" w:line="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You may vote by Proxy:</w:t>
      </w:r>
    </w:p>
    <w:p>
      <w:pPr>
        <w:spacing w:after="0" w:line="202"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the Internet</w:t>
      </w:r>
      <w:r>
        <w:rPr>
          <w:rFonts w:ascii="Times New Roman" w:cs="Times New Roman" w:eastAsia="Times New Roman" w:hAnsi="Times New Roman"/>
          <w:sz w:val="22"/>
          <w:szCs w:val="22"/>
          <w:color w:val="auto"/>
        </w:rPr>
        <w:t>, at the web address provided on page 1 of this Proxy Statement or on your Proxy Card or VIF; or</w:t>
      </w:r>
    </w:p>
    <w:p>
      <w:pPr>
        <w:spacing w:after="0" w:line="206"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telephone</w:t>
      </w:r>
      <w:r>
        <w:rPr>
          <w:rFonts w:ascii="Times New Roman" w:cs="Times New Roman" w:eastAsia="Times New Roman" w:hAnsi="Times New Roman"/>
          <w:sz w:val="22"/>
          <w:szCs w:val="22"/>
          <w:color w:val="auto"/>
        </w:rPr>
        <w:t>, using the toll-free number listed on page 1 of this Proxy Statement or on your Proxy Card/VIF; or</w:t>
      </w:r>
    </w:p>
    <w:p>
      <w:pPr>
        <w:spacing w:after="0" w:line="206"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60"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i w:val="1"/>
          <w:iCs w:val="1"/>
          <w:color w:val="auto"/>
        </w:rPr>
        <w:t>mail</w:t>
      </w:r>
      <w:r>
        <w:rPr>
          <w:rFonts w:ascii="Times New Roman" w:cs="Times New Roman" w:eastAsia="Times New Roman" w:hAnsi="Times New Roman"/>
          <w:sz w:val="22"/>
          <w:szCs w:val="22"/>
          <w:color w:val="auto"/>
        </w:rPr>
        <w:t xml:space="preserve">, by marking, signing, dating and mailing your Proxy Card/VIF and returning it in the envelope provided. </w:t>
      </w:r>
      <w:r>
        <w:rPr>
          <w:rFonts w:ascii="Times New Roman" w:cs="Times New Roman" w:eastAsia="Times New Roman" w:hAnsi="Times New Roman"/>
          <w:sz w:val="22"/>
          <w:szCs w:val="22"/>
          <w:b w:val="1"/>
          <w:bCs w:val="1"/>
          <w:color w:val="auto"/>
        </w:rPr>
        <w:t>If you</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return your signed Proxy Card/VIF but do not mark the boxes showing how you wish to vote, your shares will be voted FOR Proposals 1 through 3 and AGAINST Proposal 4.</w:t>
      </w:r>
    </w:p>
    <w:p>
      <w:pPr>
        <w:spacing w:after="0" w:line="17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565" w:right="339" w:bottom="1440" w:gutter="0" w:footer="0" w:header="0"/>
        </w:sectPr>
      </w:pPr>
    </w:p>
    <w:bookmarkStart w:id="18" w:name="page19"/>
    <w:bookmarkEnd w:id="18"/>
    <w:p>
      <w:pPr>
        <w:ind w:left="340"/>
        <w:spacing w:after="0"/>
        <w:rPr>
          <w:sz w:val="20"/>
          <w:szCs w:val="20"/>
          <w:color w:val="auto"/>
        </w:rPr>
      </w:pPr>
      <w:r>
        <w:rPr>
          <w:rFonts w:ascii="Times New Roman" w:cs="Times New Roman" w:eastAsia="Times New Roman" w:hAnsi="Times New Roman"/>
          <w:sz w:val="22"/>
          <w:szCs w:val="22"/>
          <w:color w:val="auto"/>
        </w:rPr>
        <w:t>You may vote in person:</w:t>
      </w:r>
    </w:p>
    <w:p>
      <w:pPr>
        <w:spacing w:after="0" w:line="206"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no prior authorization, </w:t>
      </w:r>
      <w:r>
        <w:rPr>
          <w:rFonts w:ascii="Times New Roman" w:cs="Times New Roman" w:eastAsia="Times New Roman" w:hAnsi="Times New Roman"/>
          <w:sz w:val="22"/>
          <w:szCs w:val="22"/>
          <w:u w:val="single" w:color="auto"/>
          <w:color w:val="auto"/>
        </w:rPr>
        <w:t>if you are a record owner;</w:t>
      </w:r>
    </w:p>
    <w:p>
      <w:pPr>
        <w:spacing w:after="0" w:line="206" w:lineRule="exact"/>
        <w:rPr>
          <w:rFonts w:ascii="Times New Roman" w:cs="Times New Roman" w:eastAsia="Times New Roman" w:hAnsi="Times New Roman"/>
          <w:sz w:val="22"/>
          <w:szCs w:val="22"/>
          <w:color w:val="auto"/>
        </w:rPr>
      </w:pPr>
    </w:p>
    <w:p>
      <w:pPr>
        <w:ind w:left="660" w:right="20" w:hanging="328"/>
        <w:spacing w:after="0" w:line="258" w:lineRule="auto"/>
        <w:tabs>
          <w:tab w:leader="none" w:pos="660"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with a legal proxy from the brokerage firm, bank or trust that holds your shares in street name, </w:t>
      </w:r>
      <w:r>
        <w:rPr>
          <w:rFonts w:ascii="Times New Roman" w:cs="Times New Roman" w:eastAsia="Times New Roman" w:hAnsi="Times New Roman"/>
          <w:sz w:val="22"/>
          <w:szCs w:val="22"/>
          <w:u w:val="single" w:color="auto"/>
          <w:color w:val="auto"/>
        </w:rPr>
        <w:t>if you are a beneficial</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owner</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ind w:right="1000"/>
        <w:spacing w:after="0" w:line="435" w:lineRule="auto"/>
        <w:rPr>
          <w:sz w:val="20"/>
          <w:szCs w:val="20"/>
          <w:color w:val="auto"/>
        </w:rPr>
      </w:pPr>
      <w:r>
        <w:rPr>
          <w:rFonts w:ascii="Times New Roman" w:cs="Times New Roman" w:eastAsia="Times New Roman" w:hAnsi="Times New Roman"/>
          <w:sz w:val="22"/>
          <w:szCs w:val="22"/>
          <w:color w:val="auto"/>
        </w:rPr>
        <w:t xml:space="preserve">The deadline for voting by telephone or electronically through the Internet is 11:59 p.m. Eastern Time, April 29, 2026. </w:t>
      </w:r>
      <w:r>
        <w:rPr>
          <w:rFonts w:ascii="Times New Roman" w:cs="Times New Roman" w:eastAsia="Times New Roman" w:hAnsi="Times New Roman"/>
          <w:sz w:val="22"/>
          <w:szCs w:val="22"/>
          <w:b w:val="1"/>
          <w:bCs w:val="1"/>
          <w:i w:val="1"/>
          <w:iCs w:val="1"/>
          <w:color w:val="auto"/>
        </w:rPr>
        <w:t>Will my shares be voted if I do not provide my Proxy?</w:t>
      </w:r>
    </w:p>
    <w:p>
      <w:pPr>
        <w:spacing w:after="0" w:line="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It depends on whether you are a record owner or beneficial owner. If you are a record owner, your shares will NOT be voted unless you provide a Proxy or vote in person at the Annual Meeting. For beneficial owners who hold shares in street name through brokerage firms, those firms generally have the authority to vote their clients’ unvoted shares in their discretion on certain routine matters. For example, if you are a beneficial owner and you do not provide voting instructions, your brokerage firm may vote your shares with respect to the ratification of the appointment of independent auditors (Proposal 2), as this matter is considered routine under the applicable New York Stock Exchange (“NYSE”) rules. All other matters to be voted on at this year’s Annual Meeting are not considered routine, and your broker cannot vote your shares on those non-routine matters without your instruction (“broker non-votes”).</w:t>
      </w:r>
    </w:p>
    <w:p>
      <w:pPr>
        <w:spacing w:after="0" w:line="174" w:lineRule="exact"/>
        <w:rPr>
          <w:sz w:val="20"/>
          <w:szCs w:val="20"/>
          <w:color w:val="auto"/>
        </w:rPr>
      </w:pPr>
    </w:p>
    <w:p>
      <w:pPr>
        <w:ind w:right="1680"/>
        <w:spacing w:after="0" w:line="437" w:lineRule="auto"/>
        <w:rPr>
          <w:sz w:val="20"/>
          <w:szCs w:val="20"/>
          <w:color w:val="auto"/>
        </w:rPr>
      </w:pPr>
      <w:r>
        <w:rPr>
          <w:rFonts w:ascii="Times New Roman" w:cs="Times New Roman" w:eastAsia="Times New Roman" w:hAnsi="Times New Roman"/>
          <w:sz w:val="22"/>
          <w:szCs w:val="22"/>
          <w:b w:val="1"/>
          <w:bCs w:val="1"/>
          <w:color w:val="auto"/>
        </w:rPr>
        <w:t>Beneficial Owners</w:t>
      </w:r>
      <w:r>
        <w:rPr>
          <w:rFonts w:ascii="Times New Roman" w:cs="Times New Roman" w:eastAsia="Times New Roman" w:hAnsi="Times New Roman"/>
          <w:sz w:val="22"/>
          <w:szCs w:val="22"/>
          <w:color w:val="auto"/>
        </w:rPr>
        <w:t>: The Company urges you to instruct your broker, bank or trust on how to vote your shares.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What constitutes a quorum?</w:t>
      </w:r>
    </w:p>
    <w:p>
      <w:pPr>
        <w:spacing w:after="0" w:line="1"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The presence, in person or by Proxy, of Shareholders entitled to cast a majority of votes will be necessary to constitute a quorum for the transaction of business at the Annual Meeting. WITHHOLD votes with respect to Director nominees and ABSTAIN votes on the other proposals will be counted in determining the presence of a quorum, as will shares subject to broker non-votes if the broker votes the shares on a routine matter, such as the ratification of the appointment of the Company’s independent auditors (Proposal 2).</w:t>
      </w:r>
    </w:p>
    <w:p>
      <w:pPr>
        <w:spacing w:after="0" w:line="177"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Under Pennsylvania law and the Company’s By-Laws, ABSTAIN votes and broker non-votes are not considered to be “votes cast” and, therefore, although they will be counted for purposes of determining a quorum, they will not be given effect either as FOR or WITHHOLD / AGAINST votes.</w:t>
      </w:r>
    </w:p>
    <w:p>
      <w:pPr>
        <w:spacing w:after="0" w:line="167"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What vote is needed for the election of Directors, and what is the policy with respect to the resignation of Directors who do not receive a majority of the votes?</w:t>
      </w:r>
    </w:p>
    <w:p>
      <w:pPr>
        <w:spacing w:after="0" w:line="151"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With regard to Proposal 1, Shareholders may vote FOR or WITHHOLD with respect to the election of Directors. Directors are elected by a plurality of the votes cast, in person or by Proxy, subject to the Company’s By-Law provision described below. The Company’s By-Laws set forth the procedures if a Director nominee does not receive at least a majority of votes cast in an uncontested election of Directors where a quorum is present. In an uncontested election, an incumbent Director nominee who receives the support of less than a majority of the votes cast at an Annual Meeting, although deemed to have been elected to the Board by plurality vote, must promptly tender his or her resignation to the Board. In an uncontested election, if a nominee who is </w:t>
      </w:r>
      <w:r>
        <w:rPr>
          <w:rFonts w:ascii="Times New Roman" w:cs="Times New Roman" w:eastAsia="Times New Roman" w:hAnsi="Times New Roman"/>
          <w:sz w:val="22"/>
          <w:szCs w:val="22"/>
          <w:u w:val="single" w:color="auto"/>
          <w:color w:val="auto"/>
        </w:rPr>
        <w:t>not</w:t>
      </w:r>
      <w:r>
        <w:rPr>
          <w:rFonts w:ascii="Times New Roman" w:cs="Times New Roman" w:eastAsia="Times New Roman" w:hAnsi="Times New Roman"/>
          <w:sz w:val="22"/>
          <w:szCs w:val="22"/>
          <w:color w:val="auto"/>
        </w:rPr>
        <w:t xml:space="preserve"> an incumbent does not receive the vote of at least a majority of the votes cast, the nominee will be deemed to have been elected to the Board by plurality vote and to have immediately resigned.</w:t>
      </w:r>
    </w:p>
    <w:p>
      <w:pPr>
        <w:spacing w:after="0" w:line="205"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this purpose, “majority of votes cast” means the number of shares voted FOR a Director’s election exceeds 50% of the total number of votes cast with respect to the Director’s election. “Votes cast” includes only FOR and WITHHOLD votes. Under Pennsylvania law and the Company’s By-Laws, broker non-votes are not considered to be “votes” and, therefore, will not be given effect either as FOR or WITHHOLD votes in the context of Proposal 1.</w:t>
      </w:r>
    </w:p>
    <w:p>
      <w:pPr>
        <w:spacing w:after="0" w:line="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571" w:right="339" w:bottom="1440" w:gutter="0" w:footer="0" w:header="0"/>
        </w:sectPr>
      </w:pPr>
    </w:p>
    <w:bookmarkStart w:id="19" w:name="page20"/>
    <w:bookmarkEnd w:id="19"/>
    <w:p>
      <w:pPr>
        <w:jc w:val="both"/>
        <w:spacing w:after="0" w:line="234" w:lineRule="auto"/>
        <w:rPr>
          <w:sz w:val="20"/>
          <w:szCs w:val="20"/>
          <w:color w:val="auto"/>
        </w:rPr>
      </w:pPr>
      <w:r>
        <w:rPr>
          <w:rFonts w:ascii="Times New Roman" w:cs="Times New Roman" w:eastAsia="Times New Roman" w:hAnsi="Times New Roman"/>
          <w:sz w:val="22"/>
          <w:szCs w:val="22"/>
          <w:color w:val="auto"/>
        </w:rPr>
        <w:t>The Nominating and Corporate Governance Committee will evaluate the tendered resignation of an incumbent Director who does not receive a majority vote in an uncontested election and make a recommendation to the Board as to whether the resignation should be accepted. The Board will act on the tendered resignation and publicly disclose its decision within 90 days from the date of certification of election results. If the Board does not accept the incumbent’s resignation, such Director will continue to serve until the next Annual Meeting and until his or her successor is duly elected and qualified or until such Director’s earlier death, resignation or removal. If the Board accepts the Director’s resignation, the Board may fill the resulting vacancy or decrease the size of the Board pursuant to the Company’s By-Laws. To be eligible to stand for election, each nominee who agrees to be nominated must agree in writing to be bound by the By-Law resignation provisions in the event the nominee does not receive a majority of the votes cast in an uncontested election.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What vote is needed to approve all other proposals?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Proposals 2, 3 and 4 require a FOR vote of a majority of the votes cast, in person and by Proxy, in order to be approved.</w:t>
      </w:r>
    </w:p>
    <w:p>
      <w:pPr>
        <w:spacing w:after="0" w:line="98"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ABSTAIN votes and broker non-votes will not be considered as votes cast and will have no effect on the outcome of the votes on these proposals.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Can I change or revoke my vote after I have delivered my Proxy?</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Yes. If you are a record owner, prior to the Annual Meeting you may change your vote by submitting a later-dated Proxy in one of the manners authorized and described in this Proxy Statement (by Proxy Card, via the Internet or by telephone). You also may give a written notice of revocation to the Company’s Corporate Secretary, so long as it is delivered to the Corporate Secretary at the Company’s principal executive offices prior to the beginning of the Annual Meeting, or given to the Corporate Secretary at the Annual Meeting prior to the time your Proxy is voted at the Annual Meeting. You also may revoke any Proxy given pursuant to this solicitation by attending the Annual Meeting and voting in person by ballot. If you are a beneficial owner, please follow the instructions provided by your broker, bank or trust as to how you may change your vote or obtain a legal proxy to vote your shares if you wish to cast your vote in person at the Annual Meeting.</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can attend the Annual Meeting?</w:t>
      </w:r>
    </w:p>
    <w:p>
      <w:pPr>
        <w:spacing w:after="0" w:line="104" w:lineRule="exact"/>
        <w:rPr>
          <w:sz w:val="20"/>
          <w:szCs w:val="20"/>
          <w:color w:val="auto"/>
        </w:rPr>
      </w:pPr>
    </w:p>
    <w:p>
      <w:pPr>
        <w:jc w:val="both"/>
        <w:spacing w:after="0" w:line="233" w:lineRule="auto"/>
        <w:rPr>
          <w:sz w:val="20"/>
          <w:szCs w:val="20"/>
          <w:color w:val="auto"/>
        </w:rPr>
      </w:pPr>
      <w:r>
        <w:rPr>
          <w:rFonts w:ascii="Times New Roman" w:cs="Times New Roman" w:eastAsia="Times New Roman" w:hAnsi="Times New Roman"/>
          <w:sz w:val="22"/>
          <w:szCs w:val="22"/>
          <w:color w:val="auto"/>
        </w:rPr>
        <w:t>Only Company employees and Shareholders as of the March 10, 2026 Record Date may attend the Annual Meeting. Record owners may attend without any prior authorization. If you are a beneficial owner, to be admitted to the Annual Meeting you will need proof of beneficial ownership satisfactory to the Company in the form of a statement from the brokerage firm, bank or trust or a legal proxy from that institution showing you as a beneficial owner of Company shares or as the sole legal proxy of a beneficial owner. All Annual Meeting attendees may be asked to present valid, government-issued photo identification, such as a driver’s license or passport, before entering the Annual Meeting. Attendees will be subject to security inspections and will be required to comply with other security and procedural measures in place at the Annual Meeting. Please arrive early enough to allow yourself adequate time to clear security. You will not be allowed to use video or audio recording devices in the Annual Meeting. Representatives of the Company will be at the entrance to the Annual Meeting, and these representatives will be authorized on the Company’s behalf to determine whether the admission policies and procedures are being followed and whether you will be granted admission to the Annual Meeting.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Health Protocols:</w:t>
      </w:r>
    </w:p>
    <w:p>
      <w:pPr>
        <w:spacing w:after="0" w:line="10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For the health and safety of our Shareholders and employees, we ask that you follow all applicable health orders in place at the time of the Annual Meeting. As the state of applicable health orders are subject to change following the date of this Proxy Statement, we encourage Shareholders who plan to attend the Annual Meeting in person to review the latest guidance from the Centers</w:t>
      </w:r>
    </w:p>
    <w:p>
      <w:pPr>
        <w:spacing w:after="0" w:line="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57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22"/>
          <w:szCs w:val="22"/>
          <w:color w:val="auto"/>
        </w:rPr>
        <w:t>for Disease Control and Prevention and the Florida Department of Health, as well as the Company’s website at:</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29650B"/>
        </w:rPr>
        <w:t>www.crowncork.com/investors/governance/proxy-online</w:t>
      </w:r>
    </w:p>
    <w:p>
      <w:pPr>
        <w:spacing w:after="0" w:line="1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prior to attending. Individuals experiencing cold/flu-like symptoms should not attend the Annual Meeting in person but are encouraged to vote prior to the meeting using one of the other methods described under “How do I vote my shares?” above.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Where can I find voting results of the Annual Meeting?</w:t>
      </w:r>
    </w:p>
    <w:p>
      <w:pPr>
        <w:spacing w:after="0" w:line="1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Company will announce the preliminary voting results at the Annual Meeting and publish the final results in a Form 8-K or Form 10-Q filed with the Securities and Exchange Commission (“SEC”) within four business days after the date of the Annual Meeting.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 conducts the Proxy solicitation, and how much will it cost?</w:t>
      </w:r>
    </w:p>
    <w:p>
      <w:pPr>
        <w:spacing w:after="0" w:line="10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The Company has engaged D.F. King to assist in the solicitation of Proxies for a fee of $10,000 plus reimbursement for out-of-pocket expenses and certain additional fees for services rendered in connection with such solicitation. Certain Officers and employees of the Company also may solicit Proxies by mail, telephone, Internet or facsimile or in person without any extra compensation. The Company bears the cost of soliciting Proxies.</w:t>
      </w:r>
    </w:p>
    <w:p>
      <w:pPr>
        <w:spacing w:after="0" w:line="174" w:lineRule="exact"/>
        <w:rPr>
          <w:sz w:val="20"/>
          <w:szCs w:val="20"/>
          <w:color w:val="auto"/>
        </w:rPr>
      </w:pPr>
    </w:p>
    <w:p>
      <w:pPr>
        <w:jc w:val="both"/>
        <w:ind w:right="20"/>
        <w:spacing w:after="0" w:line="264" w:lineRule="auto"/>
        <w:rPr>
          <w:sz w:val="20"/>
          <w:szCs w:val="20"/>
          <w:color w:val="auto"/>
        </w:rPr>
      </w:pPr>
      <w:r>
        <w:rPr>
          <w:rFonts w:ascii="Times New Roman" w:cs="Times New Roman" w:eastAsia="Times New Roman" w:hAnsi="Times New Roman"/>
          <w:sz w:val="22"/>
          <w:szCs w:val="22"/>
          <w:b w:val="1"/>
          <w:bCs w:val="1"/>
          <w:i w:val="1"/>
          <w:iCs w:val="1"/>
          <w:color w:val="auto"/>
        </w:rPr>
        <w:t>What is the deadline for proposals for consideration or for nominations of individuals to serve as Directors at the 2027 Annual Meeting of Shareholders?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Proposals to be Considered for Inclusion in the Company’s Proxy Materials:</w:t>
      </w:r>
    </w:p>
    <w:p>
      <w:pPr>
        <w:spacing w:after="0" w:line="237"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order to be considered for inclusion in the Proxy Statement for the Company’s 2027 Annual Meeting of Shareholders, any Shareholder proposal intended to be presented at that meeting, in addition to meeting the shareholder eligibility and other requirements of the SEC rules governing such proposals, must be received in writing, via Certified Mail – Return Receipt Requested, by the Office of the Corporate Secretary, Crown Holdings, Inc., Hidden River Corporate Center Two, 14025 Riveredge Drive, Suite 300, Tampa, FL 33637 not later than November 23, 2026.</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Director Nominations for Inclusion in the Company’s Proxy Materials (Proxy Access):</w:t>
      </w:r>
    </w:p>
    <w:p>
      <w:pPr>
        <w:spacing w:after="0" w:line="23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Under certain circumstances, Shareholders may submit nominations for Directors for inclusion in the Company’s proxy materials by complying with the proxy access requirements in the Company’s By-Laws, which require nominations to be submitted in writing, via Certified Mail – Return Receipt Requested, and received at the above address not before October 24, 2026 nor after November 23, 2026.</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1"/>
          <w:szCs w:val="21"/>
          <w:color w:val="auto"/>
        </w:rPr>
        <w:t>Shareholders who intend to solicit proxies in support of Director nominees other than the Company’s nominees in compliance with Rule 14a-19 under the Securities Exchange Act of 1934 must provide notice that sets forth the information required by Rule 14a-19 no later than March 1, 2027. If the date of the 2027 Annual Meeting changes by more than 30 calendar days from the date of the Annual Meeting, such notice must instead be provided by the later of 60 calendar days prior to the date of the 2027 Annual Meeting or the tenth calendar day following public announcement by the Company of the date of the 2027 Annual Meeting.</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Other Business and Director Nominations to Be Brought Before the 2027 Annual Meeting of Shareholders:</w:t>
      </w:r>
    </w:p>
    <w:p>
      <w:pPr>
        <w:spacing w:after="0" w:line="2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The Company’s By-Laws currently provide that a Shareholder of record at the time that notice is given to the Company and who is entitled to vote at an annual meeting may bring business before the meeting or nominate a person for election</w:t>
      </w:r>
    </w:p>
    <w:p>
      <w:pPr>
        <w:spacing w:after="0" w:line="200" w:lineRule="exact"/>
        <w:rPr>
          <w:sz w:val="20"/>
          <w:szCs w:val="20"/>
          <w:color w:val="auto"/>
        </w:rPr>
      </w:pPr>
    </w:p>
    <w:p>
      <w:pPr>
        <w:spacing w:after="0" w:line="33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571" w:right="339" w:bottom="1440" w:gutter="0" w:footer="0" w:header="0"/>
        </w:sectPr>
      </w:pPr>
    </w:p>
    <w:bookmarkStart w:id="21" w:name="page22"/>
    <w:bookmarkEnd w:id="21"/>
    <w:p>
      <w:pPr>
        <w:jc w:val="both"/>
        <w:spacing w:after="0" w:line="238" w:lineRule="auto"/>
        <w:rPr>
          <w:sz w:val="20"/>
          <w:szCs w:val="20"/>
          <w:color w:val="auto"/>
        </w:rPr>
      </w:pPr>
      <w:r>
        <w:rPr>
          <w:rFonts w:ascii="Times New Roman" w:cs="Times New Roman" w:eastAsia="Times New Roman" w:hAnsi="Times New Roman"/>
          <w:sz w:val="22"/>
          <w:szCs w:val="22"/>
          <w:color w:val="auto"/>
        </w:rPr>
        <w:t>to the Board of Directors if the Shareholder gives timely notice of such business or nomination. To be timely, and subject to certain exceptions, notice in writing to the Corporate Secretary must be delivered or mailed, via Certified Mail – Return Receipt Requested, and received at the above address not before October 24, 2026 nor after November 23, 2026. The notice must describe various matters regarding the nominee or proposed business. Any Shareholder desiring a copy of the Company’s By-Laws will be furnished one copy without charge upon written request to the Corporate Secretary.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How can I access the Proxy materials on the Internet?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has made available copies of the following materials at the Company’s website at: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29650B"/>
        </w:rPr>
        <w:t>www.crowncork.com/investors/governance/proxy-online</w:t>
      </w:r>
    </w:p>
    <w:p>
      <w:pPr>
        <w:spacing w:after="0" w:line="102" w:lineRule="exact"/>
        <w:rPr>
          <w:sz w:val="20"/>
          <w:szCs w:val="20"/>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Proxy Statement</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Proxy Card relating to the Annual Meeting of Shareholders</w:t>
      </w:r>
    </w:p>
    <w:p>
      <w:pPr>
        <w:spacing w:after="0" w:line="98" w:lineRule="exact"/>
        <w:rPr>
          <w:rFonts w:ascii="Times New Roman" w:cs="Times New Roman" w:eastAsia="Times New Roman" w:hAnsi="Times New Roman"/>
          <w:sz w:val="22"/>
          <w:szCs w:val="22"/>
          <w:color w:val="auto"/>
        </w:rPr>
      </w:pPr>
    </w:p>
    <w:p>
      <w:pPr>
        <w:ind w:left="660" w:hanging="328"/>
        <w:spacing w:after="0"/>
        <w:tabs>
          <w:tab w:leader="none" w:pos="66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Report to Shareholders</w:t>
      </w:r>
    </w:p>
    <w:p>
      <w:pPr>
        <w:spacing w:after="0" w:line="139"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Information included on the Company’s website, other than this Proxy Statement, the Proxy Card and the Annual Report to Shareholders, is not part of the Proxy soliciting materials.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Whom should I contact to obtain a copy of the Annual Report on Form 10-K?</w:t>
      </w:r>
    </w:p>
    <w:p>
      <w:pPr>
        <w:spacing w:after="0" w:line="212"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 xml:space="preserve">The Company filed its Annual Report on Form 10-K for the fiscal year ended December 31, 2025 with the SEC on February 27, 2026. A copy of the Company’s Annual Report on Form 10-K was included as part of the Annual Report to Shareholders that you received along with the proxy materials. Any Shareholder can obtain a copy of the Annual Report, including the financial statements and schedules thereto and a list describing all the exhibits not contained therein, without charge. Requests for copies of the Annual Report should be sent to: Investor Relations Department, Crown Holdings, Inc., Hidden River Corporate Center Two, 14025 Riveredge Drive, Suite 300, Tampa, FL 33637 or you may call toll free 888-400-7789. Copies in electronic format of the Company’s Annual Report and filings with the SEC are available at the Company’s website in the “For Investors” section at </w:t>
      </w:r>
      <w:r>
        <w:rPr>
          <w:rFonts w:ascii="Times New Roman" w:cs="Times New Roman" w:eastAsia="Times New Roman" w:hAnsi="Times New Roman"/>
          <w:sz w:val="22"/>
          <w:szCs w:val="22"/>
          <w:b w:val="1"/>
          <w:bCs w:val="1"/>
          <w:u w:val="single" w:color="auto"/>
          <w:color w:val="29650B"/>
        </w:rPr>
        <w:t>www.crowncork.com/investors/reports-filings</w:t>
      </w:r>
      <w:r>
        <w:rPr>
          <w:rFonts w:ascii="Times New Roman" w:cs="Times New Roman" w:eastAsia="Times New Roman" w:hAnsi="Times New Roman"/>
          <w:sz w:val="22"/>
          <w:szCs w:val="22"/>
          <w:color w:val="000000"/>
        </w:rPr>
        <w:t>.</w:t>
      </w:r>
    </w:p>
    <w:p>
      <w:pPr>
        <w:spacing w:after="0" w:line="17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57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31"/>
          <w:szCs w:val="31"/>
          <w:b w:val="1"/>
          <w:bCs w:val="1"/>
          <w:color w:val="29650B"/>
        </w:rPr>
        <w:t>PROPOSAL 1: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29845</wp:posOffset>
            </wp:positionV>
            <wp:extent cx="7132320" cy="342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40"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Proxy Holders shall vote the shares with respect to the nominees listed below, all of whom are now Directors of the Company, to serve as Directors for the ensuing year or until their successors shall be elected. None of the persons named as a nominee for Director has indicated that he or she will be unable or will decline to serve. In the event that any of the nominees are unable or decline to serve, which the Nominating and Corporate Governance Committee of the Board of Directors does not believe will happen, the Proxy Holders will vote with respect to the remaining nominees and others who may be nominated by the Board of Directors.</w:t>
      </w:r>
    </w:p>
    <w:p>
      <w:pPr>
        <w:spacing w:after="0" w:line="208"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Articles of Incorporation and By-Laws of the Company provide for a Board of Directors consisting of between 7 and 15 Directors, as determined by the Board of Directors. The Board of Directors has fixed the number of Directors at 10. It is intended that the Proxies will be voted for the election of the 10 nominees named below as Directors, and no more than 10 will be nominated by the Board. If all 10 Director nominees are elected, 9 of the Directors, representing 90% of the Board, will be “independent” as defined in the NYSE listing standards.</w:t>
      </w:r>
    </w:p>
    <w:p>
      <w:pPr>
        <w:spacing w:after="0" w:line="177"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1"/>
          <w:szCs w:val="21"/>
          <w:color w:val="auto"/>
        </w:rPr>
        <w:t>The Board is committed to regular review of its composition to ensure that the Board continues to have the right mix of skills, background and tenure. Four of the Company’s independent Directors nominated for re-election have joined the Board in the last six years as a result of a Board refreshment process during the period where Director candidates were identified through</w:t>
      </w:r>
    </w:p>
    <w:p>
      <w:pPr>
        <w:jc w:val="both"/>
        <w:spacing w:after="0" w:line="214" w:lineRule="auto"/>
        <w:rPr>
          <w:sz w:val="20"/>
          <w:szCs w:val="20"/>
          <w:color w:val="auto"/>
        </w:rPr>
      </w:pPr>
      <w:r>
        <w:rPr>
          <w:rFonts w:ascii="Times New Roman" w:cs="Times New Roman" w:eastAsia="Times New Roman" w:hAnsi="Times New Roman"/>
          <w:sz w:val="22"/>
          <w:szCs w:val="22"/>
          <w:color w:val="auto"/>
        </w:rPr>
        <w:t>Board, Shareholder and third-party search firm input.</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Our ongoing Board refreshment strategy has further strengthened and diversified the skills and experiences of the Board. The Board believes that the collective combination of backgrounds, skills and experiences of its members has produced a Board that is well-equipped to exercise oversight responsibilities for the Company’s Shareholders and to help guide the Company to achieve its long-term strategic objectives.</w:t>
      </w:r>
    </w:p>
    <w:p>
      <w:pPr>
        <w:spacing w:after="0" w:line="6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Under the Company’s Corporate Governance Guidelines, no Director will commence a term of Board service if the Director is over 75 years old unless the Board determines that an additional term of Board service would be in the best interests of the Company.</w:t>
      </w:r>
    </w:p>
    <w:p>
      <w:pPr>
        <w:spacing w:after="0" w:line="6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names of this year’s nominees and information concerning them and their associations as of March 10, 2026, as furnished by the nominees, follow. The principal occupations and the directorships stated include the nominees’ occupations and directorships with any U.S. publicly traded companies or registered investment companies during the last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292735</wp:posOffset>
            </wp:positionV>
            <wp:extent cx="7110730" cy="449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0730" cy="44958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The Board of Directors Recommends that Shareholders Vote FOR Election</w:t>
      </w:r>
    </w:p>
    <w:p>
      <w:pPr>
        <w:spacing w:after="0" w:line="4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5"/>
          <w:szCs w:val="25"/>
          <w:b w:val="1"/>
          <w:bCs w:val="1"/>
          <w:color w:val="auto"/>
        </w:rPr>
        <w:t>of Each of the Nominees Named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17830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firstLine="8"/>
        <w:spacing w:after="0" w:line="189" w:lineRule="auto"/>
        <w:tabs>
          <w:tab w:leader="none" w:pos="165" w:val="left"/>
        </w:tabs>
        <w:numPr>
          <w:ilvl w:val="0"/>
          <w:numId w:val="2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Two additional Directors joined the Board in 2022 pursuant to an agreement with a Shareholder and resigned in November 2023.</w:t>
      </w: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559" w:right="339" w:bottom="1440" w:gutter="0" w:footer="0" w:header="0"/>
        </w:sectPr>
      </w:pPr>
    </w:p>
    <w:bookmarkStart w:id="23" w:name="page24"/>
    <w:bookmarkEnd w:id="23"/>
    <w:tbl>
      <w:tblPr>
        <w:tblLayout w:type="fixed"/>
        <w:tblInd w:w="10" w:type="dxa"/>
        <w:tblCellMar>
          <w:top w:w="0" w:type="dxa"/>
          <w:left w:w="0" w:type="dxa"/>
          <w:bottom w:w="0" w:type="dxa"/>
          <w:right w:w="0" w:type="dxa"/>
        </w:tblCellMar>
      </w:tblPr>
      <w:tr>
        <w:trPr>
          <w:trHeight w:val="216"/>
        </w:trPr>
        <w:tc>
          <w:tcPr>
            <w:tcW w:w="2200" w:type="dxa"/>
            <w:vAlign w:val="bottom"/>
            <w:tcBorders>
              <w:top w:val="single" w:sz="8" w:color="auto"/>
              <w:left w:val="single" w:sz="8" w:color="auto"/>
            </w:tcBorders>
            <w:shd w:val="clear" w:color="auto" w:fill="29650B"/>
          </w:tcPr>
          <w:p>
            <w:pPr>
              <w:spacing w:after="0"/>
              <w:rPr>
                <w:sz w:val="18"/>
                <w:szCs w:val="18"/>
                <w:color w:val="auto"/>
              </w:rPr>
            </w:pPr>
          </w:p>
        </w:tc>
        <w:tc>
          <w:tcPr>
            <w:tcW w:w="860" w:type="dxa"/>
            <w:vAlign w:val="bottom"/>
            <w:tcBorders>
              <w:top w:val="single" w:sz="8" w:color="auto"/>
            </w:tcBorders>
            <w:shd w:val="clear" w:color="auto" w:fill="29650B"/>
          </w:tcPr>
          <w:p>
            <w:pPr>
              <w:spacing w:after="0"/>
              <w:rPr>
                <w:sz w:val="18"/>
                <w:szCs w:val="18"/>
                <w:color w:val="auto"/>
              </w:rPr>
            </w:pPr>
          </w:p>
        </w:tc>
        <w:tc>
          <w:tcPr>
            <w:tcW w:w="580" w:type="dxa"/>
            <w:vAlign w:val="bottom"/>
            <w:tcBorders>
              <w:top w:val="single" w:sz="8" w:color="auto"/>
            </w:tcBorders>
            <w:shd w:val="clear" w:color="auto" w:fill="29650B"/>
          </w:tcPr>
          <w:p>
            <w:pPr>
              <w:spacing w:after="0"/>
              <w:rPr>
                <w:sz w:val="18"/>
                <w:szCs w:val="18"/>
                <w:color w:val="auto"/>
              </w:rPr>
            </w:pPr>
          </w:p>
        </w:tc>
        <w:tc>
          <w:tcPr>
            <w:tcW w:w="6180" w:type="dxa"/>
            <w:vAlign w:val="bottom"/>
            <w:tcBorders>
              <w:top w:val="single" w:sz="8" w:color="auto"/>
            </w:tcBorders>
            <w:shd w:val="clear" w:color="auto" w:fill="29650B"/>
          </w:tcPr>
          <w:p>
            <w:pPr>
              <w:spacing w:after="0"/>
              <w:rPr>
                <w:sz w:val="18"/>
                <w:szCs w:val="18"/>
                <w:color w:val="auto"/>
              </w:rPr>
            </w:pPr>
          </w:p>
        </w:tc>
        <w:tc>
          <w:tcPr>
            <w:tcW w:w="1420" w:type="dxa"/>
            <w:vAlign w:val="bottom"/>
            <w:tcBorders>
              <w:top w:val="single" w:sz="8" w:color="auto"/>
              <w:right w:val="single" w:sz="8" w:color="auto"/>
            </w:tcBorders>
            <w:shd w:val="clear" w:color="auto" w:fill="29650B"/>
          </w:tcPr>
          <w:p>
            <w:pPr>
              <w:jc w:val="center"/>
              <w:ind w:right="181"/>
              <w:spacing w:after="0" w:line="216" w:lineRule="exact"/>
              <w:rPr>
                <w:sz w:val="20"/>
                <w:szCs w:val="20"/>
                <w:color w:val="auto"/>
              </w:rPr>
            </w:pPr>
            <w:r>
              <w:rPr>
                <w:rFonts w:ascii="Times New Roman" w:cs="Times New Roman" w:eastAsia="Times New Roman" w:hAnsi="Times New Roman"/>
                <w:sz w:val="20"/>
                <w:szCs w:val="20"/>
                <w:b w:val="1"/>
                <w:bCs w:val="1"/>
                <w:color w:val="FFFFFF"/>
                <w:w w:val="96"/>
              </w:rPr>
              <w:t>Year Became</w:t>
            </w:r>
          </w:p>
        </w:tc>
      </w:tr>
      <w:tr>
        <w:trPr>
          <w:trHeight w:val="256"/>
        </w:trPr>
        <w:tc>
          <w:tcPr>
            <w:tcW w:w="2200" w:type="dxa"/>
            <w:vAlign w:val="bottom"/>
            <w:tcBorders>
              <w:left w:val="single" w:sz="8" w:color="auto"/>
            </w:tcBorders>
            <w:shd w:val="clear" w:color="auto" w:fill="29650B"/>
          </w:tcPr>
          <w:p>
            <w:pPr>
              <w:ind w:left="1000"/>
              <w:spacing w:after="0"/>
              <w:rPr>
                <w:sz w:val="20"/>
                <w:szCs w:val="20"/>
                <w:color w:val="auto"/>
              </w:rPr>
            </w:pPr>
            <w:r>
              <w:rPr>
                <w:rFonts w:ascii="Times New Roman" w:cs="Times New Roman" w:eastAsia="Times New Roman" w:hAnsi="Times New Roman"/>
                <w:sz w:val="20"/>
                <w:szCs w:val="20"/>
                <w:b w:val="1"/>
                <w:bCs w:val="1"/>
                <w:color w:val="FFFFFF"/>
              </w:rPr>
              <w:t>Name</w:t>
            </w:r>
          </w:p>
        </w:tc>
        <w:tc>
          <w:tcPr>
            <w:tcW w:w="860" w:type="dxa"/>
            <w:vAlign w:val="bottom"/>
            <w:shd w:val="clear" w:color="auto" w:fill="29650B"/>
          </w:tcPr>
          <w:p>
            <w:pPr>
              <w:jc w:val="center"/>
              <w:ind w:left="281"/>
              <w:spacing w:after="0"/>
              <w:rPr>
                <w:sz w:val="20"/>
                <w:szCs w:val="20"/>
                <w:color w:val="auto"/>
              </w:rPr>
            </w:pPr>
            <w:r>
              <w:rPr>
                <w:rFonts w:ascii="Times New Roman" w:cs="Times New Roman" w:eastAsia="Times New Roman" w:hAnsi="Times New Roman"/>
                <w:sz w:val="20"/>
                <w:szCs w:val="20"/>
                <w:b w:val="1"/>
                <w:bCs w:val="1"/>
                <w:color w:val="FFFFFF"/>
                <w:w w:val="95"/>
              </w:rPr>
              <w:t>Age</w:t>
            </w:r>
          </w:p>
        </w:tc>
        <w:tc>
          <w:tcPr>
            <w:tcW w:w="580" w:type="dxa"/>
            <w:vAlign w:val="bottom"/>
            <w:shd w:val="clear" w:color="auto" w:fill="29650B"/>
          </w:tcPr>
          <w:p>
            <w:pPr>
              <w:spacing w:after="0"/>
              <w:rPr>
                <w:sz w:val="22"/>
                <w:szCs w:val="22"/>
                <w:color w:val="auto"/>
              </w:rPr>
            </w:pPr>
          </w:p>
        </w:tc>
        <w:tc>
          <w:tcPr>
            <w:tcW w:w="6180" w:type="dxa"/>
            <w:vAlign w:val="bottom"/>
            <w:shd w:val="clear" w:color="auto" w:fill="29650B"/>
          </w:tcPr>
          <w:p>
            <w:pPr>
              <w:ind w:left="1800"/>
              <w:spacing w:after="0"/>
              <w:rPr>
                <w:sz w:val="20"/>
                <w:szCs w:val="20"/>
                <w:color w:val="auto"/>
              </w:rPr>
            </w:pPr>
            <w:r>
              <w:rPr>
                <w:rFonts w:ascii="Times New Roman" w:cs="Times New Roman" w:eastAsia="Times New Roman" w:hAnsi="Times New Roman"/>
                <w:sz w:val="20"/>
                <w:szCs w:val="20"/>
                <w:b w:val="1"/>
                <w:bCs w:val="1"/>
                <w:color w:val="FFFFFF"/>
              </w:rPr>
              <w:t>Principal Occupation</w:t>
            </w:r>
          </w:p>
        </w:tc>
        <w:tc>
          <w:tcPr>
            <w:tcW w:w="1420" w:type="dxa"/>
            <w:vAlign w:val="bottom"/>
            <w:tcBorders>
              <w:right w:val="single" w:sz="8" w:color="auto"/>
            </w:tcBorders>
            <w:shd w:val="clear" w:color="auto" w:fill="29650B"/>
          </w:tcPr>
          <w:p>
            <w:pPr>
              <w:jc w:val="center"/>
              <w:ind w:right="181"/>
              <w:spacing w:after="0"/>
              <w:rPr>
                <w:sz w:val="20"/>
                <w:szCs w:val="20"/>
                <w:color w:val="auto"/>
              </w:rPr>
            </w:pPr>
            <w:r>
              <w:rPr>
                <w:rFonts w:ascii="Times New Roman" w:cs="Times New Roman" w:eastAsia="Times New Roman" w:hAnsi="Times New Roman"/>
                <w:sz w:val="20"/>
                <w:szCs w:val="20"/>
                <w:b w:val="1"/>
                <w:bCs w:val="1"/>
                <w:color w:val="FFFFFF"/>
                <w:w w:val="96"/>
              </w:rPr>
              <w:t>Director</w:t>
            </w:r>
          </w:p>
        </w:tc>
      </w:tr>
      <w:tr>
        <w:trPr>
          <w:trHeight w:val="315"/>
        </w:trPr>
        <w:tc>
          <w:tcPr>
            <w:tcW w:w="2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Timothy J. Donahue</w:t>
            </w:r>
          </w:p>
        </w:tc>
        <w:tc>
          <w:tcPr>
            <w:tcW w:w="86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w w:val="99"/>
              </w:rPr>
              <w:t>63</w:t>
            </w: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Chairman, President and Chief Executive Officer of the Company</w:t>
            </w:r>
          </w:p>
        </w:tc>
        <w:tc>
          <w:tcPr>
            <w:tcW w:w="1420" w:type="dxa"/>
            <w:vAlign w:val="bottom"/>
            <w:tcBorders>
              <w:right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w w:val="94"/>
              </w:rPr>
              <w:t>2015</w:t>
            </w:r>
          </w:p>
        </w:tc>
      </w:tr>
      <w:tr>
        <w:trPr>
          <w:trHeight w:val="258"/>
        </w:trPr>
        <w:tc>
          <w:tcPr>
            <w:tcW w:w="2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(e)</w:t>
            </w:r>
          </w:p>
        </w:tc>
        <w:tc>
          <w:tcPr>
            <w:tcW w:w="8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180" w:type="dxa"/>
            <w:vAlign w:val="bottom"/>
          </w:tcPr>
          <w:p>
            <w:pPr>
              <w:spacing w:after="0"/>
              <w:rPr>
                <w:sz w:val="22"/>
                <w:szCs w:val="22"/>
                <w:color w:val="auto"/>
              </w:rPr>
            </w:pPr>
          </w:p>
        </w:tc>
        <w:tc>
          <w:tcPr>
            <w:tcW w:w="1420" w:type="dxa"/>
            <w:vAlign w:val="bottom"/>
            <w:tcBorders>
              <w:right w:val="single" w:sz="8" w:color="auto"/>
            </w:tcBorders>
          </w:tcPr>
          <w:p>
            <w:pPr>
              <w:spacing w:after="0"/>
              <w:rPr>
                <w:sz w:val="22"/>
                <w:szCs w:val="22"/>
                <w:color w:val="auto"/>
              </w:rPr>
            </w:pPr>
          </w:p>
        </w:tc>
      </w:tr>
      <w:tr>
        <w:trPr>
          <w:trHeight w:val="62"/>
        </w:trPr>
        <w:tc>
          <w:tcPr>
            <w:tcW w:w="2200" w:type="dxa"/>
            <w:vAlign w:val="bottom"/>
            <w:tcBorders>
              <w:left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6760" w:type="dxa"/>
            <w:vAlign w:val="bottom"/>
            <w:gridSpan w:val="2"/>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r>
      <w:tr>
        <w:trPr>
          <w:trHeight w:val="315"/>
        </w:trPr>
        <w:tc>
          <w:tcPr>
            <w:tcW w:w="22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Michael P. Doss</w:t>
            </w:r>
          </w:p>
        </w:tc>
        <w:tc>
          <w:tcPr>
            <w:tcW w:w="860" w:type="dxa"/>
            <w:vAlign w:val="bottom"/>
            <w:shd w:val="clear" w:color="auto" w:fill="D9D9D9"/>
          </w:tcPr>
          <w:p>
            <w:pPr>
              <w:jc w:val="center"/>
              <w:ind w:left="281"/>
              <w:spacing w:after="0"/>
              <w:rPr>
                <w:sz w:val="20"/>
                <w:szCs w:val="20"/>
                <w:color w:val="auto"/>
              </w:rPr>
            </w:pPr>
            <w:r>
              <w:rPr>
                <w:rFonts w:ascii="Times New Roman" w:cs="Times New Roman" w:eastAsia="Times New Roman" w:hAnsi="Times New Roman"/>
                <w:sz w:val="20"/>
                <w:szCs w:val="20"/>
                <w:color w:val="auto"/>
                <w:w w:val="99"/>
              </w:rPr>
              <w:t>59</w:t>
            </w:r>
          </w:p>
        </w:tc>
        <w:tc>
          <w:tcPr>
            <w:tcW w:w="6760" w:type="dxa"/>
            <w:vAlign w:val="bottom"/>
            <w:gridSpan w:val="2"/>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Former President and Chief Executive Officer of Graphic Packaging</w:t>
            </w:r>
          </w:p>
        </w:tc>
        <w:tc>
          <w:tcPr>
            <w:tcW w:w="1420" w:type="dxa"/>
            <w:vAlign w:val="bottom"/>
            <w:tcBorders>
              <w:right w:val="single" w:sz="8" w:color="auto"/>
            </w:tcBorders>
            <w:shd w:val="clear" w:color="auto" w:fill="D9D9D9"/>
          </w:tcPr>
          <w:p>
            <w:pPr>
              <w:jc w:val="center"/>
              <w:ind w:right="181"/>
              <w:spacing w:after="0"/>
              <w:rPr>
                <w:sz w:val="20"/>
                <w:szCs w:val="20"/>
                <w:color w:val="auto"/>
              </w:rPr>
            </w:pPr>
            <w:r>
              <w:rPr>
                <w:rFonts w:ascii="Times New Roman" w:cs="Times New Roman" w:eastAsia="Times New Roman" w:hAnsi="Times New Roman"/>
                <w:sz w:val="20"/>
                <w:szCs w:val="20"/>
                <w:color w:val="auto"/>
                <w:w w:val="94"/>
              </w:rPr>
              <w:t>2026</w:t>
            </w:r>
          </w:p>
        </w:tc>
      </w:tr>
      <w:tr>
        <w:trPr>
          <w:trHeight w:val="230"/>
        </w:trPr>
        <w:tc>
          <w:tcPr>
            <w:tcW w:w="22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(a)</w:t>
            </w:r>
          </w:p>
        </w:tc>
        <w:tc>
          <w:tcPr>
            <w:tcW w:w="860" w:type="dxa"/>
            <w:vAlign w:val="bottom"/>
            <w:shd w:val="clear" w:color="auto" w:fill="D9D9D9"/>
          </w:tcPr>
          <w:p>
            <w:pPr>
              <w:spacing w:after="0"/>
              <w:rPr>
                <w:sz w:val="19"/>
                <w:szCs w:val="19"/>
                <w:color w:val="auto"/>
              </w:rPr>
            </w:pPr>
          </w:p>
        </w:tc>
        <w:tc>
          <w:tcPr>
            <w:tcW w:w="6760" w:type="dxa"/>
            <w:vAlign w:val="bottom"/>
            <w:gridSpan w:val="2"/>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Corporation; also a Director of Regal Rexnord Corporation; former Director of</w:t>
            </w:r>
          </w:p>
        </w:tc>
        <w:tc>
          <w:tcPr>
            <w:tcW w:w="1420" w:type="dxa"/>
            <w:vAlign w:val="bottom"/>
            <w:tcBorders>
              <w:right w:val="single" w:sz="8" w:color="auto"/>
            </w:tcBorders>
            <w:shd w:val="clear" w:color="auto" w:fill="D9D9D9"/>
          </w:tcPr>
          <w:p>
            <w:pPr>
              <w:spacing w:after="0"/>
              <w:rPr>
                <w:sz w:val="19"/>
                <w:szCs w:val="19"/>
                <w:color w:val="auto"/>
              </w:rPr>
            </w:pPr>
          </w:p>
        </w:tc>
      </w:tr>
      <w:tr>
        <w:trPr>
          <w:trHeight w:val="286"/>
        </w:trPr>
        <w:tc>
          <w:tcPr>
            <w:tcW w:w="2200" w:type="dxa"/>
            <w:vAlign w:val="bottom"/>
            <w:tcBorders>
              <w:left w:val="single" w:sz="8" w:color="auto"/>
              <w:bottom w:val="single" w:sz="8" w:color="D9D9D9"/>
            </w:tcBorders>
            <w:shd w:val="clear" w:color="auto" w:fill="D9D9D9"/>
          </w:tcPr>
          <w:p>
            <w:pPr>
              <w:spacing w:after="0"/>
              <w:rPr>
                <w:sz w:val="24"/>
                <w:szCs w:val="24"/>
                <w:color w:val="auto"/>
              </w:rPr>
            </w:pPr>
          </w:p>
        </w:tc>
        <w:tc>
          <w:tcPr>
            <w:tcW w:w="860" w:type="dxa"/>
            <w:vAlign w:val="bottom"/>
            <w:tcBorders>
              <w:bottom w:val="single" w:sz="8" w:color="D9D9D9"/>
            </w:tcBorders>
            <w:shd w:val="clear" w:color="auto" w:fill="D9D9D9"/>
          </w:tcPr>
          <w:p>
            <w:pPr>
              <w:spacing w:after="0"/>
              <w:rPr>
                <w:sz w:val="24"/>
                <w:szCs w:val="24"/>
                <w:color w:val="auto"/>
              </w:rPr>
            </w:pPr>
          </w:p>
        </w:tc>
        <w:tc>
          <w:tcPr>
            <w:tcW w:w="6760" w:type="dxa"/>
            <w:vAlign w:val="bottom"/>
            <w:tcBorders>
              <w:bottom w:val="single" w:sz="8" w:color="D9D9D9"/>
            </w:tcBorders>
            <w:gridSpan w:val="2"/>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Sealed Air Corporation</w:t>
            </w:r>
          </w:p>
        </w:tc>
        <w:tc>
          <w:tcPr>
            <w:tcW w:w="1420" w:type="dxa"/>
            <w:vAlign w:val="bottom"/>
            <w:tcBorders>
              <w:bottom w:val="single" w:sz="8" w:color="D9D9D9"/>
              <w:right w:val="single" w:sz="8" w:color="auto"/>
            </w:tcBorders>
            <w:shd w:val="clear" w:color="auto" w:fill="D9D9D9"/>
          </w:tcPr>
          <w:p>
            <w:pPr>
              <w:spacing w:after="0"/>
              <w:rPr>
                <w:sz w:val="24"/>
                <w:szCs w:val="24"/>
                <w:color w:val="auto"/>
              </w:rPr>
            </w:pPr>
          </w:p>
        </w:tc>
      </w:tr>
      <w:tr>
        <w:trPr>
          <w:trHeight w:val="315"/>
        </w:trPr>
        <w:tc>
          <w:tcPr>
            <w:tcW w:w="2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Richard H. Fearon</w:t>
            </w:r>
          </w:p>
        </w:tc>
        <w:tc>
          <w:tcPr>
            <w:tcW w:w="86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w w:val="99"/>
              </w:rPr>
              <w:t>69</w:t>
            </w: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Former Vice Chairman and Chief Financial and Planning Officer and Director of</w:t>
            </w:r>
          </w:p>
        </w:tc>
        <w:tc>
          <w:tcPr>
            <w:tcW w:w="1420" w:type="dxa"/>
            <w:vAlign w:val="bottom"/>
            <w:tcBorders>
              <w:right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w w:val="94"/>
              </w:rPr>
              <w:t>2019</w:t>
            </w:r>
          </w:p>
        </w:tc>
      </w:tr>
      <w:tr>
        <w:trPr>
          <w:trHeight w:val="229"/>
        </w:trPr>
        <w:tc>
          <w:tcPr>
            <w:tcW w:w="2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 (ncg)</w:t>
            </w:r>
          </w:p>
        </w:tc>
        <w:tc>
          <w:tcPr>
            <w:tcW w:w="860" w:type="dxa"/>
            <w:vAlign w:val="bottom"/>
          </w:tcPr>
          <w:p>
            <w:pPr>
              <w:spacing w:after="0"/>
              <w:rPr>
                <w:sz w:val="19"/>
                <w:szCs w:val="19"/>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Eaton Corporation; also Lead Director of Avient Corporation and a Director of</w:t>
            </w:r>
          </w:p>
        </w:tc>
        <w:tc>
          <w:tcPr>
            <w:tcW w:w="1420" w:type="dxa"/>
            <w:vAlign w:val="bottom"/>
            <w:tcBorders>
              <w:right w:val="single" w:sz="8" w:color="auto"/>
            </w:tcBorders>
          </w:tcPr>
          <w:p>
            <w:pPr>
              <w:spacing w:after="0"/>
              <w:rPr>
                <w:sz w:val="19"/>
                <w:szCs w:val="19"/>
                <w:color w:val="auto"/>
              </w:rPr>
            </w:pPr>
          </w:p>
        </w:tc>
      </w:tr>
      <w:tr>
        <w:trPr>
          <w:trHeight w:val="258"/>
        </w:trPr>
        <w:tc>
          <w:tcPr>
            <w:tcW w:w="2200" w:type="dxa"/>
            <w:vAlign w:val="bottom"/>
            <w:tcBorders>
              <w:left w:val="single" w:sz="8" w:color="auto"/>
            </w:tcBorders>
          </w:tcPr>
          <w:p>
            <w:pPr>
              <w:spacing w:after="0"/>
              <w:rPr>
                <w:sz w:val="22"/>
                <w:szCs w:val="22"/>
                <w:color w:val="auto"/>
              </w:rPr>
            </w:pPr>
          </w:p>
        </w:tc>
        <w:tc>
          <w:tcPr>
            <w:tcW w:w="860" w:type="dxa"/>
            <w:vAlign w:val="bottom"/>
          </w:tcPr>
          <w:p>
            <w:pPr>
              <w:spacing w:after="0"/>
              <w:rPr>
                <w:sz w:val="22"/>
                <w:szCs w:val="22"/>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Waters Corporation and CRH plc</w:t>
            </w:r>
          </w:p>
        </w:tc>
        <w:tc>
          <w:tcPr>
            <w:tcW w:w="1420" w:type="dxa"/>
            <w:vAlign w:val="bottom"/>
            <w:tcBorders>
              <w:right w:val="single" w:sz="8" w:color="auto"/>
            </w:tcBorders>
          </w:tcPr>
          <w:p>
            <w:pPr>
              <w:spacing w:after="0"/>
              <w:rPr>
                <w:sz w:val="22"/>
                <w:szCs w:val="22"/>
                <w:color w:val="auto"/>
              </w:rPr>
            </w:pPr>
          </w:p>
        </w:tc>
      </w:tr>
      <w:tr>
        <w:trPr>
          <w:trHeight w:val="48"/>
        </w:trPr>
        <w:tc>
          <w:tcPr>
            <w:tcW w:w="2200" w:type="dxa"/>
            <w:vAlign w:val="bottom"/>
            <w:tcBorders>
              <w:left w:val="single" w:sz="8" w:color="auto"/>
            </w:tcBorders>
          </w:tcPr>
          <w:p>
            <w:pPr>
              <w:spacing w:after="0"/>
              <w:rPr>
                <w:sz w:val="4"/>
                <w:szCs w:val="4"/>
                <w:color w:val="auto"/>
              </w:rPr>
            </w:pPr>
          </w:p>
        </w:tc>
        <w:tc>
          <w:tcPr>
            <w:tcW w:w="860" w:type="dxa"/>
            <w:vAlign w:val="bottom"/>
          </w:tcPr>
          <w:p>
            <w:pPr>
              <w:spacing w:after="0"/>
              <w:rPr>
                <w:sz w:val="4"/>
                <w:szCs w:val="4"/>
                <w:color w:val="auto"/>
              </w:rPr>
            </w:pPr>
          </w:p>
        </w:tc>
        <w:tc>
          <w:tcPr>
            <w:tcW w:w="6760" w:type="dxa"/>
            <w:vAlign w:val="bottom"/>
            <w:gridSpan w:val="2"/>
          </w:tcPr>
          <w:p>
            <w:pPr>
              <w:spacing w:after="0"/>
              <w:rPr>
                <w:sz w:val="4"/>
                <w:szCs w:val="4"/>
                <w:color w:val="auto"/>
              </w:rPr>
            </w:pPr>
          </w:p>
        </w:tc>
        <w:tc>
          <w:tcPr>
            <w:tcW w:w="1420" w:type="dxa"/>
            <w:vAlign w:val="bottom"/>
            <w:tcBorders>
              <w:right w:val="single" w:sz="8" w:color="auto"/>
            </w:tcBorders>
          </w:tcPr>
          <w:p>
            <w:pPr>
              <w:spacing w:after="0"/>
              <w:rPr>
                <w:sz w:val="4"/>
                <w:szCs w:val="4"/>
                <w:color w:val="auto"/>
              </w:rPr>
            </w:pPr>
          </w:p>
        </w:tc>
      </w:tr>
      <w:tr>
        <w:trPr>
          <w:trHeight w:val="315"/>
        </w:trPr>
        <w:tc>
          <w:tcPr>
            <w:tcW w:w="22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Andrea J. Funk</w:t>
            </w:r>
          </w:p>
        </w:tc>
        <w:tc>
          <w:tcPr>
            <w:tcW w:w="860" w:type="dxa"/>
            <w:vAlign w:val="bottom"/>
            <w:shd w:val="clear" w:color="auto" w:fill="D9D9D9"/>
          </w:tcPr>
          <w:p>
            <w:pPr>
              <w:jc w:val="center"/>
              <w:ind w:left="281"/>
              <w:spacing w:after="0"/>
              <w:rPr>
                <w:sz w:val="20"/>
                <w:szCs w:val="20"/>
                <w:color w:val="auto"/>
              </w:rPr>
            </w:pPr>
            <w:r>
              <w:rPr>
                <w:rFonts w:ascii="Times New Roman" w:cs="Times New Roman" w:eastAsia="Times New Roman" w:hAnsi="Times New Roman"/>
                <w:sz w:val="20"/>
                <w:szCs w:val="20"/>
                <w:color w:val="auto"/>
                <w:w w:val="99"/>
              </w:rPr>
              <w:t>56</w:t>
            </w:r>
          </w:p>
        </w:tc>
        <w:tc>
          <w:tcPr>
            <w:tcW w:w="6760" w:type="dxa"/>
            <w:vAlign w:val="bottom"/>
            <w:gridSpan w:val="2"/>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Executive Vice President and Chief Financial Officer of EnerSys; former Chief</w:t>
            </w:r>
          </w:p>
        </w:tc>
        <w:tc>
          <w:tcPr>
            <w:tcW w:w="1420" w:type="dxa"/>
            <w:vAlign w:val="bottom"/>
            <w:tcBorders>
              <w:right w:val="single" w:sz="8" w:color="auto"/>
            </w:tcBorders>
            <w:shd w:val="clear" w:color="auto" w:fill="D9D9D9"/>
          </w:tcPr>
          <w:p>
            <w:pPr>
              <w:jc w:val="center"/>
              <w:ind w:right="181"/>
              <w:spacing w:after="0"/>
              <w:rPr>
                <w:sz w:val="20"/>
                <w:szCs w:val="20"/>
                <w:color w:val="auto"/>
              </w:rPr>
            </w:pPr>
            <w:r>
              <w:rPr>
                <w:rFonts w:ascii="Times New Roman" w:cs="Times New Roman" w:eastAsia="Times New Roman" w:hAnsi="Times New Roman"/>
                <w:sz w:val="20"/>
                <w:szCs w:val="20"/>
                <w:color w:val="auto"/>
                <w:w w:val="94"/>
              </w:rPr>
              <w:t>2017</w:t>
            </w:r>
          </w:p>
        </w:tc>
      </w:tr>
      <w:tr>
        <w:trPr>
          <w:trHeight w:val="258"/>
        </w:trPr>
        <w:tc>
          <w:tcPr>
            <w:tcW w:w="22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(a) (c)</w:t>
            </w:r>
          </w:p>
        </w:tc>
        <w:tc>
          <w:tcPr>
            <w:tcW w:w="860" w:type="dxa"/>
            <w:vAlign w:val="bottom"/>
            <w:shd w:val="clear" w:color="auto" w:fill="D9D9D9"/>
          </w:tcPr>
          <w:p>
            <w:pPr>
              <w:spacing w:after="0"/>
              <w:rPr>
                <w:sz w:val="22"/>
                <w:szCs w:val="22"/>
                <w:color w:val="auto"/>
              </w:rPr>
            </w:pPr>
          </w:p>
        </w:tc>
        <w:tc>
          <w:tcPr>
            <w:tcW w:w="6760" w:type="dxa"/>
            <w:vAlign w:val="bottom"/>
            <w:gridSpan w:val="2"/>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Executive Officer of Cambridge-Lee Industries</w:t>
            </w:r>
          </w:p>
        </w:tc>
        <w:tc>
          <w:tcPr>
            <w:tcW w:w="1420" w:type="dxa"/>
            <w:vAlign w:val="bottom"/>
            <w:tcBorders>
              <w:right w:val="single" w:sz="8" w:color="auto"/>
            </w:tcBorders>
            <w:shd w:val="clear" w:color="auto" w:fill="D9D9D9"/>
          </w:tcPr>
          <w:p>
            <w:pPr>
              <w:spacing w:after="0"/>
              <w:rPr>
                <w:sz w:val="22"/>
                <w:szCs w:val="22"/>
                <w:color w:val="auto"/>
              </w:rPr>
            </w:pPr>
          </w:p>
        </w:tc>
      </w:tr>
      <w:tr>
        <w:trPr>
          <w:trHeight w:val="62"/>
        </w:trPr>
        <w:tc>
          <w:tcPr>
            <w:tcW w:w="2200" w:type="dxa"/>
            <w:vAlign w:val="bottom"/>
            <w:tcBorders>
              <w:left w:val="single" w:sz="8" w:color="auto"/>
            </w:tcBorders>
            <w:shd w:val="clear" w:color="auto" w:fill="D9D9D9"/>
          </w:tcPr>
          <w:p>
            <w:pPr>
              <w:spacing w:after="0"/>
              <w:rPr>
                <w:sz w:val="5"/>
                <w:szCs w:val="5"/>
                <w:color w:val="auto"/>
              </w:rPr>
            </w:pPr>
          </w:p>
        </w:tc>
        <w:tc>
          <w:tcPr>
            <w:tcW w:w="860" w:type="dxa"/>
            <w:vAlign w:val="bottom"/>
            <w:shd w:val="clear" w:color="auto" w:fill="D9D9D9"/>
          </w:tcPr>
          <w:p>
            <w:pPr>
              <w:spacing w:after="0"/>
              <w:rPr>
                <w:sz w:val="5"/>
                <w:szCs w:val="5"/>
                <w:color w:val="auto"/>
              </w:rPr>
            </w:pPr>
          </w:p>
        </w:tc>
        <w:tc>
          <w:tcPr>
            <w:tcW w:w="6760" w:type="dxa"/>
            <w:vAlign w:val="bottom"/>
            <w:gridSpan w:val="2"/>
            <w:shd w:val="clear" w:color="auto" w:fill="D9D9D9"/>
          </w:tcPr>
          <w:p>
            <w:pPr>
              <w:spacing w:after="0"/>
              <w:rPr>
                <w:sz w:val="5"/>
                <w:szCs w:val="5"/>
                <w:color w:val="auto"/>
              </w:rPr>
            </w:pPr>
          </w:p>
        </w:tc>
        <w:tc>
          <w:tcPr>
            <w:tcW w:w="1420" w:type="dxa"/>
            <w:vAlign w:val="bottom"/>
            <w:tcBorders>
              <w:right w:val="single" w:sz="8" w:color="auto"/>
            </w:tcBorders>
            <w:shd w:val="clear" w:color="auto" w:fill="D9D9D9"/>
          </w:tcPr>
          <w:p>
            <w:pPr>
              <w:spacing w:after="0"/>
              <w:rPr>
                <w:sz w:val="5"/>
                <w:szCs w:val="5"/>
                <w:color w:val="auto"/>
              </w:rPr>
            </w:pPr>
          </w:p>
        </w:tc>
      </w:tr>
      <w:tr>
        <w:trPr>
          <w:trHeight w:val="315"/>
        </w:trPr>
        <w:tc>
          <w:tcPr>
            <w:tcW w:w="2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Stephen J. Hagge</w:t>
            </w:r>
          </w:p>
        </w:tc>
        <w:tc>
          <w:tcPr>
            <w:tcW w:w="86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w w:val="99"/>
              </w:rPr>
              <w:t>74</w:t>
            </w: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Former President, Chief Executive Officer and Director of AptarGroup; also</w:t>
            </w:r>
          </w:p>
        </w:tc>
        <w:tc>
          <w:tcPr>
            <w:tcW w:w="1420" w:type="dxa"/>
            <w:vAlign w:val="bottom"/>
            <w:tcBorders>
              <w:right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w w:val="94"/>
              </w:rPr>
              <w:t>2019</w:t>
            </w:r>
          </w:p>
        </w:tc>
      </w:tr>
      <w:tr>
        <w:trPr>
          <w:trHeight w:val="258"/>
        </w:trPr>
        <w:tc>
          <w:tcPr>
            <w:tcW w:w="2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 (e) (ncg)</w:t>
            </w:r>
          </w:p>
        </w:tc>
        <w:tc>
          <w:tcPr>
            <w:tcW w:w="860" w:type="dxa"/>
            <w:vAlign w:val="bottom"/>
          </w:tcPr>
          <w:p>
            <w:pPr>
              <w:spacing w:after="0"/>
              <w:rPr>
                <w:sz w:val="22"/>
                <w:szCs w:val="22"/>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Chairman of CF Industries Holdings</w:t>
            </w:r>
          </w:p>
        </w:tc>
        <w:tc>
          <w:tcPr>
            <w:tcW w:w="1420" w:type="dxa"/>
            <w:vAlign w:val="bottom"/>
            <w:tcBorders>
              <w:right w:val="single" w:sz="8" w:color="auto"/>
            </w:tcBorders>
          </w:tcPr>
          <w:p>
            <w:pPr>
              <w:spacing w:after="0"/>
              <w:rPr>
                <w:sz w:val="22"/>
                <w:szCs w:val="22"/>
                <w:color w:val="auto"/>
              </w:rPr>
            </w:pPr>
          </w:p>
        </w:tc>
      </w:tr>
      <w:tr>
        <w:trPr>
          <w:trHeight w:val="102"/>
        </w:trPr>
        <w:tc>
          <w:tcPr>
            <w:tcW w:w="2200" w:type="dxa"/>
            <w:vAlign w:val="bottom"/>
            <w:tcBorders>
              <w:left w:val="single" w:sz="8" w:color="auto"/>
            </w:tcBorders>
          </w:tcPr>
          <w:p>
            <w:pPr>
              <w:spacing w:after="0"/>
              <w:rPr>
                <w:sz w:val="8"/>
                <w:szCs w:val="8"/>
                <w:color w:val="auto"/>
              </w:rPr>
            </w:pPr>
          </w:p>
        </w:tc>
        <w:tc>
          <w:tcPr>
            <w:tcW w:w="860" w:type="dxa"/>
            <w:vAlign w:val="bottom"/>
          </w:tcPr>
          <w:p>
            <w:pPr>
              <w:spacing w:after="0"/>
              <w:rPr>
                <w:sz w:val="8"/>
                <w:szCs w:val="8"/>
                <w:color w:val="auto"/>
              </w:rPr>
            </w:pPr>
          </w:p>
        </w:tc>
        <w:tc>
          <w:tcPr>
            <w:tcW w:w="6760" w:type="dxa"/>
            <w:vAlign w:val="bottom"/>
            <w:gridSpan w:val="2"/>
          </w:tcPr>
          <w:p>
            <w:pPr>
              <w:spacing w:after="0"/>
              <w:rPr>
                <w:sz w:val="8"/>
                <w:szCs w:val="8"/>
                <w:color w:val="auto"/>
              </w:rPr>
            </w:pPr>
          </w:p>
        </w:tc>
        <w:tc>
          <w:tcPr>
            <w:tcW w:w="1420" w:type="dxa"/>
            <w:vAlign w:val="bottom"/>
            <w:tcBorders>
              <w:right w:val="single" w:sz="8" w:color="auto"/>
            </w:tcBorders>
          </w:tcPr>
          <w:p>
            <w:pPr>
              <w:spacing w:after="0"/>
              <w:rPr>
                <w:sz w:val="8"/>
                <w:szCs w:val="8"/>
                <w:color w:val="auto"/>
              </w:rPr>
            </w:pPr>
          </w:p>
        </w:tc>
      </w:tr>
      <w:tr>
        <w:trPr>
          <w:trHeight w:val="315"/>
        </w:trPr>
        <w:tc>
          <w:tcPr>
            <w:tcW w:w="22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B. Craig Owens</w:t>
            </w:r>
          </w:p>
        </w:tc>
        <w:tc>
          <w:tcPr>
            <w:tcW w:w="860" w:type="dxa"/>
            <w:vAlign w:val="bottom"/>
            <w:shd w:val="clear" w:color="auto" w:fill="D9D9D9"/>
          </w:tcPr>
          <w:p>
            <w:pPr>
              <w:jc w:val="center"/>
              <w:ind w:left="281"/>
              <w:spacing w:after="0"/>
              <w:rPr>
                <w:sz w:val="20"/>
                <w:szCs w:val="20"/>
                <w:color w:val="auto"/>
              </w:rPr>
            </w:pPr>
            <w:r>
              <w:rPr>
                <w:rFonts w:ascii="Times New Roman" w:cs="Times New Roman" w:eastAsia="Times New Roman" w:hAnsi="Times New Roman"/>
                <w:sz w:val="20"/>
                <w:szCs w:val="20"/>
                <w:color w:val="auto"/>
                <w:w w:val="99"/>
              </w:rPr>
              <w:t>71</w:t>
            </w:r>
          </w:p>
        </w:tc>
        <w:tc>
          <w:tcPr>
            <w:tcW w:w="6760" w:type="dxa"/>
            <w:vAlign w:val="bottom"/>
            <w:gridSpan w:val="2"/>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Former Chief Financial Officer and Chief Administrative Officer of Campbell</w:t>
            </w:r>
          </w:p>
        </w:tc>
        <w:tc>
          <w:tcPr>
            <w:tcW w:w="1420" w:type="dxa"/>
            <w:vAlign w:val="bottom"/>
            <w:tcBorders>
              <w:right w:val="single" w:sz="8" w:color="auto"/>
            </w:tcBorders>
            <w:shd w:val="clear" w:color="auto" w:fill="D9D9D9"/>
          </w:tcPr>
          <w:p>
            <w:pPr>
              <w:jc w:val="center"/>
              <w:ind w:right="181"/>
              <w:spacing w:after="0"/>
              <w:rPr>
                <w:sz w:val="20"/>
                <w:szCs w:val="20"/>
                <w:color w:val="auto"/>
              </w:rPr>
            </w:pPr>
            <w:r>
              <w:rPr>
                <w:rFonts w:ascii="Times New Roman" w:cs="Times New Roman" w:eastAsia="Times New Roman" w:hAnsi="Times New Roman"/>
                <w:sz w:val="20"/>
                <w:szCs w:val="20"/>
                <w:color w:val="auto"/>
                <w:w w:val="94"/>
              </w:rPr>
              <w:t>2019</w:t>
            </w:r>
          </w:p>
        </w:tc>
      </w:tr>
      <w:tr>
        <w:trPr>
          <w:trHeight w:val="286"/>
        </w:trPr>
        <w:tc>
          <w:tcPr>
            <w:tcW w:w="2200" w:type="dxa"/>
            <w:vAlign w:val="bottom"/>
            <w:tcBorders>
              <w:left w:val="single" w:sz="8" w:color="auto"/>
              <w:bottom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(a) (e) (ncg)</w:t>
            </w:r>
          </w:p>
        </w:tc>
        <w:tc>
          <w:tcPr>
            <w:tcW w:w="860" w:type="dxa"/>
            <w:vAlign w:val="bottom"/>
            <w:tcBorders>
              <w:bottom w:val="single" w:sz="8" w:color="D9D9D9"/>
            </w:tcBorders>
            <w:shd w:val="clear" w:color="auto" w:fill="D9D9D9"/>
          </w:tcPr>
          <w:p>
            <w:pPr>
              <w:spacing w:after="0"/>
              <w:rPr>
                <w:sz w:val="24"/>
                <w:szCs w:val="24"/>
                <w:color w:val="auto"/>
              </w:rPr>
            </w:pPr>
          </w:p>
        </w:tc>
        <w:tc>
          <w:tcPr>
            <w:tcW w:w="6760" w:type="dxa"/>
            <w:vAlign w:val="bottom"/>
            <w:tcBorders>
              <w:bottom w:val="single" w:sz="8" w:color="D9D9D9"/>
            </w:tcBorders>
            <w:gridSpan w:val="2"/>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Soup Company; also a Director of AptarGroup</w:t>
            </w:r>
          </w:p>
        </w:tc>
        <w:tc>
          <w:tcPr>
            <w:tcW w:w="1420" w:type="dxa"/>
            <w:vAlign w:val="bottom"/>
            <w:tcBorders>
              <w:bottom w:val="single" w:sz="8" w:color="D9D9D9"/>
              <w:right w:val="single" w:sz="8" w:color="auto"/>
            </w:tcBorders>
            <w:shd w:val="clear" w:color="auto" w:fill="D9D9D9"/>
          </w:tcPr>
          <w:p>
            <w:pPr>
              <w:spacing w:after="0"/>
              <w:rPr>
                <w:sz w:val="24"/>
                <w:szCs w:val="24"/>
                <w:color w:val="auto"/>
              </w:rPr>
            </w:pPr>
          </w:p>
        </w:tc>
      </w:tr>
      <w:tr>
        <w:trPr>
          <w:trHeight w:val="315"/>
        </w:trPr>
        <w:tc>
          <w:tcPr>
            <w:tcW w:w="2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Angela M. Snyder</w:t>
            </w:r>
          </w:p>
        </w:tc>
        <w:tc>
          <w:tcPr>
            <w:tcW w:w="86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w w:val="99"/>
              </w:rPr>
              <w:t>61</w:t>
            </w: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Former President of Fulton Financial Corporation and Fulton Bank; also a</w:t>
            </w:r>
          </w:p>
        </w:tc>
        <w:tc>
          <w:tcPr>
            <w:tcW w:w="1420" w:type="dxa"/>
            <w:vAlign w:val="bottom"/>
            <w:tcBorders>
              <w:right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w w:val="94"/>
              </w:rPr>
              <w:t>2022</w:t>
            </w:r>
          </w:p>
        </w:tc>
      </w:tr>
      <w:tr>
        <w:trPr>
          <w:trHeight w:val="258"/>
        </w:trPr>
        <w:tc>
          <w:tcPr>
            <w:tcW w:w="2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 (c)</w:t>
            </w:r>
          </w:p>
        </w:tc>
        <w:tc>
          <w:tcPr>
            <w:tcW w:w="860" w:type="dxa"/>
            <w:vAlign w:val="bottom"/>
          </w:tcPr>
          <w:p>
            <w:pPr>
              <w:spacing w:after="0"/>
              <w:rPr>
                <w:sz w:val="22"/>
                <w:szCs w:val="22"/>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Director of Fulton Bank</w:t>
            </w:r>
          </w:p>
        </w:tc>
        <w:tc>
          <w:tcPr>
            <w:tcW w:w="1420" w:type="dxa"/>
            <w:vAlign w:val="bottom"/>
            <w:tcBorders>
              <w:right w:val="single" w:sz="8" w:color="auto"/>
            </w:tcBorders>
          </w:tcPr>
          <w:p>
            <w:pPr>
              <w:spacing w:after="0"/>
              <w:rPr>
                <w:sz w:val="22"/>
                <w:szCs w:val="22"/>
                <w:color w:val="auto"/>
              </w:rPr>
            </w:pPr>
          </w:p>
        </w:tc>
      </w:tr>
      <w:tr>
        <w:trPr>
          <w:trHeight w:val="62"/>
        </w:trPr>
        <w:tc>
          <w:tcPr>
            <w:tcW w:w="2200" w:type="dxa"/>
            <w:vAlign w:val="bottom"/>
            <w:tcBorders>
              <w:left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6760" w:type="dxa"/>
            <w:vAlign w:val="bottom"/>
            <w:gridSpan w:val="2"/>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r>
      <w:tr>
        <w:trPr>
          <w:trHeight w:val="315"/>
        </w:trPr>
        <w:tc>
          <w:tcPr>
            <w:tcW w:w="22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Caesar F. Sweitzer</w:t>
            </w:r>
          </w:p>
        </w:tc>
        <w:tc>
          <w:tcPr>
            <w:tcW w:w="860" w:type="dxa"/>
            <w:vAlign w:val="bottom"/>
            <w:shd w:val="clear" w:color="auto" w:fill="D9D9D9"/>
          </w:tcPr>
          <w:p>
            <w:pPr>
              <w:jc w:val="center"/>
              <w:ind w:left="281"/>
              <w:spacing w:after="0"/>
              <w:rPr>
                <w:sz w:val="20"/>
                <w:szCs w:val="20"/>
                <w:color w:val="auto"/>
              </w:rPr>
            </w:pPr>
            <w:r>
              <w:rPr>
                <w:rFonts w:ascii="Times New Roman" w:cs="Times New Roman" w:eastAsia="Times New Roman" w:hAnsi="Times New Roman"/>
                <w:sz w:val="20"/>
                <w:szCs w:val="20"/>
                <w:color w:val="auto"/>
                <w:w w:val="99"/>
              </w:rPr>
              <w:t>75</w:t>
            </w:r>
          </w:p>
        </w:tc>
        <w:tc>
          <w:tcPr>
            <w:tcW w:w="6760" w:type="dxa"/>
            <w:vAlign w:val="bottom"/>
            <w:gridSpan w:val="2"/>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Former Senior Advisor and Managing Director of Citigroup Global Markets</w:t>
            </w:r>
          </w:p>
        </w:tc>
        <w:tc>
          <w:tcPr>
            <w:tcW w:w="1420" w:type="dxa"/>
            <w:vAlign w:val="bottom"/>
            <w:tcBorders>
              <w:right w:val="single" w:sz="8" w:color="auto"/>
            </w:tcBorders>
            <w:shd w:val="clear" w:color="auto" w:fill="D9D9D9"/>
          </w:tcPr>
          <w:p>
            <w:pPr>
              <w:jc w:val="center"/>
              <w:ind w:right="181"/>
              <w:spacing w:after="0"/>
              <w:rPr>
                <w:sz w:val="20"/>
                <w:szCs w:val="20"/>
                <w:color w:val="auto"/>
              </w:rPr>
            </w:pPr>
            <w:r>
              <w:rPr>
                <w:rFonts w:ascii="Times New Roman" w:cs="Times New Roman" w:eastAsia="Times New Roman" w:hAnsi="Times New Roman"/>
                <w:sz w:val="20"/>
                <w:szCs w:val="20"/>
                <w:color w:val="auto"/>
                <w:w w:val="94"/>
              </w:rPr>
              <w:t>2014</w:t>
            </w:r>
          </w:p>
        </w:tc>
      </w:tr>
      <w:tr>
        <w:trPr>
          <w:trHeight w:val="258"/>
        </w:trPr>
        <w:tc>
          <w:tcPr>
            <w:tcW w:w="22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(a) (e) (ncg)</w:t>
            </w:r>
          </w:p>
        </w:tc>
        <w:tc>
          <w:tcPr>
            <w:tcW w:w="860" w:type="dxa"/>
            <w:vAlign w:val="bottom"/>
            <w:shd w:val="clear" w:color="auto" w:fill="D9D9D9"/>
          </w:tcPr>
          <w:p>
            <w:pPr>
              <w:spacing w:after="0"/>
              <w:rPr>
                <w:sz w:val="22"/>
                <w:szCs w:val="22"/>
                <w:color w:val="auto"/>
              </w:rPr>
            </w:pPr>
          </w:p>
        </w:tc>
        <w:tc>
          <w:tcPr>
            <w:tcW w:w="580" w:type="dxa"/>
            <w:vAlign w:val="bottom"/>
            <w:shd w:val="clear" w:color="auto" w:fill="D9D9D9"/>
          </w:tcPr>
          <w:p>
            <w:pPr>
              <w:spacing w:after="0"/>
              <w:rPr>
                <w:sz w:val="22"/>
                <w:szCs w:val="22"/>
                <w:color w:val="auto"/>
              </w:rPr>
            </w:pPr>
          </w:p>
        </w:tc>
        <w:tc>
          <w:tcPr>
            <w:tcW w:w="6180" w:type="dxa"/>
            <w:vAlign w:val="bottom"/>
            <w:shd w:val="clear" w:color="auto" w:fill="D9D9D9"/>
          </w:tcPr>
          <w:p>
            <w:pPr>
              <w:spacing w:after="0"/>
              <w:rPr>
                <w:sz w:val="22"/>
                <w:szCs w:val="22"/>
                <w:color w:val="auto"/>
              </w:rPr>
            </w:pPr>
          </w:p>
        </w:tc>
        <w:tc>
          <w:tcPr>
            <w:tcW w:w="1420" w:type="dxa"/>
            <w:vAlign w:val="bottom"/>
            <w:tcBorders>
              <w:right w:val="single" w:sz="8" w:color="auto"/>
            </w:tcBorders>
            <w:shd w:val="clear" w:color="auto" w:fill="D9D9D9"/>
          </w:tcPr>
          <w:p>
            <w:pPr>
              <w:spacing w:after="0"/>
              <w:rPr>
                <w:sz w:val="22"/>
                <w:szCs w:val="22"/>
                <w:color w:val="auto"/>
              </w:rPr>
            </w:pPr>
          </w:p>
        </w:tc>
      </w:tr>
      <w:tr>
        <w:trPr>
          <w:trHeight w:val="62"/>
        </w:trPr>
        <w:tc>
          <w:tcPr>
            <w:tcW w:w="2200" w:type="dxa"/>
            <w:vAlign w:val="bottom"/>
            <w:tcBorders>
              <w:left w:val="single" w:sz="8" w:color="auto"/>
            </w:tcBorders>
            <w:shd w:val="clear" w:color="auto" w:fill="D9D9D9"/>
          </w:tcPr>
          <w:p>
            <w:pPr>
              <w:spacing w:after="0"/>
              <w:rPr>
                <w:sz w:val="5"/>
                <w:szCs w:val="5"/>
                <w:color w:val="auto"/>
              </w:rPr>
            </w:pPr>
          </w:p>
        </w:tc>
        <w:tc>
          <w:tcPr>
            <w:tcW w:w="860" w:type="dxa"/>
            <w:vAlign w:val="bottom"/>
            <w:shd w:val="clear" w:color="auto" w:fill="D9D9D9"/>
          </w:tcPr>
          <w:p>
            <w:pPr>
              <w:spacing w:after="0"/>
              <w:rPr>
                <w:sz w:val="5"/>
                <w:szCs w:val="5"/>
                <w:color w:val="auto"/>
              </w:rPr>
            </w:pPr>
          </w:p>
        </w:tc>
        <w:tc>
          <w:tcPr>
            <w:tcW w:w="6760" w:type="dxa"/>
            <w:vAlign w:val="bottom"/>
            <w:gridSpan w:val="2"/>
            <w:shd w:val="clear" w:color="auto" w:fill="D9D9D9"/>
          </w:tcPr>
          <w:p>
            <w:pPr>
              <w:spacing w:after="0"/>
              <w:rPr>
                <w:sz w:val="5"/>
                <w:szCs w:val="5"/>
                <w:color w:val="auto"/>
              </w:rPr>
            </w:pPr>
          </w:p>
        </w:tc>
        <w:tc>
          <w:tcPr>
            <w:tcW w:w="1420" w:type="dxa"/>
            <w:vAlign w:val="bottom"/>
            <w:tcBorders>
              <w:right w:val="single" w:sz="8" w:color="auto"/>
            </w:tcBorders>
            <w:shd w:val="clear" w:color="auto" w:fill="D9D9D9"/>
          </w:tcPr>
          <w:p>
            <w:pPr>
              <w:spacing w:after="0"/>
              <w:rPr>
                <w:sz w:val="5"/>
                <w:szCs w:val="5"/>
                <w:color w:val="auto"/>
              </w:rPr>
            </w:pPr>
          </w:p>
        </w:tc>
      </w:tr>
      <w:tr>
        <w:trPr>
          <w:trHeight w:val="315"/>
        </w:trPr>
        <w:tc>
          <w:tcPr>
            <w:tcW w:w="2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Marsha C. Williams</w:t>
            </w:r>
          </w:p>
        </w:tc>
        <w:tc>
          <w:tcPr>
            <w:tcW w:w="860" w:type="dxa"/>
            <w:vAlign w:val="bottom"/>
          </w:tcPr>
          <w:p>
            <w:pPr>
              <w:jc w:val="center"/>
              <w:ind w:left="281"/>
              <w:spacing w:after="0"/>
              <w:rPr>
                <w:sz w:val="20"/>
                <w:szCs w:val="20"/>
                <w:color w:val="auto"/>
              </w:rPr>
            </w:pPr>
            <w:r>
              <w:rPr>
                <w:rFonts w:ascii="Times New Roman" w:cs="Times New Roman" w:eastAsia="Times New Roman" w:hAnsi="Times New Roman"/>
                <w:sz w:val="20"/>
                <w:szCs w:val="20"/>
                <w:color w:val="auto"/>
                <w:w w:val="99"/>
              </w:rPr>
              <w:t>74</w:t>
            </w: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Former Senior Vice President and Chief Financial Officer of Orbitz Worldwide;</w:t>
            </w:r>
          </w:p>
        </w:tc>
        <w:tc>
          <w:tcPr>
            <w:tcW w:w="1420" w:type="dxa"/>
            <w:vAlign w:val="bottom"/>
            <w:tcBorders>
              <w:right w:val="single" w:sz="8" w:color="auto"/>
            </w:tcBorders>
          </w:tcPr>
          <w:p>
            <w:pPr>
              <w:jc w:val="center"/>
              <w:ind w:right="181"/>
              <w:spacing w:after="0"/>
              <w:rPr>
                <w:sz w:val="20"/>
                <w:szCs w:val="20"/>
                <w:color w:val="auto"/>
              </w:rPr>
            </w:pPr>
            <w:r>
              <w:rPr>
                <w:rFonts w:ascii="Times New Roman" w:cs="Times New Roman" w:eastAsia="Times New Roman" w:hAnsi="Times New Roman"/>
                <w:sz w:val="20"/>
                <w:szCs w:val="20"/>
                <w:color w:val="auto"/>
                <w:w w:val="94"/>
              </w:rPr>
              <w:t>2022</w:t>
            </w:r>
          </w:p>
        </w:tc>
      </w:tr>
      <w:tr>
        <w:trPr>
          <w:trHeight w:val="258"/>
        </w:trPr>
        <w:tc>
          <w:tcPr>
            <w:tcW w:w="220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(c) (e)</w:t>
            </w:r>
          </w:p>
        </w:tc>
        <w:tc>
          <w:tcPr>
            <w:tcW w:w="860" w:type="dxa"/>
            <w:vAlign w:val="bottom"/>
          </w:tcPr>
          <w:p>
            <w:pPr>
              <w:spacing w:after="0"/>
              <w:rPr>
                <w:sz w:val="22"/>
                <w:szCs w:val="22"/>
                <w:color w:val="auto"/>
              </w:rPr>
            </w:pPr>
          </w:p>
        </w:tc>
        <w:tc>
          <w:tcPr>
            <w:tcW w:w="6760" w:type="dxa"/>
            <w:vAlign w:val="bottom"/>
            <w:gridSpan w:val="2"/>
          </w:tcPr>
          <w:p>
            <w:pPr>
              <w:ind w:left="100"/>
              <w:spacing w:after="0"/>
              <w:rPr>
                <w:sz w:val="20"/>
                <w:szCs w:val="20"/>
                <w:color w:val="auto"/>
              </w:rPr>
            </w:pPr>
            <w:r>
              <w:rPr>
                <w:rFonts w:ascii="Times New Roman" w:cs="Times New Roman" w:eastAsia="Times New Roman" w:hAnsi="Times New Roman"/>
                <w:sz w:val="20"/>
                <w:szCs w:val="20"/>
                <w:color w:val="auto"/>
              </w:rPr>
              <w:t>also Chairperson of Modine Manufacturing Company</w:t>
            </w:r>
          </w:p>
        </w:tc>
        <w:tc>
          <w:tcPr>
            <w:tcW w:w="1420" w:type="dxa"/>
            <w:vAlign w:val="bottom"/>
            <w:tcBorders>
              <w:right w:val="single" w:sz="8" w:color="auto"/>
            </w:tcBorders>
          </w:tcPr>
          <w:p>
            <w:pPr>
              <w:spacing w:after="0"/>
              <w:rPr>
                <w:sz w:val="22"/>
                <w:szCs w:val="22"/>
                <w:color w:val="auto"/>
              </w:rPr>
            </w:pPr>
          </w:p>
        </w:tc>
      </w:tr>
      <w:tr>
        <w:trPr>
          <w:trHeight w:val="62"/>
        </w:trPr>
        <w:tc>
          <w:tcPr>
            <w:tcW w:w="2200" w:type="dxa"/>
            <w:vAlign w:val="bottom"/>
            <w:tcBorders>
              <w:left w:val="single" w:sz="8" w:color="auto"/>
            </w:tcBorders>
          </w:tcPr>
          <w:p>
            <w:pPr>
              <w:spacing w:after="0"/>
              <w:rPr>
                <w:sz w:val="5"/>
                <w:szCs w:val="5"/>
                <w:color w:val="auto"/>
              </w:rPr>
            </w:pPr>
          </w:p>
        </w:tc>
        <w:tc>
          <w:tcPr>
            <w:tcW w:w="860" w:type="dxa"/>
            <w:vAlign w:val="bottom"/>
          </w:tcPr>
          <w:p>
            <w:pPr>
              <w:spacing w:after="0"/>
              <w:rPr>
                <w:sz w:val="5"/>
                <w:szCs w:val="5"/>
                <w:color w:val="auto"/>
              </w:rPr>
            </w:pPr>
          </w:p>
        </w:tc>
        <w:tc>
          <w:tcPr>
            <w:tcW w:w="6760" w:type="dxa"/>
            <w:vAlign w:val="bottom"/>
            <w:gridSpan w:val="2"/>
          </w:tcPr>
          <w:p>
            <w:pPr>
              <w:spacing w:after="0"/>
              <w:rPr>
                <w:sz w:val="5"/>
                <w:szCs w:val="5"/>
                <w:color w:val="auto"/>
              </w:rPr>
            </w:pPr>
          </w:p>
        </w:tc>
        <w:tc>
          <w:tcPr>
            <w:tcW w:w="1420" w:type="dxa"/>
            <w:vAlign w:val="bottom"/>
            <w:tcBorders>
              <w:right w:val="single" w:sz="8" w:color="auto"/>
            </w:tcBorders>
          </w:tcPr>
          <w:p>
            <w:pPr>
              <w:spacing w:after="0"/>
              <w:rPr>
                <w:sz w:val="5"/>
                <w:szCs w:val="5"/>
                <w:color w:val="auto"/>
              </w:rPr>
            </w:pPr>
          </w:p>
        </w:tc>
      </w:tr>
      <w:tr>
        <w:trPr>
          <w:trHeight w:val="315"/>
        </w:trPr>
        <w:tc>
          <w:tcPr>
            <w:tcW w:w="22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Dwayne A. Wilson</w:t>
            </w:r>
          </w:p>
        </w:tc>
        <w:tc>
          <w:tcPr>
            <w:tcW w:w="860" w:type="dxa"/>
            <w:vAlign w:val="bottom"/>
            <w:shd w:val="clear" w:color="auto" w:fill="D9D9D9"/>
          </w:tcPr>
          <w:p>
            <w:pPr>
              <w:jc w:val="center"/>
              <w:ind w:left="281"/>
              <w:spacing w:after="0"/>
              <w:rPr>
                <w:sz w:val="20"/>
                <w:szCs w:val="20"/>
                <w:color w:val="auto"/>
              </w:rPr>
            </w:pPr>
            <w:r>
              <w:rPr>
                <w:rFonts w:ascii="Times New Roman" w:cs="Times New Roman" w:eastAsia="Times New Roman" w:hAnsi="Times New Roman"/>
                <w:sz w:val="20"/>
                <w:szCs w:val="20"/>
                <w:color w:val="auto"/>
                <w:w w:val="99"/>
              </w:rPr>
              <w:t>67</w:t>
            </w:r>
          </w:p>
        </w:tc>
        <w:tc>
          <w:tcPr>
            <w:tcW w:w="6760" w:type="dxa"/>
            <w:vAlign w:val="bottom"/>
            <w:gridSpan w:val="2"/>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Former Senior Vice President of Fluor Corporation; also a Director of Sterling</w:t>
            </w:r>
          </w:p>
        </w:tc>
        <w:tc>
          <w:tcPr>
            <w:tcW w:w="1420" w:type="dxa"/>
            <w:vAlign w:val="bottom"/>
            <w:tcBorders>
              <w:right w:val="single" w:sz="8" w:color="auto"/>
            </w:tcBorders>
            <w:shd w:val="clear" w:color="auto" w:fill="D9D9D9"/>
          </w:tcPr>
          <w:p>
            <w:pPr>
              <w:jc w:val="center"/>
              <w:ind w:right="181"/>
              <w:spacing w:after="0"/>
              <w:rPr>
                <w:sz w:val="20"/>
                <w:szCs w:val="20"/>
                <w:color w:val="auto"/>
              </w:rPr>
            </w:pPr>
            <w:r>
              <w:rPr>
                <w:rFonts w:ascii="Times New Roman" w:cs="Times New Roman" w:eastAsia="Times New Roman" w:hAnsi="Times New Roman"/>
                <w:sz w:val="20"/>
                <w:szCs w:val="20"/>
                <w:color w:val="auto"/>
                <w:w w:val="94"/>
              </w:rPr>
              <w:t>2020</w:t>
            </w:r>
          </w:p>
        </w:tc>
      </w:tr>
      <w:tr>
        <w:trPr>
          <w:trHeight w:val="258"/>
        </w:trPr>
        <w:tc>
          <w:tcPr>
            <w:tcW w:w="2200" w:type="dxa"/>
            <w:vAlign w:val="bottom"/>
            <w:tcBorders>
              <w:lef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(a) (c)</w:t>
            </w:r>
          </w:p>
        </w:tc>
        <w:tc>
          <w:tcPr>
            <w:tcW w:w="860" w:type="dxa"/>
            <w:vAlign w:val="bottom"/>
            <w:shd w:val="clear" w:color="auto" w:fill="D9D9D9"/>
          </w:tcPr>
          <w:p>
            <w:pPr>
              <w:spacing w:after="0"/>
              <w:rPr>
                <w:sz w:val="22"/>
                <w:szCs w:val="22"/>
                <w:color w:val="auto"/>
              </w:rPr>
            </w:pPr>
          </w:p>
        </w:tc>
        <w:tc>
          <w:tcPr>
            <w:tcW w:w="6760" w:type="dxa"/>
            <w:vAlign w:val="bottom"/>
            <w:gridSpan w:val="2"/>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Infrastructure, Ingredion Incorporated and DT Midstream</w:t>
            </w:r>
          </w:p>
        </w:tc>
        <w:tc>
          <w:tcPr>
            <w:tcW w:w="1420" w:type="dxa"/>
            <w:vAlign w:val="bottom"/>
            <w:tcBorders>
              <w:right w:val="single" w:sz="8" w:color="auto"/>
            </w:tcBorders>
            <w:shd w:val="clear" w:color="auto" w:fill="D9D9D9"/>
          </w:tcPr>
          <w:p>
            <w:pPr>
              <w:spacing w:after="0"/>
              <w:rPr>
                <w:sz w:val="22"/>
                <w:szCs w:val="22"/>
                <w:color w:val="auto"/>
              </w:rPr>
            </w:pPr>
          </w:p>
        </w:tc>
      </w:tr>
      <w:tr>
        <w:trPr>
          <w:trHeight w:val="102"/>
        </w:trPr>
        <w:tc>
          <w:tcPr>
            <w:tcW w:w="3060" w:type="dxa"/>
            <w:vAlign w:val="bottom"/>
            <w:tcBorders>
              <w:left w:val="single" w:sz="8" w:color="auto"/>
              <w:bottom w:val="single" w:sz="8" w:color="auto"/>
            </w:tcBorders>
            <w:gridSpan w:val="2"/>
            <w:shd w:val="clear" w:color="auto" w:fill="D9D9D9"/>
          </w:tcPr>
          <w:p>
            <w:pPr>
              <w:spacing w:after="0"/>
              <w:rPr>
                <w:sz w:val="8"/>
                <w:szCs w:val="8"/>
                <w:color w:val="auto"/>
              </w:rPr>
            </w:pPr>
          </w:p>
        </w:tc>
        <w:tc>
          <w:tcPr>
            <w:tcW w:w="580" w:type="dxa"/>
            <w:vAlign w:val="bottom"/>
            <w:tcBorders>
              <w:bottom w:val="single" w:sz="8" w:color="auto"/>
            </w:tcBorders>
            <w:shd w:val="clear" w:color="auto" w:fill="D9D9D9"/>
          </w:tcPr>
          <w:p>
            <w:pPr>
              <w:spacing w:after="0"/>
              <w:rPr>
                <w:sz w:val="8"/>
                <w:szCs w:val="8"/>
                <w:color w:val="auto"/>
              </w:rPr>
            </w:pPr>
          </w:p>
        </w:tc>
        <w:tc>
          <w:tcPr>
            <w:tcW w:w="6180" w:type="dxa"/>
            <w:vAlign w:val="bottom"/>
            <w:tcBorders>
              <w:bottom w:val="single" w:sz="8" w:color="auto"/>
            </w:tcBorders>
            <w:shd w:val="clear" w:color="auto" w:fill="D9D9D9"/>
          </w:tcPr>
          <w:p>
            <w:pPr>
              <w:spacing w:after="0"/>
              <w:rPr>
                <w:sz w:val="8"/>
                <w:szCs w:val="8"/>
                <w:color w:val="auto"/>
              </w:rPr>
            </w:pPr>
          </w:p>
        </w:tc>
        <w:tc>
          <w:tcPr>
            <w:tcW w:w="1420" w:type="dxa"/>
            <w:vAlign w:val="bottom"/>
            <w:tcBorders>
              <w:bottom w:val="single" w:sz="8" w:color="auto"/>
              <w:right w:val="single" w:sz="8" w:color="auto"/>
            </w:tcBorders>
            <w:shd w:val="clear" w:color="auto" w:fill="D9D9D9"/>
          </w:tcPr>
          <w:p>
            <w:pPr>
              <w:spacing w:after="0"/>
              <w:rPr>
                <w:sz w:val="8"/>
                <w:szCs w:val="8"/>
                <w:color w:val="auto"/>
              </w:rPr>
            </w:pPr>
          </w:p>
        </w:tc>
      </w:tr>
      <w:tr>
        <w:trPr>
          <w:trHeight w:val="337"/>
        </w:trPr>
        <w:tc>
          <w:tcPr>
            <w:tcW w:w="3060" w:type="dxa"/>
            <w:vAlign w:val="bottom"/>
            <w:tcBorders>
              <w:left w:val="single" w:sz="8" w:color="auto"/>
            </w:tcBorders>
            <w:gridSpan w:val="2"/>
          </w:tcPr>
          <w:p>
            <w:pPr>
              <w:ind w:left="20"/>
              <w:spacing w:after="0"/>
              <w:rPr>
                <w:sz w:val="20"/>
                <w:szCs w:val="20"/>
                <w:color w:val="auto"/>
              </w:rPr>
            </w:pPr>
            <w:r>
              <w:rPr>
                <w:rFonts w:ascii="Times New Roman" w:cs="Times New Roman" w:eastAsia="Times New Roman" w:hAnsi="Times New Roman"/>
                <w:sz w:val="20"/>
                <w:szCs w:val="20"/>
                <w:color w:val="auto"/>
              </w:rPr>
              <w:t>(a) Member of the Audit Committee</w:t>
            </w:r>
          </w:p>
        </w:tc>
        <w:tc>
          <w:tcPr>
            <w:tcW w:w="580" w:type="dxa"/>
            <w:vAlign w:val="bottom"/>
          </w:tcPr>
          <w:p>
            <w:pPr>
              <w:spacing w:after="0"/>
              <w:rPr>
                <w:sz w:val="24"/>
                <w:szCs w:val="24"/>
                <w:color w:val="auto"/>
              </w:rPr>
            </w:pPr>
          </w:p>
        </w:tc>
        <w:tc>
          <w:tcPr>
            <w:tcW w:w="61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(c)  Member of the Compensation Committee</w:t>
            </w:r>
          </w:p>
        </w:tc>
        <w:tc>
          <w:tcPr>
            <w:tcW w:w="1420" w:type="dxa"/>
            <w:vAlign w:val="bottom"/>
            <w:tcBorders>
              <w:right w:val="single" w:sz="8" w:color="auto"/>
            </w:tcBorders>
          </w:tcPr>
          <w:p>
            <w:pPr>
              <w:spacing w:after="0"/>
              <w:rPr>
                <w:sz w:val="24"/>
                <w:szCs w:val="24"/>
                <w:color w:val="auto"/>
              </w:rPr>
            </w:pPr>
          </w:p>
        </w:tc>
      </w:tr>
      <w:tr>
        <w:trPr>
          <w:trHeight w:val="365"/>
        </w:trPr>
        <w:tc>
          <w:tcPr>
            <w:tcW w:w="3640" w:type="dxa"/>
            <w:vAlign w:val="bottom"/>
            <w:tcBorders>
              <w:left w:val="single" w:sz="8" w:color="auto"/>
            </w:tcBorders>
            <w:gridSpan w:val="3"/>
          </w:tcPr>
          <w:p>
            <w:pPr>
              <w:ind w:left="20"/>
              <w:spacing w:after="0"/>
              <w:rPr>
                <w:sz w:val="20"/>
                <w:szCs w:val="20"/>
                <w:color w:val="auto"/>
              </w:rPr>
            </w:pPr>
            <w:r>
              <w:rPr>
                <w:rFonts w:ascii="Times New Roman" w:cs="Times New Roman" w:eastAsia="Times New Roman" w:hAnsi="Times New Roman"/>
                <w:sz w:val="20"/>
                <w:szCs w:val="20"/>
                <w:color w:val="auto"/>
              </w:rPr>
              <w:t>(e) Member of the Executive Committee</w:t>
            </w:r>
          </w:p>
        </w:tc>
        <w:tc>
          <w:tcPr>
            <w:tcW w:w="6180" w:type="dxa"/>
            <w:vAlign w:val="bottom"/>
          </w:tcPr>
          <w:p>
            <w:pPr>
              <w:ind w:left="420"/>
              <w:spacing w:after="0"/>
              <w:rPr>
                <w:sz w:val="20"/>
                <w:szCs w:val="20"/>
                <w:color w:val="auto"/>
              </w:rPr>
            </w:pPr>
            <w:r>
              <w:rPr>
                <w:rFonts w:ascii="Times New Roman" w:cs="Times New Roman" w:eastAsia="Times New Roman" w:hAnsi="Times New Roman"/>
                <w:sz w:val="20"/>
                <w:szCs w:val="20"/>
                <w:color w:val="auto"/>
                <w:w w:val="98"/>
              </w:rPr>
              <w:t>(ncg) Member of the Nominating and Corporate Governance Committee</w:t>
            </w:r>
          </w:p>
        </w:tc>
        <w:tc>
          <w:tcPr>
            <w:tcW w:w="1420" w:type="dxa"/>
            <w:vAlign w:val="bottom"/>
            <w:tcBorders>
              <w:right w:val="single" w:sz="8" w:color="auto"/>
            </w:tcBorders>
          </w:tcPr>
          <w:p>
            <w:pPr>
              <w:spacing w:after="0"/>
              <w:rPr>
                <w:sz w:val="24"/>
                <w:szCs w:val="24"/>
                <w:color w:val="auto"/>
              </w:rPr>
            </w:pPr>
          </w:p>
        </w:tc>
      </w:tr>
      <w:tr>
        <w:trPr>
          <w:trHeight w:val="102"/>
        </w:trPr>
        <w:tc>
          <w:tcPr>
            <w:tcW w:w="2200" w:type="dxa"/>
            <w:vAlign w:val="bottom"/>
            <w:tcBorders>
              <w:left w:val="single" w:sz="8" w:color="auto"/>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180" w:type="dxa"/>
            <w:vAlign w:val="bottom"/>
            <w:tcBorders>
              <w:bottom w:val="single" w:sz="8" w:color="auto"/>
            </w:tcBorders>
          </w:tcPr>
          <w:p>
            <w:pPr>
              <w:spacing w:after="0"/>
              <w:rPr>
                <w:sz w:val="8"/>
                <w:szCs w:val="8"/>
                <w:color w:val="auto"/>
              </w:rPr>
            </w:pPr>
          </w:p>
        </w:tc>
        <w:tc>
          <w:tcPr>
            <w:tcW w:w="1420" w:type="dxa"/>
            <w:vAlign w:val="bottom"/>
            <w:tcBorders>
              <w:bottom w:val="single" w:sz="8" w:color="auto"/>
              <w:right w:val="single" w:sz="8" w:color="auto"/>
            </w:tcBorders>
          </w:tcPr>
          <w:p>
            <w:pPr>
              <w:spacing w:after="0"/>
              <w:rPr>
                <w:sz w:val="8"/>
                <w:szCs w:val="8"/>
                <w:color w:val="auto"/>
              </w:rPr>
            </w:pPr>
          </w:p>
        </w:tc>
      </w:tr>
    </w:tbl>
    <w:p>
      <w:pPr>
        <w:spacing w:after="0" w:line="200" w:lineRule="exact"/>
        <w:rPr>
          <w:sz w:val="20"/>
          <w:szCs w:val="20"/>
          <w:color w:val="auto"/>
        </w:rPr>
      </w:pPr>
    </w:p>
    <w:p>
      <w:pPr>
        <w:spacing w:after="0" w:line="232"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The Nominating and Corporate Governance Committee is responsible for leading the search for individuals qualified to become members of the Board of Directors and recommending candidates to the Board as Director nominees. The Board desires a diverse membership, including with respect to race, gender, nationality and ethnicity as well as professional background and geographic and industry experience. The Nominating and Corporate Governance Committee assesses each potential nominee’s overall mix of experiences, qualifications, perspectives, talents, education and skills as well as each potential nominee’s ability to contribute to the Board and to enhance the Board’s decision-making processes. Independence is a key factor when considering the Director nominees, as are critical thinking skills, practical wisdom and mature judgment in the decision-making process. For a description of the identifying and evaluating procedures of the Nominating and Corporate Governance Committee, see “Corporate Governance – Nominating and Corporate Governance Committee.” The Board believes that each of the nominees listed above has the sound character, integrity, judgment and record of achievement necessary to be a member of the Board. In addition, each of the nominees has exhibited the ability to operate constructively with the other members of the Board and to challenge and question management in a productive way.</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578" w:right="339" w:bottom="1440" w:gutter="0" w:footer="0" w:header="0"/>
        </w:sectPr>
      </w:pPr>
    </w:p>
    <w:bookmarkStart w:id="24" w:name="page25"/>
    <w:bookmarkEnd w:id="24"/>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Board believes, moreover, that each nominee brings a strong and unique background and skill set to the Board, giving the Board, as a whole, competence and experience in diverse areas. These areas include organizational leadership; public company board service; manufacturing; finance; management in the packaging, food and beverage sectors and other relevant industries; international business and markets; information security and artificial intelligence. Four of the ten nominees are or have been Chairs of U.S. public company Boards of Directors. The Board believes that the following specific experiences, qualifications and skills, together with the aforementioned attributes, qualify each of the nominees listed above to serve as a Director.</w:t>
      </w:r>
    </w:p>
    <w:p>
      <w:pPr>
        <w:spacing w:after="0" w:line="1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Timothy Donahue</w:t>
      </w:r>
      <w:r>
        <w:rPr>
          <w:rFonts w:ascii="Times New Roman" w:cs="Times New Roman" w:eastAsia="Times New Roman" w:hAnsi="Times New Roman"/>
          <w:sz w:val="22"/>
          <w:szCs w:val="22"/>
          <w:color w:val="auto"/>
        </w:rPr>
        <w:t>. Mr. Donahue was elected Chairman by the Board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0"/>
          <w:szCs w:val="20"/>
          <w:color w:val="auto"/>
        </w:rPr>
        <w:t>following the 2022 Annual Meeting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assumed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position of CEO of the Company in 2016. He has served as a member of the Board since 2015 and in other executive positions with the Company for over 35 years. He gives the Board seasoned leadership and an in-depth knowledge of the Company, especially its international business. He also brings to the Board an intimate understanding of the operations and finances of the Company from his prior experience as the Company’s Chief Operating Officer and Chief Financial Officer.</w:t>
      </w:r>
    </w:p>
    <w:p>
      <w:pPr>
        <w:spacing w:after="0" w:line="9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Michael Doss</w:t>
      </w:r>
      <w:r>
        <w:rPr>
          <w:rFonts w:ascii="Times New Roman" w:cs="Times New Roman" w:eastAsia="Times New Roman" w:hAnsi="Times New Roman"/>
          <w:sz w:val="22"/>
          <w:szCs w:val="22"/>
          <w:color w:val="auto"/>
        </w:rPr>
        <w:t>. Mr. Doss brings to the Board substantial senior executive leadership and management experience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packaging industry as well as comprehensive knowledge of manufacturing, logistics, supply chain operations, public company governance, international business, strategic initiatives, mergers and acquisitions, cyber security risk management and IT expertise and human capital management from his role as the former President and Chief Executive Officer of an NYSE-listed global consumer packaging company and other prior management positions. Mr. Doss also serves as a director of another NYSE-listed company.</w:t>
      </w:r>
    </w:p>
    <w:p>
      <w:pPr>
        <w:spacing w:after="0" w:line="10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Richard Fearon</w:t>
      </w:r>
      <w:r>
        <w:rPr>
          <w:rFonts w:ascii="Times New Roman" w:cs="Times New Roman" w:eastAsia="Times New Roman" w:hAnsi="Times New Roman"/>
          <w:sz w:val="22"/>
          <w:szCs w:val="22"/>
          <w:color w:val="auto"/>
        </w:rPr>
        <w:t>. Mr. Fearon, the former Vice Chairman and CFO of an NYSE-listed global, diversified manufacturing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brings to the Board comprehensive knowledge of financial accounting and extensive experience in financial reporting, corporate finance and capital markets, corporate development, strategic planning, mergers and acquisitions, risk management and investor relations. He also oversaw his company’s information security program for more than 10 years and chaired its senior management committee on information security. In addition, his service as Lead Director of an NYSE-listed global provider of specialized polymers also provides significant governance experience. Mr. Fearon also serves as a director of two other NYSE-listed companies.</w:t>
      </w:r>
    </w:p>
    <w:p>
      <w:pPr>
        <w:spacing w:after="0" w:line="108"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21"/>
          <w:szCs w:val="21"/>
          <w:b w:val="1"/>
          <w:bCs w:val="1"/>
          <w:color w:val="auto"/>
        </w:rPr>
        <w:t>Andrea Funk</w:t>
      </w:r>
      <w:r>
        <w:rPr>
          <w:rFonts w:ascii="Times New Roman" w:cs="Times New Roman" w:eastAsia="Times New Roman" w:hAnsi="Times New Roman"/>
          <w:sz w:val="21"/>
          <w:szCs w:val="21"/>
          <w:color w:val="auto"/>
        </w:rPr>
        <w:t>. Ms. Funk’s experience as Executive Vice President and Chief Financial Officer of an NYSE-listed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international manufacturing company and as former CEO and CFO of an international manufacturing and distribution business brings to the Board significant expertise in the areas of financial reporting, corporate finance and capital markets, treasury, capital allocation, risk management, operations, investor relations, mergers and acquisitions and strategic planning. This, along with Ms. Funk’s prior experience in public accounting, enhances her contributions to the Audit Committee and qualifies her as an “audit committee financial expert” within the meaning of SEC regulations. Ms. Funk serves on the steering committee at her company that is charged with: establishing the strategy, governance, resource allocation and performance metrics for artificial intelligence (AI), identifying and prioritizing AI use cases throughout the organization and selecting external partners to support these efforts.</w:t>
      </w:r>
    </w:p>
    <w:p>
      <w:pPr>
        <w:spacing w:after="0" w:line="91"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Stephen Hagge</w:t>
      </w:r>
      <w:r>
        <w:rPr>
          <w:rFonts w:ascii="Times New Roman" w:cs="Times New Roman" w:eastAsia="Times New Roman" w:hAnsi="Times New Roman"/>
          <w:sz w:val="22"/>
          <w:szCs w:val="22"/>
          <w:color w:val="auto"/>
        </w:rPr>
        <w:t>. Mr. Hagge, the Company’s Independent Lead Director and Chair of the Nominating and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Governance Committee, brings to the Board substantial leadership and management experience in the packaging industry, public company governance, operations, international business, strategic initiatives and risk management from his roles as former CEO, CFO and COO of an NYSE-listed global packaging manufacturer. Mr. Hagge also serves as Chairman of another NYSE-listed company.</w:t>
      </w:r>
    </w:p>
    <w:p>
      <w:pPr>
        <w:spacing w:after="0" w:line="3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571" w:right="339" w:bottom="1440" w:gutter="0" w:footer="0" w:header="0"/>
        </w:sectPr>
      </w:pPr>
    </w:p>
    <w:bookmarkStart w:id="25" w:name="page26"/>
    <w:bookmarkEnd w:id="25"/>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B. Craig Owens</w:t>
      </w:r>
      <w:r>
        <w:rPr>
          <w:rFonts w:ascii="Times New Roman" w:cs="Times New Roman" w:eastAsia="Times New Roman" w:hAnsi="Times New Roman"/>
          <w:sz w:val="22"/>
          <w:szCs w:val="22"/>
          <w:color w:val="auto"/>
        </w:rPr>
        <w:t>. Mr. Owens’ extensive experience in the consumer food and beverage industries, including his former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service as the CFO and Chief Administrative Officer of a leading NYSE-listed international consumer food company, brings to the Board significant financial expertise, including all aspects of financial reporting, accounting, corporate finance and capital markets, as well as significant experience in strategic planning, business integration and operations, and in managing supply chain organizations. In his roles as CFO for several companies, he had over 15 years of senior-level management responsibility for information security. He also recently completed a Director-level certification course in information security. Mr. Owens has considerable knowledge of the retail industry having served as CFO of a leading international grocery retailer. His experience qualifies him as an “audit committee financial expert” within the meaning of SEC regulations, and he chairs the Audit Committee. Mr. Owens also serves as a director of another NYSE-listed company.</w:t>
      </w:r>
    </w:p>
    <w:p>
      <w:pPr>
        <w:spacing w:after="0" w:line="160"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Angela Snyder</w:t>
      </w:r>
      <w:r>
        <w:rPr>
          <w:rFonts w:ascii="Times New Roman" w:cs="Times New Roman" w:eastAsia="Times New Roman" w:hAnsi="Times New Roman"/>
          <w:sz w:val="22"/>
          <w:szCs w:val="22"/>
          <w:color w:val="auto"/>
        </w:rPr>
        <w:t>. Ms. Snyder brings to the Board extensive experience in the banking sector, leadership and management,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strategic planning, risk management and corporate governance through her prior roles as President of a NASDAQ-listed financial holding company and its banking subsidiary. Ms. Snyder also serves as a director of the banking subsidiary. She possesses more than 30 years of experience in the financial services industry.</w:t>
      </w:r>
    </w:p>
    <w:p>
      <w:pPr>
        <w:spacing w:after="0" w:line="14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Caesar Sweitzer</w:t>
      </w:r>
      <w:r>
        <w:rPr>
          <w:rFonts w:ascii="Times New Roman" w:cs="Times New Roman" w:eastAsia="Times New Roman" w:hAnsi="Times New Roman"/>
          <w:sz w:val="22"/>
          <w:szCs w:val="22"/>
          <w:color w:val="auto"/>
        </w:rPr>
        <w:t>. Mr. Sweitzer spent over 35 years in finance, primarily as an investment banker focusing on industrial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companies. Mr. Sweitzer brings to the Board significant knowledge of the global packaging industry as well as finance and investment matters, such as acquisitions, dispositions and corporate finance. Mr. Sweitzer’s experience qualifies him as an “audit committee financial expert” within the meaning of SEC regulations.</w:t>
      </w:r>
    </w:p>
    <w:p>
      <w:pPr>
        <w:spacing w:after="0" w:line="158"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Marsha Williams</w:t>
      </w:r>
      <w:r>
        <w:rPr>
          <w:rFonts w:ascii="Times New Roman" w:cs="Times New Roman" w:eastAsia="Times New Roman" w:hAnsi="Times New Roman"/>
          <w:sz w:val="22"/>
          <w:szCs w:val="22"/>
          <w:color w:val="auto"/>
        </w:rPr>
        <w:t>. Ms. Williams brings to the Board extensive experience in strategic planning, corporate finance,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operations, mergers and acquisitions, investor relations, information technology, liquidity management, risk management and corporate governance through her prior roles as Chief Financial Officer and Chief Administrative Officer of companies in diverse industries. Ms. Williams also serves as Chairperson of a publicly-listed company. In this role, Ms. Williams has accumulated extensive knowledge of corporate governance, global finance, capital management, internal controls and human resources, including significant experience in the financial markets in which the Company competes for financing. Ms. Williams serves as Chair of the Compensation Committee.</w:t>
      </w:r>
    </w:p>
    <w:p>
      <w:pPr>
        <w:spacing w:after="0" w:line="162"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Dwayne Wilson</w:t>
      </w:r>
      <w:r>
        <w:rPr>
          <w:rFonts w:ascii="Times New Roman" w:cs="Times New Roman" w:eastAsia="Times New Roman" w:hAnsi="Times New Roman"/>
          <w:sz w:val="21"/>
          <w:szCs w:val="21"/>
          <w:color w:val="auto"/>
        </w:rPr>
        <w:t>. Mr. Wilson brings to the Board over 36 years of senior management experience at a leading NYSE-listed construction and engineering company. Mr. Wilson has gained a broad range of experience and exposure to a number of diverse end markets, and the Company benefits from his knowledge and perspective, particularly in the areas of manufacturing, technology, operational excellence and engineering. Mr. Wilson also serves as a director of three other publicly-listed companies</w:t>
      </w:r>
      <w:r>
        <w:rPr>
          <w:rFonts w:ascii="Times New Roman" w:cs="Times New Roman" w:eastAsia="Times New Roman" w:hAnsi="Times New Roman"/>
          <w:sz w:val="19"/>
          <w:szCs w:val="19"/>
          <w:color w:val="auto"/>
        </w:rPr>
        <w:t>.</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 xml:space="preserve">The educational backgrounds of each of the Company’s Directors can be found on our website at </w:t>
      </w:r>
      <w:r>
        <w:rPr>
          <w:rFonts w:ascii="Times New Roman" w:cs="Times New Roman" w:eastAsia="Times New Roman" w:hAnsi="Times New Roman"/>
          <w:sz w:val="22"/>
          <w:szCs w:val="22"/>
          <w:b w:val="1"/>
          <w:bCs w:val="1"/>
          <w:u w:val="single" w:color="auto"/>
          <w:color w:val="29650B"/>
        </w:rPr>
        <w:t>www.crowncork.com/investors/governance/board-directors</w:t>
      </w:r>
      <w:r>
        <w:rPr>
          <w:rFonts w:ascii="Times New Roman" w:cs="Times New Roman" w:eastAsia="Times New Roman" w:hAnsi="Times New Roman"/>
          <w:sz w:val="22"/>
          <w:szCs w:val="22"/>
          <w:color w:val="000000"/>
        </w:rPr>
        <w:t>.</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56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32"/>
          <w:szCs w:val="32"/>
          <w:b w:val="1"/>
          <w:bCs w:val="1"/>
          <w:color w:val="29650B"/>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93"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following table lists 2025 Director compensation for all independent Directors who received compensation as Directors in 2025. Compensation for Mr. Donahue, the Company’s Chief Executive Officer, is reported in the Summary Compensation Table included in the Executive Compensation section below. Mr. Donahue does not earn additional compensation for his service as Director or for his service as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106045</wp:posOffset>
            </wp:positionV>
            <wp:extent cx="7132320" cy="38061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3806190"/>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840" w:type="dxa"/>
            <w:vAlign w:val="bottom"/>
            <w:tcBorders>
              <w:top w:val="single" w:sz="8" w:color="auto"/>
              <w:right w:val="single" w:sz="8" w:color="auto"/>
            </w:tcBorders>
            <w:shd w:val="clear" w:color="auto" w:fill="29650B"/>
          </w:tcPr>
          <w:p>
            <w:pPr>
              <w:spacing w:after="0"/>
              <w:rPr>
                <w:sz w:val="19"/>
                <w:szCs w:val="19"/>
                <w:color w:val="auto"/>
              </w:rPr>
            </w:pPr>
          </w:p>
        </w:tc>
        <w:tc>
          <w:tcPr>
            <w:tcW w:w="2480" w:type="dxa"/>
            <w:vAlign w:val="bottom"/>
            <w:tcBorders>
              <w:top w:val="single" w:sz="8" w:color="auto"/>
              <w:right w:val="single" w:sz="8" w:color="auto"/>
            </w:tcBorders>
            <w:shd w:val="clear" w:color="auto" w:fill="29650B"/>
          </w:tcPr>
          <w:p>
            <w:pPr>
              <w:jc w:val="right"/>
              <w:ind w:right="432"/>
              <w:spacing w:after="0" w:line="225" w:lineRule="exact"/>
              <w:rPr>
                <w:sz w:val="20"/>
                <w:szCs w:val="20"/>
                <w:color w:val="auto"/>
              </w:rPr>
            </w:pPr>
            <w:r>
              <w:rPr>
                <w:rFonts w:ascii="Times New Roman" w:cs="Times New Roman" w:eastAsia="Times New Roman" w:hAnsi="Times New Roman"/>
                <w:sz w:val="22"/>
                <w:szCs w:val="22"/>
                <w:b w:val="1"/>
                <w:bCs w:val="1"/>
                <w:color w:val="FFFFFF"/>
              </w:rPr>
              <w:t>Fees Earned or</w:t>
            </w:r>
          </w:p>
        </w:tc>
        <w:tc>
          <w:tcPr>
            <w:tcW w:w="2460" w:type="dxa"/>
            <w:vAlign w:val="bottom"/>
            <w:tcBorders>
              <w:top w:val="single" w:sz="8" w:color="auto"/>
              <w:right w:val="single" w:sz="8" w:color="auto"/>
            </w:tcBorders>
            <w:shd w:val="clear" w:color="auto" w:fill="29650B"/>
          </w:tcPr>
          <w:p>
            <w:pPr>
              <w:spacing w:after="0"/>
              <w:rPr>
                <w:sz w:val="19"/>
                <w:szCs w:val="19"/>
                <w:color w:val="auto"/>
              </w:rPr>
            </w:pPr>
          </w:p>
        </w:tc>
        <w:tc>
          <w:tcPr>
            <w:tcW w:w="2440" w:type="dxa"/>
            <w:vAlign w:val="bottom"/>
            <w:tcBorders>
              <w:top w:val="single" w:sz="8" w:color="auto"/>
            </w:tcBorders>
            <w:shd w:val="clear" w:color="auto" w:fill="29650B"/>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r>
      <w:tr>
        <w:trPr>
          <w:trHeight w:val="274"/>
        </w:trPr>
        <w:tc>
          <w:tcPr>
            <w:tcW w:w="38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Name</w:t>
            </w:r>
          </w:p>
        </w:tc>
        <w:tc>
          <w:tcPr>
            <w:tcW w:w="2480" w:type="dxa"/>
            <w:vAlign w:val="bottom"/>
            <w:tcBorders>
              <w:bottom w:val="single" w:sz="8" w:color="auto"/>
              <w:right w:val="single" w:sz="8" w:color="auto"/>
            </w:tcBorders>
            <w:shd w:val="clear" w:color="auto" w:fill="29650B"/>
          </w:tcPr>
          <w:p>
            <w:pPr>
              <w:jc w:val="right"/>
              <w:ind w:right="392"/>
              <w:spacing w:after="0"/>
              <w:rPr>
                <w:sz w:val="20"/>
                <w:szCs w:val="20"/>
                <w:color w:val="auto"/>
              </w:rPr>
            </w:pPr>
            <w:r>
              <w:rPr>
                <w:rFonts w:ascii="Times New Roman" w:cs="Times New Roman" w:eastAsia="Times New Roman" w:hAnsi="Times New Roman"/>
                <w:sz w:val="22"/>
                <w:szCs w:val="22"/>
                <w:b w:val="1"/>
                <w:bCs w:val="1"/>
                <w:color w:val="FFFFFF"/>
              </w:rPr>
              <w:t>Paid in Cash (1)</w:t>
            </w:r>
          </w:p>
        </w:tc>
        <w:tc>
          <w:tcPr>
            <w:tcW w:w="2460" w:type="dxa"/>
            <w:vAlign w:val="bottom"/>
            <w:tcBorders>
              <w:bottom w:val="single" w:sz="8" w:color="auto"/>
              <w:right w:val="single" w:sz="8" w:color="auto"/>
            </w:tcBorders>
            <w:shd w:val="clear" w:color="auto" w:fill="29650B"/>
          </w:tcPr>
          <w:p>
            <w:pPr>
              <w:jc w:val="right"/>
              <w:ind w:right="332"/>
              <w:spacing w:after="0"/>
              <w:rPr>
                <w:sz w:val="20"/>
                <w:szCs w:val="20"/>
                <w:color w:val="auto"/>
              </w:rPr>
            </w:pPr>
            <w:r>
              <w:rPr>
                <w:rFonts w:ascii="Times New Roman" w:cs="Times New Roman" w:eastAsia="Times New Roman" w:hAnsi="Times New Roman"/>
                <w:sz w:val="22"/>
                <w:szCs w:val="22"/>
                <w:b w:val="1"/>
                <w:bCs w:val="1"/>
                <w:color w:val="FFFFFF"/>
              </w:rPr>
              <w:t>Stock Awards (2)</w:t>
            </w:r>
          </w:p>
        </w:tc>
        <w:tc>
          <w:tcPr>
            <w:tcW w:w="2440" w:type="dxa"/>
            <w:vAlign w:val="bottom"/>
            <w:tcBorders>
              <w:bottom w:val="single" w:sz="8" w:color="auto"/>
            </w:tcBorders>
            <w:shd w:val="clear" w:color="auto" w:fill="29650B"/>
          </w:tcPr>
          <w:p>
            <w:pPr>
              <w:jc w:val="right"/>
              <w:ind w:right="872"/>
              <w:spacing w:after="0"/>
              <w:rPr>
                <w:sz w:val="20"/>
                <w:szCs w:val="20"/>
                <w:color w:val="auto"/>
              </w:rPr>
            </w:pPr>
            <w:r>
              <w:rPr>
                <w:rFonts w:ascii="Times New Roman" w:cs="Times New Roman" w:eastAsia="Times New Roman" w:hAnsi="Times New Roman"/>
                <w:sz w:val="22"/>
                <w:szCs w:val="22"/>
                <w:b w:val="1"/>
                <w:bCs w:val="1"/>
                <w:color w:val="FFFFFF"/>
              </w:rPr>
              <w:t>Total</w:t>
            </w:r>
          </w:p>
        </w:tc>
        <w:tc>
          <w:tcPr>
            <w:tcW w:w="20" w:type="dxa"/>
            <w:vAlign w:val="bottom"/>
            <w:tcBorders>
              <w:bottom w:val="single" w:sz="8" w:color="auto"/>
            </w:tcBorders>
          </w:tcPr>
          <w:p>
            <w:pPr>
              <w:spacing w:after="0"/>
              <w:rPr>
                <w:sz w:val="23"/>
                <w:szCs w:val="23"/>
                <w:color w:val="auto"/>
              </w:rPr>
            </w:pPr>
          </w:p>
        </w:tc>
      </w:tr>
      <w:tr>
        <w:trPr>
          <w:trHeight w:val="236"/>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Richard Fearon</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$125,000</w:t>
            </w:r>
          </w:p>
        </w:tc>
        <w:tc>
          <w:tcPr>
            <w:tcW w:w="2460" w:type="dxa"/>
            <w:vAlign w:val="bottom"/>
            <w:tcBorders>
              <w:bottom w:val="single" w:sz="8" w:color="auto"/>
              <w:right w:val="single" w:sz="8" w:color="auto"/>
            </w:tcBorders>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$285,000</w:t>
            </w:r>
          </w:p>
        </w:tc>
        <w:tc>
          <w:tcPr>
            <w:tcW w:w="2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Andrea Funk</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125,000</w:t>
            </w:r>
          </w:p>
        </w:tc>
        <w:tc>
          <w:tcPr>
            <w:tcW w:w="2460" w:type="dxa"/>
            <w:vAlign w:val="bottom"/>
            <w:tcBorders>
              <w:bottom w:val="single" w:sz="8" w:color="auto"/>
              <w:right w:val="single" w:sz="8" w:color="auto"/>
            </w:tcBorders>
            <w:shd w:val="clear" w:color="auto" w:fill="D9D9D9"/>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285,000</w:t>
            </w:r>
          </w:p>
        </w:tc>
        <w:tc>
          <w:tcPr>
            <w:tcW w:w="2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Stephen Hagge</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156,250</w:t>
            </w:r>
          </w:p>
        </w:tc>
        <w:tc>
          <w:tcPr>
            <w:tcW w:w="2460" w:type="dxa"/>
            <w:vAlign w:val="bottom"/>
            <w:tcBorders>
              <w:bottom w:val="single" w:sz="8" w:color="auto"/>
              <w:right w:val="single" w:sz="8" w:color="auto"/>
            </w:tcBorders>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316,250</w:t>
            </w:r>
          </w:p>
        </w:tc>
        <w:tc>
          <w:tcPr>
            <w:tcW w:w="2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James Miller (3)</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66,250</w:t>
            </w:r>
          </w:p>
        </w:tc>
        <w:tc>
          <w:tcPr>
            <w:tcW w:w="2460" w:type="dxa"/>
            <w:vAlign w:val="bottom"/>
            <w:tcBorders>
              <w:bottom w:val="single" w:sz="8" w:color="auto"/>
              <w:right w:val="single" w:sz="8" w:color="auto"/>
            </w:tcBorders>
            <w:shd w:val="clear" w:color="auto" w:fill="D9D9D9"/>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80,000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146,250</w:t>
            </w:r>
          </w:p>
        </w:tc>
        <w:tc>
          <w:tcPr>
            <w:tcW w:w="2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B. Craig Owens</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130,000</w:t>
            </w:r>
          </w:p>
        </w:tc>
        <w:tc>
          <w:tcPr>
            <w:tcW w:w="2460" w:type="dxa"/>
            <w:vAlign w:val="bottom"/>
            <w:tcBorders>
              <w:bottom w:val="single" w:sz="8" w:color="auto"/>
              <w:right w:val="single" w:sz="8" w:color="auto"/>
            </w:tcBorders>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290,000</w:t>
            </w:r>
          </w:p>
        </w:tc>
        <w:tc>
          <w:tcPr>
            <w:tcW w:w="20" w:type="dxa"/>
            <w:vAlign w:val="bottom"/>
            <w:tcBorders>
              <w:bottom w:val="single" w:sz="8" w:color="auto"/>
            </w:tcBorders>
          </w:tcPr>
          <w:p>
            <w:pPr>
              <w:spacing w:after="0"/>
              <w:rPr>
                <w:sz w:val="20"/>
                <w:szCs w:val="20"/>
                <w:color w:val="auto"/>
              </w:rPr>
            </w:pPr>
          </w:p>
        </w:tc>
      </w:tr>
      <w:tr>
        <w:trPr>
          <w:trHeight w:val="236"/>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Angela Snyder</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125,000</w:t>
            </w:r>
          </w:p>
        </w:tc>
        <w:tc>
          <w:tcPr>
            <w:tcW w:w="2460" w:type="dxa"/>
            <w:vAlign w:val="bottom"/>
            <w:tcBorders>
              <w:bottom w:val="single" w:sz="8" w:color="auto"/>
              <w:right w:val="single" w:sz="8" w:color="auto"/>
            </w:tcBorders>
            <w:shd w:val="clear" w:color="auto" w:fill="D9D9D9"/>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285,000</w:t>
            </w:r>
          </w:p>
        </w:tc>
        <w:tc>
          <w:tcPr>
            <w:tcW w:w="2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8"/>
              </w:rPr>
              <w:t>Caesar Sweitzer</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125,000</w:t>
            </w:r>
          </w:p>
        </w:tc>
        <w:tc>
          <w:tcPr>
            <w:tcW w:w="2460" w:type="dxa"/>
            <w:vAlign w:val="bottom"/>
            <w:tcBorders>
              <w:bottom w:val="single" w:sz="8" w:color="auto"/>
              <w:right w:val="single" w:sz="8" w:color="auto"/>
            </w:tcBorders>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285,000</w:t>
            </w:r>
          </w:p>
        </w:tc>
        <w:tc>
          <w:tcPr>
            <w:tcW w:w="20" w:type="dxa"/>
            <w:vAlign w:val="bottom"/>
            <w:tcBorders>
              <w:bottom w:val="single" w:sz="8" w:color="auto"/>
            </w:tcBorders>
          </w:tcPr>
          <w:p>
            <w:pPr>
              <w:spacing w:after="0"/>
              <w:rPr>
                <w:sz w:val="20"/>
                <w:szCs w:val="20"/>
                <w:color w:val="auto"/>
              </w:rPr>
            </w:pPr>
          </w:p>
        </w:tc>
      </w:tr>
      <w:tr>
        <w:trPr>
          <w:trHeight w:val="237"/>
        </w:trPr>
        <w:tc>
          <w:tcPr>
            <w:tcW w:w="38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Marsha Williams</w:t>
            </w:r>
          </w:p>
        </w:tc>
        <w:tc>
          <w:tcPr>
            <w:tcW w:w="2480" w:type="dxa"/>
            <w:vAlign w:val="bottom"/>
            <w:tcBorders>
              <w:bottom w:val="single" w:sz="8" w:color="auto"/>
              <w:right w:val="single" w:sz="8" w:color="auto"/>
            </w:tcBorders>
            <w:shd w:val="clear" w:color="auto" w:fill="D9D9D9"/>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117,500</w:t>
            </w:r>
          </w:p>
        </w:tc>
        <w:tc>
          <w:tcPr>
            <w:tcW w:w="2460" w:type="dxa"/>
            <w:vAlign w:val="bottom"/>
            <w:tcBorders>
              <w:bottom w:val="single" w:sz="8" w:color="auto"/>
              <w:right w:val="single" w:sz="8" w:color="auto"/>
            </w:tcBorders>
            <w:shd w:val="clear" w:color="auto" w:fill="D9D9D9"/>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shd w:val="clear" w:color="auto" w:fill="D9D9D9"/>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277,500</w:t>
            </w:r>
          </w:p>
        </w:tc>
        <w:tc>
          <w:tcPr>
            <w:tcW w:w="20" w:type="dxa"/>
            <w:vAlign w:val="bottom"/>
            <w:tcBorders>
              <w:bottom w:val="single" w:sz="8" w:color="auto"/>
            </w:tcBorders>
          </w:tcPr>
          <w:p>
            <w:pPr>
              <w:spacing w:after="0"/>
              <w:rPr>
                <w:sz w:val="20"/>
                <w:szCs w:val="20"/>
                <w:color w:val="auto"/>
              </w:rPr>
            </w:pPr>
          </w:p>
        </w:tc>
      </w:tr>
      <w:tr>
        <w:trPr>
          <w:trHeight w:val="243"/>
        </w:trPr>
        <w:tc>
          <w:tcPr>
            <w:tcW w:w="38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2"/>
                <w:szCs w:val="22"/>
                <w:color w:val="auto"/>
                <w:w w:val="97"/>
              </w:rPr>
              <w:t>Dwayne Wilson (4)</w:t>
            </w:r>
          </w:p>
        </w:tc>
        <w:tc>
          <w:tcPr>
            <w:tcW w:w="2480" w:type="dxa"/>
            <w:vAlign w:val="bottom"/>
            <w:tcBorders>
              <w:bottom w:val="single" w:sz="8" w:color="auto"/>
              <w:right w:val="single" w:sz="8" w:color="auto"/>
            </w:tcBorders>
          </w:tcPr>
          <w:p>
            <w:pPr>
              <w:jc w:val="right"/>
              <w:ind w:right="612"/>
              <w:spacing w:after="0" w:line="237" w:lineRule="exact"/>
              <w:rPr>
                <w:sz w:val="20"/>
                <w:szCs w:val="20"/>
                <w:color w:val="auto"/>
              </w:rPr>
            </w:pPr>
            <w:r>
              <w:rPr>
                <w:rFonts w:ascii="Times New Roman" w:cs="Times New Roman" w:eastAsia="Times New Roman" w:hAnsi="Times New Roman"/>
                <w:sz w:val="22"/>
                <w:szCs w:val="22"/>
                <w:color w:val="auto"/>
              </w:rPr>
              <w:t>120,000</w:t>
            </w:r>
          </w:p>
        </w:tc>
        <w:tc>
          <w:tcPr>
            <w:tcW w:w="2460" w:type="dxa"/>
            <w:vAlign w:val="bottom"/>
            <w:tcBorders>
              <w:bottom w:val="single" w:sz="8" w:color="auto"/>
              <w:right w:val="single" w:sz="8" w:color="auto"/>
            </w:tcBorders>
          </w:tcPr>
          <w:p>
            <w:pPr>
              <w:jc w:val="right"/>
              <w:ind w:right="332"/>
              <w:spacing w:after="0" w:line="237" w:lineRule="exact"/>
              <w:rPr>
                <w:sz w:val="20"/>
                <w:szCs w:val="20"/>
                <w:color w:val="auto"/>
              </w:rPr>
            </w:pPr>
            <w:r>
              <w:rPr>
                <w:rFonts w:ascii="Times New Roman" w:cs="Times New Roman" w:eastAsia="Times New Roman" w:hAnsi="Times New Roman"/>
                <w:sz w:val="22"/>
                <w:szCs w:val="22"/>
                <w:color w:val="auto"/>
              </w:rPr>
              <w:t>160,000</w:t>
            </w:r>
          </w:p>
        </w:tc>
        <w:tc>
          <w:tcPr>
            <w:tcW w:w="2440" w:type="dxa"/>
            <w:vAlign w:val="bottom"/>
            <w:tcBorders>
              <w:bottom w:val="single" w:sz="8" w:color="auto"/>
            </w:tcBorders>
          </w:tcPr>
          <w:p>
            <w:pPr>
              <w:jc w:val="right"/>
              <w:ind w:right="512"/>
              <w:spacing w:after="0" w:line="237" w:lineRule="exact"/>
              <w:rPr>
                <w:sz w:val="20"/>
                <w:szCs w:val="20"/>
                <w:color w:val="auto"/>
              </w:rPr>
            </w:pPr>
            <w:r>
              <w:rPr>
                <w:rFonts w:ascii="Times New Roman" w:cs="Times New Roman" w:eastAsia="Times New Roman" w:hAnsi="Times New Roman"/>
                <w:sz w:val="22"/>
                <w:szCs w:val="22"/>
                <w:color w:val="auto"/>
              </w:rPr>
              <w:t>280,000</w:t>
            </w:r>
          </w:p>
        </w:tc>
        <w:tc>
          <w:tcPr>
            <w:tcW w:w="20" w:type="dxa"/>
            <w:vAlign w:val="bottom"/>
            <w:tcBorders>
              <w:bottom w:val="single" w:sz="8" w:color="auto"/>
            </w:tcBorders>
          </w:tcPr>
          <w:p>
            <w:pPr>
              <w:spacing w:after="0"/>
              <w:rPr>
                <w:sz w:val="21"/>
                <w:szCs w:val="21"/>
                <w:color w:val="auto"/>
              </w:rPr>
            </w:pPr>
          </w:p>
        </w:tc>
      </w:tr>
    </w:tbl>
    <w:p>
      <w:pPr>
        <w:spacing w:after="0" w:line="55" w:lineRule="exact"/>
        <w:rPr>
          <w:sz w:val="20"/>
          <w:szCs w:val="20"/>
          <w:color w:val="auto"/>
        </w:rPr>
      </w:pPr>
    </w:p>
    <w:p>
      <w:pPr>
        <w:jc w:val="both"/>
        <w:ind w:left="800" w:right="240" w:hanging="619"/>
        <w:spacing w:after="0" w:line="245" w:lineRule="auto"/>
        <w:tabs>
          <w:tab w:leader="none" w:pos="78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19"/>
          <w:szCs w:val="19"/>
          <w:color w:val="auto"/>
        </w:rPr>
        <w:t>Each Director may defer receipt of all, or any part, of his or her cash compensation until termination of service as a Director. At the election of the Director, deferred cash compensation amounts are paid in either a lump sum or quarterly installments over a period of either 5 or 10 years and are credited with interest at the prime rate until distributed.</w:t>
      </w:r>
    </w:p>
    <w:p>
      <w:pPr>
        <w:spacing w:after="0" w:line="48" w:lineRule="exact"/>
        <w:rPr>
          <w:sz w:val="20"/>
          <w:szCs w:val="20"/>
          <w:color w:val="auto"/>
        </w:rPr>
      </w:pPr>
    </w:p>
    <w:p>
      <w:pPr>
        <w:jc w:val="both"/>
        <w:ind w:left="800" w:right="240" w:hanging="619"/>
        <w:spacing w:after="0" w:line="239" w:lineRule="auto"/>
        <w:tabs>
          <w:tab w:leader="none" w:pos="78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19"/>
          <w:szCs w:val="19"/>
          <w:color w:val="auto"/>
        </w:rPr>
        <w:t>The annual grant of Company Common Stock for 2025 consisted of $160,000 of Company Common Stock under the 2022 Stock-Based Incentive Compensation Plan and was paid on a quarterly basis. The number of shares paid each quarter is determined based on the average of the closing market price of the Company’s Common Stock on each of the second through sixth business days following the date on which the Company publicly released its quarterly results. Each Director may defer receipt of all, or any part, of his or her annual stock grant until termination of service as a Director. At the election of the Director, deferred stock compensation amounts are paid in cash in either a lump sum or quarterly installments over a period of either 5 or 10 years and are credited in cash with dividends when paid. Mr. Wilson deferred $160,000 in stock awards in 2025.</w:t>
      </w:r>
    </w:p>
    <w:p>
      <w:pPr>
        <w:spacing w:after="0" w:line="59"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19"/>
          <w:szCs w:val="19"/>
          <w:color w:val="auto"/>
        </w:rPr>
        <w:t>Mr. Miller retired as a Director of the Company in May 2025.</w:t>
      </w:r>
    </w:p>
    <w:p>
      <w:pPr>
        <w:spacing w:after="0" w:line="81" w:lineRule="exact"/>
        <w:rPr>
          <w:sz w:val="20"/>
          <w:szCs w:val="20"/>
          <w:color w:val="auto"/>
        </w:rPr>
      </w:pPr>
    </w:p>
    <w:p>
      <w:pPr>
        <w:ind w:left="180"/>
        <w:spacing w:after="0"/>
        <w:tabs>
          <w:tab w:leader="none" w:pos="780" w:val="left"/>
        </w:tabs>
        <w:rPr>
          <w:sz w:val="20"/>
          <w:szCs w:val="20"/>
          <w:color w:val="auto"/>
        </w:rPr>
      </w:pPr>
      <w:r>
        <w:rPr>
          <w:rFonts w:ascii="Times New Roman" w:cs="Times New Roman" w:eastAsia="Times New Roman" w:hAnsi="Times New Roman"/>
          <w:sz w:val="20"/>
          <w:szCs w:val="20"/>
          <w:color w:val="auto"/>
        </w:rPr>
        <w:t>(4)</w:t>
      </w:r>
      <w:r>
        <w:rPr>
          <w:sz w:val="20"/>
          <w:szCs w:val="20"/>
          <w:color w:val="auto"/>
        </w:rPr>
        <w:tab/>
      </w:r>
      <w:r>
        <w:rPr>
          <w:rFonts w:ascii="Times New Roman" w:cs="Times New Roman" w:eastAsia="Times New Roman" w:hAnsi="Times New Roman"/>
          <w:sz w:val="19"/>
          <w:szCs w:val="19"/>
          <w:color w:val="auto"/>
        </w:rPr>
        <w:t>Mr. Wilson elected to defer 100% of the stock award payable for 2025 and such shares were credited to his Deferred Stock Account.</w:t>
      </w:r>
    </w:p>
    <w:p>
      <w:pPr>
        <w:spacing w:after="0" w:line="6"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9"/>
          <w:szCs w:val="19"/>
          <w:color w:val="auto"/>
        </w:rPr>
        <w:t>Dividends are credited to his Deferred Stock Account on the applicable date that such dividends are paid.</w:t>
      </w:r>
    </w:p>
    <w:p>
      <w:pPr>
        <w:spacing w:after="0" w:line="200" w:lineRule="exact"/>
        <w:rPr>
          <w:sz w:val="20"/>
          <w:szCs w:val="20"/>
          <w:color w:val="auto"/>
        </w:rPr>
      </w:pPr>
    </w:p>
    <w:p>
      <w:pPr>
        <w:spacing w:after="0" w:line="22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240"/>
          </w:cols>
          <w:pgMar w:left="320" w:top="551" w:right="339" w:bottom="1440" w:gutter="0" w:footer="0" w:header="0"/>
        </w:sectPr>
      </w:pPr>
    </w:p>
    <w:bookmarkStart w:id="27" w:name="page28"/>
    <w:bookmarkEnd w:id="27"/>
    <w:p>
      <w:pPr>
        <w:ind w:left="660"/>
        <w:spacing w:after="0"/>
        <w:rPr>
          <w:sz w:val="20"/>
          <w:szCs w:val="20"/>
          <w:color w:val="auto"/>
        </w:rPr>
      </w:pPr>
      <w:r>
        <w:rPr>
          <w:rFonts w:ascii="Times New Roman" w:cs="Times New Roman" w:eastAsia="Times New Roman" w:hAnsi="Times New Roman"/>
          <w:sz w:val="22"/>
          <w:szCs w:val="22"/>
          <w:color w:val="auto"/>
        </w:rPr>
        <w:t>The Board periodically receives benchmarking data regarding director compensation from Pay Governance LLC, an</w:t>
      </w:r>
    </w:p>
    <w:p>
      <w:pPr>
        <w:spacing w:after="0" w:line="19"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executive compensation consulting firm, and uses the 50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percentile of its peer group’s target total cash compensation and target total direct compensation as a market check in determining director compensation. For 2026, Directors who are not employees of the Company will receive annual cash base fees, grants of Company Common Stock and cash committee fees in the amounts set forth as follows.</w:t>
      </w:r>
    </w:p>
    <w:p>
      <w:pPr>
        <w:spacing w:after="0" w:line="320" w:lineRule="exact"/>
        <w:rPr>
          <w:sz w:val="20"/>
          <w:szCs w:val="20"/>
          <w:color w:val="auto"/>
        </w:rPr>
      </w:pPr>
    </w:p>
    <w:tbl>
      <w:tblPr>
        <w:tblLayout w:type="fixed"/>
        <w:tblInd w:w="590" w:type="dxa"/>
        <w:tblCellMar>
          <w:top w:w="0" w:type="dxa"/>
          <w:left w:w="0" w:type="dxa"/>
          <w:bottom w:w="0" w:type="dxa"/>
          <w:right w:w="0" w:type="dxa"/>
        </w:tblCellMar>
      </w:tblPr>
      <w:tr>
        <w:trPr>
          <w:trHeight w:val="256"/>
        </w:trPr>
        <w:tc>
          <w:tcPr>
            <w:tcW w:w="8580" w:type="dxa"/>
            <w:vAlign w:val="bottom"/>
            <w:tcBorders>
              <w:top w:val="single" w:sz="8" w:color="auto"/>
              <w:left w:val="single" w:sz="8" w:color="auto"/>
              <w:bottom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Cash Base Fee</w:t>
            </w:r>
          </w:p>
        </w:tc>
        <w:tc>
          <w:tcPr>
            <w:tcW w:w="1520" w:type="dxa"/>
            <w:vAlign w:val="bottom"/>
            <w:tcBorders>
              <w:top w:val="single" w:sz="8" w:color="auto"/>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$105,000</w:t>
            </w:r>
          </w:p>
        </w:tc>
      </w:tr>
      <w:tr>
        <w:trPr>
          <w:trHeight w:val="237"/>
        </w:trPr>
        <w:tc>
          <w:tcPr>
            <w:tcW w:w="8580" w:type="dxa"/>
            <w:vAlign w:val="bottom"/>
            <w:tcBorders>
              <w:left w:val="single" w:sz="8" w:color="auto"/>
              <w:bottom w:val="single" w:sz="8" w:color="auto"/>
              <w:right w:val="single" w:sz="8" w:color="auto"/>
            </w:tcBorders>
            <w:gridSpan w:val="2"/>
            <w:shd w:val="clear" w:color="auto" w:fill="D9D9D9"/>
          </w:tcPr>
          <w:p>
            <w:pPr>
              <w:ind w:left="100"/>
              <w:spacing w:after="0" w:line="237" w:lineRule="exact"/>
              <w:rPr>
                <w:sz w:val="20"/>
                <w:szCs w:val="20"/>
                <w:color w:val="auto"/>
              </w:rPr>
            </w:pPr>
            <w:r>
              <w:rPr>
                <w:rFonts w:ascii="Times New Roman" w:cs="Times New Roman" w:eastAsia="Times New Roman" w:hAnsi="Times New Roman"/>
                <w:sz w:val="22"/>
                <w:szCs w:val="22"/>
                <w:color w:val="auto"/>
              </w:rPr>
              <w:t>Equity Grant</w:t>
            </w:r>
          </w:p>
        </w:tc>
        <w:tc>
          <w:tcPr>
            <w:tcW w:w="1520" w:type="dxa"/>
            <w:vAlign w:val="bottom"/>
            <w:tcBorders>
              <w:bottom w:val="single" w:sz="8" w:color="auto"/>
              <w:right w:val="single" w:sz="8" w:color="auto"/>
            </w:tcBorders>
            <w:shd w:val="clear" w:color="auto" w:fill="D9D9D9"/>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165,000</w:t>
            </w:r>
          </w:p>
        </w:tc>
      </w:tr>
      <w:tr>
        <w:trPr>
          <w:trHeight w:val="357"/>
        </w:trPr>
        <w:tc>
          <w:tcPr>
            <w:tcW w:w="8580" w:type="dxa"/>
            <w:vAlign w:val="bottom"/>
            <w:tcBorders>
              <w:left w:val="single" w:sz="8" w:color="auto"/>
              <w:right w:val="single" w:sz="8" w:color="auto"/>
            </w:tcBorders>
            <w:gridSpan w:val="2"/>
          </w:tcPr>
          <w:p>
            <w:pPr>
              <w:ind w:left="100"/>
              <w:spacing w:after="0"/>
              <w:rPr>
                <w:sz w:val="20"/>
                <w:szCs w:val="20"/>
                <w:color w:val="auto"/>
              </w:rPr>
            </w:pPr>
            <w:r>
              <w:rPr>
                <w:rFonts w:ascii="Times New Roman" w:cs="Times New Roman" w:eastAsia="Times New Roman" w:hAnsi="Times New Roman"/>
                <w:sz w:val="22"/>
                <w:szCs w:val="22"/>
                <w:color w:val="auto"/>
              </w:rPr>
              <w:t>Supplemental Cash Committee Fees:</w:t>
            </w:r>
          </w:p>
        </w:tc>
        <w:tc>
          <w:tcPr>
            <w:tcW w:w="1520" w:type="dxa"/>
            <w:vAlign w:val="bottom"/>
            <w:tcBorders>
              <w:right w:val="single" w:sz="8" w:color="auto"/>
            </w:tcBorders>
          </w:tcPr>
          <w:p>
            <w:pPr>
              <w:spacing w:after="0"/>
              <w:rPr>
                <w:sz w:val="24"/>
                <w:szCs w:val="24"/>
                <w:color w:val="auto"/>
              </w:rPr>
            </w:pPr>
          </w:p>
        </w:tc>
      </w:tr>
      <w:tr>
        <w:trPr>
          <w:trHeight w:val="312"/>
        </w:trPr>
        <w:tc>
          <w:tcPr>
            <w:tcW w:w="340" w:type="dxa"/>
            <w:vAlign w:val="bottom"/>
            <w:tcBorders>
              <w:left w:val="single" w:sz="8" w:color="auto"/>
            </w:tcBorders>
          </w:tcPr>
          <w:p>
            <w:pPr>
              <w:ind w:left="220"/>
              <w:spacing w:after="0"/>
              <w:rPr>
                <w:sz w:val="20"/>
                <w:szCs w:val="20"/>
                <w:color w:val="auto"/>
              </w:rPr>
            </w:pPr>
            <w:r>
              <w:rPr>
                <w:rFonts w:ascii="Times New Roman" w:cs="Times New Roman" w:eastAsia="Times New Roman" w:hAnsi="Times New Roman"/>
                <w:sz w:val="22"/>
                <w:szCs w:val="22"/>
                <w:color w:val="auto"/>
              </w:rPr>
              <w:t>·</w:t>
            </w:r>
          </w:p>
        </w:tc>
        <w:tc>
          <w:tcPr>
            <w:tcW w:w="824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Audit Committee - Chair</w:t>
            </w:r>
          </w:p>
        </w:tc>
        <w:tc>
          <w:tcPr>
            <w:tcW w:w="1520" w:type="dxa"/>
            <w:vAlign w:val="bottom"/>
            <w:tcBorders>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25,000</w:t>
            </w:r>
          </w:p>
        </w:tc>
      </w:tr>
      <w:tr>
        <w:trPr>
          <w:trHeight w:val="243"/>
        </w:trPr>
        <w:tc>
          <w:tcPr>
            <w:tcW w:w="340" w:type="dxa"/>
            <w:vAlign w:val="bottom"/>
            <w:tcBorders>
              <w:left w:val="single" w:sz="8" w:color="auto"/>
            </w:tcBorders>
          </w:tcPr>
          <w:p>
            <w:pPr>
              <w:ind w:left="220"/>
              <w:spacing w:after="0" w:line="243" w:lineRule="exact"/>
              <w:rPr>
                <w:sz w:val="20"/>
                <w:szCs w:val="20"/>
                <w:color w:val="auto"/>
              </w:rPr>
            </w:pPr>
            <w:r>
              <w:rPr>
                <w:rFonts w:ascii="Times New Roman" w:cs="Times New Roman" w:eastAsia="Times New Roman" w:hAnsi="Times New Roman"/>
                <w:sz w:val="22"/>
                <w:szCs w:val="22"/>
                <w:color w:val="auto"/>
              </w:rPr>
              <w:t>·</w:t>
            </w:r>
          </w:p>
        </w:tc>
        <w:tc>
          <w:tcPr>
            <w:tcW w:w="8240" w:type="dxa"/>
            <w:vAlign w:val="bottom"/>
            <w:tcBorders>
              <w:right w:val="single" w:sz="8" w:color="auto"/>
            </w:tcBorders>
          </w:tcPr>
          <w:p>
            <w:pPr>
              <w:ind w:left="80"/>
              <w:spacing w:after="0" w:line="243" w:lineRule="exact"/>
              <w:rPr>
                <w:sz w:val="20"/>
                <w:szCs w:val="20"/>
                <w:color w:val="auto"/>
              </w:rPr>
            </w:pPr>
            <w:r>
              <w:rPr>
                <w:rFonts w:ascii="Times New Roman" w:cs="Times New Roman" w:eastAsia="Times New Roman" w:hAnsi="Times New Roman"/>
                <w:sz w:val="22"/>
                <w:szCs w:val="22"/>
                <w:color w:val="auto"/>
              </w:rPr>
              <w:t>Audit Committee - Other Members</w:t>
            </w:r>
          </w:p>
        </w:tc>
        <w:tc>
          <w:tcPr>
            <w:tcW w:w="1520" w:type="dxa"/>
            <w:vAlign w:val="bottom"/>
            <w:tcBorders>
              <w:right w:val="single" w:sz="8" w:color="auto"/>
            </w:tcBorders>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15,000</w:t>
            </w:r>
          </w:p>
        </w:tc>
      </w:tr>
      <w:tr>
        <w:trPr>
          <w:trHeight w:val="243"/>
        </w:trPr>
        <w:tc>
          <w:tcPr>
            <w:tcW w:w="8580" w:type="dxa"/>
            <w:vAlign w:val="bottom"/>
            <w:tcBorders>
              <w:left w:val="single" w:sz="8" w:color="auto"/>
              <w:right w:val="single" w:sz="8" w:color="auto"/>
            </w:tcBorders>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  Compensation Committee and Nominating and Corporate Governance Committee - Chair</w:t>
            </w:r>
          </w:p>
        </w:tc>
        <w:tc>
          <w:tcPr>
            <w:tcW w:w="1520" w:type="dxa"/>
            <w:vAlign w:val="bottom"/>
            <w:tcBorders>
              <w:right w:val="single" w:sz="8" w:color="auto"/>
            </w:tcBorders>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rPr>
              <w:t>20,000</w:t>
            </w:r>
          </w:p>
        </w:tc>
      </w:tr>
      <w:tr>
        <w:trPr>
          <w:trHeight w:val="243"/>
        </w:trPr>
        <w:tc>
          <w:tcPr>
            <w:tcW w:w="8580" w:type="dxa"/>
            <w:vAlign w:val="bottom"/>
            <w:tcBorders>
              <w:left w:val="single" w:sz="8" w:color="auto"/>
              <w:right w:val="single" w:sz="8" w:color="auto"/>
            </w:tcBorders>
            <w:gridSpan w:val="2"/>
          </w:tcPr>
          <w:p>
            <w:pPr>
              <w:ind w:left="220"/>
              <w:spacing w:after="0" w:line="243" w:lineRule="exact"/>
              <w:rPr>
                <w:sz w:val="20"/>
                <w:szCs w:val="20"/>
                <w:color w:val="auto"/>
              </w:rPr>
            </w:pPr>
            <w:r>
              <w:rPr>
                <w:rFonts w:ascii="Times New Roman" w:cs="Times New Roman" w:eastAsia="Times New Roman" w:hAnsi="Times New Roman"/>
                <w:sz w:val="22"/>
                <w:szCs w:val="22"/>
                <w:color w:val="auto"/>
              </w:rPr>
              <w:t>·  Compensation Committee and Nominating and Corporate Governance Committee - Other</w:t>
            </w:r>
          </w:p>
        </w:tc>
        <w:tc>
          <w:tcPr>
            <w:tcW w:w="1520" w:type="dxa"/>
            <w:vAlign w:val="bottom"/>
            <w:tcBorders>
              <w:right w:val="single" w:sz="8" w:color="auto"/>
            </w:tcBorders>
          </w:tcPr>
          <w:p>
            <w:pPr>
              <w:spacing w:after="0"/>
              <w:rPr>
                <w:sz w:val="21"/>
                <w:szCs w:val="21"/>
                <w:color w:val="auto"/>
              </w:rPr>
            </w:pPr>
          </w:p>
        </w:tc>
      </w:tr>
      <w:tr>
        <w:trPr>
          <w:trHeight w:val="270"/>
        </w:trPr>
        <w:tc>
          <w:tcPr>
            <w:tcW w:w="340" w:type="dxa"/>
            <w:vAlign w:val="bottom"/>
            <w:tcBorders>
              <w:left w:val="single" w:sz="8" w:color="auto"/>
              <w:bottom w:val="single" w:sz="8" w:color="auto"/>
            </w:tcBorders>
          </w:tcPr>
          <w:p>
            <w:pPr>
              <w:spacing w:after="0"/>
              <w:rPr>
                <w:sz w:val="23"/>
                <w:szCs w:val="23"/>
                <w:color w:val="auto"/>
              </w:rPr>
            </w:pPr>
          </w:p>
        </w:tc>
        <w:tc>
          <w:tcPr>
            <w:tcW w:w="824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22"/>
                <w:szCs w:val="22"/>
                <w:color w:val="auto"/>
              </w:rPr>
              <w:t>Members</w:t>
            </w:r>
          </w:p>
        </w:tc>
        <w:tc>
          <w:tcPr>
            <w:tcW w:w="1520" w:type="dxa"/>
            <w:vAlign w:val="bottom"/>
            <w:tcBorders>
              <w:bottom w:val="single" w:sz="8" w:color="auto"/>
              <w:right w:val="single" w:sz="8" w:color="auto"/>
            </w:tcBorders>
          </w:tcPr>
          <w:p>
            <w:pPr>
              <w:jc w:val="right"/>
              <w:ind w:right="132"/>
              <w:spacing w:after="0"/>
              <w:rPr>
                <w:sz w:val="20"/>
                <w:szCs w:val="20"/>
                <w:color w:val="auto"/>
              </w:rPr>
            </w:pPr>
            <w:r>
              <w:rPr>
                <w:rFonts w:ascii="Times New Roman" w:cs="Times New Roman" w:eastAsia="Times New Roman" w:hAnsi="Times New Roman"/>
                <w:sz w:val="22"/>
                <w:szCs w:val="22"/>
                <w:color w:val="auto"/>
              </w:rPr>
              <w:t>10,000</w:t>
            </w:r>
          </w:p>
        </w:tc>
      </w:tr>
      <w:tr>
        <w:trPr>
          <w:trHeight w:val="237"/>
        </w:trPr>
        <w:tc>
          <w:tcPr>
            <w:tcW w:w="8580" w:type="dxa"/>
            <w:vAlign w:val="bottom"/>
            <w:tcBorders>
              <w:left w:val="single" w:sz="8" w:color="auto"/>
              <w:bottom w:val="single" w:sz="8" w:color="auto"/>
              <w:right w:val="single" w:sz="8" w:color="auto"/>
            </w:tcBorders>
            <w:gridSpan w:val="2"/>
            <w:shd w:val="clear" w:color="auto" w:fill="D9D9D9"/>
          </w:tcPr>
          <w:p>
            <w:pPr>
              <w:ind w:left="100"/>
              <w:spacing w:after="0" w:line="237" w:lineRule="exact"/>
              <w:rPr>
                <w:sz w:val="20"/>
                <w:szCs w:val="20"/>
                <w:color w:val="auto"/>
              </w:rPr>
            </w:pPr>
            <w:r>
              <w:rPr>
                <w:rFonts w:ascii="Times New Roman" w:cs="Times New Roman" w:eastAsia="Times New Roman" w:hAnsi="Times New Roman"/>
                <w:sz w:val="22"/>
                <w:szCs w:val="22"/>
                <w:color w:val="auto"/>
              </w:rPr>
              <w:t>Independent Lead Director Fee</w:t>
            </w:r>
          </w:p>
        </w:tc>
        <w:tc>
          <w:tcPr>
            <w:tcW w:w="1520" w:type="dxa"/>
            <w:vAlign w:val="bottom"/>
            <w:tcBorders>
              <w:bottom w:val="single" w:sz="8" w:color="auto"/>
              <w:right w:val="single" w:sz="8" w:color="auto"/>
            </w:tcBorders>
            <w:shd w:val="clear" w:color="auto" w:fill="D9D9D9"/>
          </w:tcPr>
          <w:p>
            <w:pPr>
              <w:jc w:val="right"/>
              <w:ind w:right="132"/>
              <w:spacing w:after="0" w:line="237" w:lineRule="exact"/>
              <w:rPr>
                <w:sz w:val="20"/>
                <w:szCs w:val="20"/>
                <w:color w:val="auto"/>
              </w:rPr>
            </w:pPr>
            <w:r>
              <w:rPr>
                <w:rFonts w:ascii="Times New Roman" w:cs="Times New Roman" w:eastAsia="Times New Roman" w:hAnsi="Times New Roman"/>
                <w:sz w:val="22"/>
                <w:szCs w:val="22"/>
                <w:color w:val="auto"/>
              </w:rPr>
              <w:t>40,000</w:t>
            </w:r>
          </w:p>
        </w:tc>
      </w:tr>
    </w:tbl>
    <w:p>
      <w:pPr>
        <w:spacing w:after="0" w:line="36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Directors do not receive any additional fees for their service on the Executive Committee. There are no Board or committee meeting attendance fees. Directors are reimbursed by the Company for travel and related expenses they incur in connection with their service on the Board and its committees.</w:t>
      </w:r>
    </w:p>
    <w:p>
      <w:pPr>
        <w:spacing w:after="0" w:line="17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Under the Company’s Corporate Governance Guidelines, after five years of service on the Board, independent Directors are expected to own Company Common Stock having a market value of at least five times the cash base annual Director’s fee. As of March 10, 2026, each independent Director with more than five years of service on the Board satisfies this requirement.</w:t>
      </w:r>
    </w:p>
    <w:p>
      <w:pPr>
        <w:spacing w:after="0" w:line="15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Non-employee Directors may participate in the Company’s Deferred Compensation Plan for Directors which permits Directors to defer receipt of all, or any part, of their cash Director fees and/or stock awards. Deferred amounts are recorded in a notional bookkeeping account for the benefit of each Director that participates in the plan. Cash deferred fees accrue interest quarterly at the prime interest rate as reported in </w:t>
      </w:r>
      <w:r>
        <w:rPr>
          <w:rFonts w:ascii="Times New Roman" w:cs="Times New Roman" w:eastAsia="Times New Roman" w:hAnsi="Times New Roman"/>
          <w:sz w:val="22"/>
          <w:szCs w:val="22"/>
          <w:u w:val="single" w:color="auto"/>
          <w:color w:val="auto"/>
        </w:rPr>
        <w:t>The Wall Street Journal</w:t>
      </w:r>
      <w:r>
        <w:rPr>
          <w:rFonts w:ascii="Times New Roman" w:cs="Times New Roman" w:eastAsia="Times New Roman" w:hAnsi="Times New Roman"/>
          <w:sz w:val="22"/>
          <w:szCs w:val="22"/>
          <w:color w:val="auto"/>
        </w:rPr>
        <w:t>. Stock deferrals are credited with dividends when paid. When a Director ceases to be a member of the Board, the Director’s account will be paid in cash in either a lump sum or quarterly installments over five or ten years as elected by the Director. The right of any Director to receive payments under the plan is an unsecured claim against the general assets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571" w:right="339" w:bottom="1440" w:gutter="0" w:footer="0" w:header="0"/>
        </w:sectPr>
      </w:pPr>
    </w:p>
    <w:bookmarkStart w:id="28" w:name="page29"/>
    <w:bookmarkEnd w:id="28"/>
    <w:p>
      <w:pPr>
        <w:ind w:right="580"/>
        <w:spacing w:after="0" w:line="277" w:lineRule="auto"/>
        <w:rPr>
          <w:sz w:val="20"/>
          <w:szCs w:val="20"/>
          <w:color w:val="auto"/>
        </w:rPr>
      </w:pPr>
      <w:r>
        <w:rPr>
          <w:rFonts w:ascii="Times New Roman" w:cs="Times New Roman" w:eastAsia="Times New Roman" w:hAnsi="Times New Roman"/>
          <w:sz w:val="32"/>
          <w:szCs w:val="32"/>
          <w:b w:val="1"/>
          <w:bCs w:val="1"/>
          <w:color w:val="29650B"/>
        </w:rPr>
        <w:t>COMMON STOCK OWNERSHIP OF CERTAIN BENEFICIAL OWNERS, DIRECTORS AND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132320" cy="342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7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shows, as of March 10, 2026, the number of shares of Company Common Stock beneficially owned by each person or group that is known to the Company to be the beneficial owner of more than 5% of the Company’s outstanding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57861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5786120"/>
                    </a:xfrm>
                    <a:prstGeom prst="rect">
                      <a:avLst/>
                    </a:prstGeom>
                    <a:noFill/>
                  </pic:spPr>
                </pic:pic>
              </a:graphicData>
            </a:graphic>
          </wp:anchor>
        </w:drawing>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3880" w:type="dxa"/>
            <w:vAlign w:val="bottom"/>
            <w:shd w:val="clear" w:color="auto" w:fill="29650B"/>
          </w:tcPr>
          <w:p>
            <w:pPr>
              <w:spacing w:after="0"/>
              <w:rPr>
                <w:sz w:val="24"/>
                <w:szCs w:val="24"/>
                <w:color w:val="auto"/>
              </w:rPr>
            </w:pPr>
          </w:p>
        </w:tc>
        <w:tc>
          <w:tcPr>
            <w:tcW w:w="4480" w:type="dxa"/>
            <w:vAlign w:val="bottom"/>
            <w:shd w:val="clear" w:color="auto" w:fill="29650B"/>
          </w:tcPr>
          <w:p>
            <w:pPr>
              <w:jc w:val="center"/>
              <w:ind w:left="352"/>
              <w:spacing w:after="0"/>
              <w:rPr>
                <w:sz w:val="20"/>
                <w:szCs w:val="20"/>
                <w:color w:val="auto"/>
              </w:rPr>
            </w:pPr>
            <w:r>
              <w:rPr>
                <w:rFonts w:ascii="Times New Roman" w:cs="Times New Roman" w:eastAsia="Times New Roman" w:hAnsi="Times New Roman"/>
                <w:sz w:val="22"/>
                <w:szCs w:val="22"/>
                <w:b w:val="1"/>
                <w:bCs w:val="1"/>
                <w:color w:val="FFFFFF"/>
                <w:w w:val="97"/>
              </w:rPr>
              <w:t>Amount of Common Stock</w:t>
            </w:r>
          </w:p>
        </w:tc>
        <w:tc>
          <w:tcPr>
            <w:tcW w:w="2860" w:type="dxa"/>
            <w:vAlign w:val="bottom"/>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Percentage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880" w:type="dxa"/>
            <w:vAlign w:val="bottom"/>
            <w:shd w:val="clear" w:color="auto" w:fill="29650B"/>
          </w:tcPr>
          <w:p>
            <w:pPr>
              <w:ind w:left="1340"/>
              <w:spacing w:after="0" w:line="243" w:lineRule="exact"/>
              <w:rPr>
                <w:sz w:val="20"/>
                <w:szCs w:val="20"/>
                <w:color w:val="auto"/>
              </w:rPr>
            </w:pPr>
            <w:r>
              <w:rPr>
                <w:rFonts w:ascii="Times New Roman" w:cs="Times New Roman" w:eastAsia="Times New Roman" w:hAnsi="Times New Roman"/>
                <w:sz w:val="22"/>
                <w:szCs w:val="22"/>
                <w:b w:val="1"/>
                <w:bCs w:val="1"/>
                <w:color w:val="FFFFFF"/>
              </w:rPr>
              <w:t>Name and Address</w:t>
            </w:r>
          </w:p>
        </w:tc>
        <w:tc>
          <w:tcPr>
            <w:tcW w:w="4480" w:type="dxa"/>
            <w:vAlign w:val="bottom"/>
            <w:shd w:val="clear" w:color="auto" w:fill="29650B"/>
          </w:tcPr>
          <w:p>
            <w:pPr>
              <w:jc w:val="center"/>
              <w:ind w:left="372"/>
              <w:spacing w:after="0" w:line="243" w:lineRule="exact"/>
              <w:rPr>
                <w:sz w:val="20"/>
                <w:szCs w:val="20"/>
                <w:color w:val="auto"/>
              </w:rPr>
            </w:pPr>
            <w:r>
              <w:rPr>
                <w:rFonts w:ascii="Times New Roman" w:cs="Times New Roman" w:eastAsia="Times New Roman" w:hAnsi="Times New Roman"/>
                <w:sz w:val="22"/>
                <w:szCs w:val="22"/>
                <w:b w:val="1"/>
                <w:bCs w:val="1"/>
                <w:color w:val="FFFFFF"/>
                <w:w w:val="97"/>
              </w:rPr>
              <w:t>of the Company Owned Beneficially,</w:t>
            </w:r>
          </w:p>
        </w:tc>
        <w:tc>
          <w:tcPr>
            <w:tcW w:w="2860" w:type="dxa"/>
            <w:vAlign w:val="bottom"/>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8"/>
              </w:rPr>
              <w:t>Outstanding Shares (1)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2"/>
        </w:trPr>
        <w:tc>
          <w:tcPr>
            <w:tcW w:w="3880" w:type="dxa"/>
            <w:vAlign w:val="bottom"/>
            <w:tcBorders>
              <w:bottom w:val="single" w:sz="8" w:color="auto"/>
            </w:tcBorders>
            <w:shd w:val="clear" w:color="auto" w:fill="29650B"/>
          </w:tcPr>
          <w:p>
            <w:pPr>
              <w:spacing w:after="0"/>
              <w:rPr>
                <w:sz w:val="24"/>
                <w:szCs w:val="24"/>
                <w:color w:val="auto"/>
              </w:rPr>
            </w:pPr>
          </w:p>
        </w:tc>
        <w:tc>
          <w:tcPr>
            <w:tcW w:w="4480" w:type="dxa"/>
            <w:vAlign w:val="bottom"/>
            <w:tcBorders>
              <w:bottom w:val="single" w:sz="8" w:color="auto"/>
            </w:tcBorders>
            <w:shd w:val="clear" w:color="auto" w:fill="29650B"/>
          </w:tcPr>
          <w:p>
            <w:pPr>
              <w:jc w:val="center"/>
              <w:ind w:left="372"/>
              <w:spacing w:after="0"/>
              <w:rPr>
                <w:sz w:val="20"/>
                <w:szCs w:val="20"/>
                <w:color w:val="auto"/>
              </w:rPr>
            </w:pPr>
            <w:r>
              <w:rPr>
                <w:rFonts w:ascii="Times New Roman" w:cs="Times New Roman" w:eastAsia="Times New Roman" w:hAnsi="Times New Roman"/>
                <w:sz w:val="22"/>
                <w:szCs w:val="22"/>
                <w:b w:val="1"/>
                <w:bCs w:val="1"/>
                <w:color w:val="FFFFFF"/>
                <w:w w:val="97"/>
              </w:rPr>
              <w:t>Directly or Indirectly</w:t>
            </w:r>
          </w:p>
        </w:tc>
        <w:tc>
          <w:tcPr>
            <w:tcW w:w="2860" w:type="dxa"/>
            <w:vAlign w:val="bottom"/>
            <w:tcBorders>
              <w:bottom w:val="single" w:sz="8" w:color="auto"/>
            </w:tcBorders>
            <w:shd w:val="clear" w:color="auto" w:fill="29650B"/>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38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The Vanguard Group (2)</w:t>
            </w:r>
          </w:p>
        </w:tc>
        <w:tc>
          <w:tcPr>
            <w:tcW w:w="4480" w:type="dxa"/>
            <w:vAlign w:val="bottom"/>
          </w:tcPr>
          <w:p>
            <w:pPr>
              <w:spacing w:after="0"/>
              <w:rPr>
                <w:sz w:val="23"/>
                <w:szCs w:val="23"/>
                <w:color w:val="auto"/>
              </w:rPr>
            </w:pPr>
          </w:p>
        </w:tc>
        <w:tc>
          <w:tcPr>
            <w:tcW w:w="28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100 Vanguard Blvd.</w:t>
            </w:r>
          </w:p>
        </w:tc>
        <w:tc>
          <w:tcPr>
            <w:tcW w:w="4480" w:type="dxa"/>
            <w:vAlign w:val="bottom"/>
            <w:vMerge w:val="restart"/>
          </w:tcPr>
          <w:p>
            <w:pPr>
              <w:jc w:val="center"/>
              <w:ind w:left="352"/>
              <w:spacing w:after="0"/>
              <w:rPr>
                <w:sz w:val="20"/>
                <w:szCs w:val="20"/>
                <w:color w:val="auto"/>
              </w:rPr>
            </w:pPr>
            <w:r>
              <w:rPr>
                <w:rFonts w:ascii="Times New Roman" w:cs="Times New Roman" w:eastAsia="Times New Roman" w:hAnsi="Times New Roman"/>
                <w:sz w:val="22"/>
                <w:szCs w:val="22"/>
                <w:color w:val="auto"/>
                <w:w w:val="98"/>
              </w:rPr>
              <w:t>12,066,049</w:t>
            </w: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8"/>
              </w:rPr>
              <w:t>10.8%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880" w:type="dxa"/>
            <w:vAlign w:val="bottom"/>
            <w:vMerge w:val="restart"/>
          </w:tcPr>
          <w:p>
            <w:pPr>
              <w:ind w:left="520"/>
              <w:spacing w:after="0"/>
              <w:rPr>
                <w:sz w:val="20"/>
                <w:szCs w:val="20"/>
                <w:color w:val="auto"/>
              </w:rPr>
            </w:pPr>
            <w:r>
              <w:rPr>
                <w:rFonts w:ascii="Times New Roman" w:cs="Times New Roman" w:eastAsia="Times New Roman" w:hAnsi="Times New Roman"/>
                <w:sz w:val="22"/>
                <w:szCs w:val="22"/>
                <w:color w:val="auto"/>
              </w:rPr>
              <w:t>Malvern, PA 19355</w:t>
            </w:r>
          </w:p>
        </w:tc>
        <w:tc>
          <w:tcPr>
            <w:tcW w:w="4480" w:type="dxa"/>
            <w:vAlign w:val="bottom"/>
            <w:vMerge w:val="continue"/>
          </w:tcPr>
          <w:p>
            <w:pPr>
              <w:spacing w:after="0"/>
              <w:rPr>
                <w:sz w:val="16"/>
                <w:szCs w:val="16"/>
                <w:color w:val="auto"/>
              </w:rPr>
            </w:pPr>
          </w:p>
        </w:tc>
        <w:tc>
          <w:tcPr>
            <w:tcW w:w="2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880" w:type="dxa"/>
            <w:vAlign w:val="bottom"/>
            <w:vMerge w:val="continue"/>
          </w:tcPr>
          <w:p>
            <w:pPr>
              <w:spacing w:after="0"/>
              <w:rPr>
                <w:sz w:val="8"/>
                <w:szCs w:val="8"/>
                <w:color w:val="auto"/>
              </w:rPr>
            </w:pPr>
          </w:p>
        </w:tc>
        <w:tc>
          <w:tcPr>
            <w:tcW w:w="44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38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BlackRock, Inc. (3)</w:t>
            </w:r>
          </w:p>
        </w:tc>
        <w:tc>
          <w:tcPr>
            <w:tcW w:w="44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520"/>
              <w:spacing w:after="0" w:line="243" w:lineRule="exact"/>
              <w:rPr>
                <w:sz w:val="20"/>
                <w:szCs w:val="20"/>
                <w:color w:val="auto"/>
              </w:rPr>
            </w:pPr>
            <w:r>
              <w:rPr>
                <w:rFonts w:ascii="Times New Roman" w:cs="Times New Roman" w:eastAsia="Times New Roman" w:hAnsi="Times New Roman"/>
                <w:sz w:val="22"/>
                <w:szCs w:val="22"/>
                <w:color w:val="auto"/>
              </w:rPr>
              <w:t>50 Hudson Yards</w:t>
            </w:r>
          </w:p>
        </w:tc>
        <w:tc>
          <w:tcPr>
            <w:tcW w:w="4480" w:type="dxa"/>
            <w:vAlign w:val="bottom"/>
            <w:vMerge w:val="restart"/>
          </w:tcPr>
          <w:p>
            <w:pPr>
              <w:jc w:val="center"/>
              <w:ind w:left="352"/>
              <w:spacing w:after="0"/>
              <w:rPr>
                <w:sz w:val="20"/>
                <w:szCs w:val="20"/>
                <w:color w:val="auto"/>
              </w:rPr>
            </w:pPr>
            <w:r>
              <w:rPr>
                <w:rFonts w:ascii="Times New Roman" w:cs="Times New Roman" w:eastAsia="Times New Roman" w:hAnsi="Times New Roman"/>
                <w:sz w:val="22"/>
                <w:szCs w:val="22"/>
                <w:color w:val="auto"/>
                <w:w w:val="97"/>
              </w:rPr>
              <w:t>9,847,960</w:t>
            </w: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8.8%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880" w:type="dxa"/>
            <w:vAlign w:val="bottom"/>
            <w:vMerge w:val="restart"/>
          </w:tcPr>
          <w:p>
            <w:pPr>
              <w:ind w:left="520"/>
              <w:spacing w:after="0"/>
              <w:rPr>
                <w:sz w:val="20"/>
                <w:szCs w:val="20"/>
                <w:color w:val="auto"/>
              </w:rPr>
            </w:pPr>
            <w:r>
              <w:rPr>
                <w:rFonts w:ascii="Times New Roman" w:cs="Times New Roman" w:eastAsia="Times New Roman" w:hAnsi="Times New Roman"/>
                <w:sz w:val="22"/>
                <w:szCs w:val="22"/>
                <w:color w:val="auto"/>
              </w:rPr>
              <w:t>New York, NY 10001</w:t>
            </w:r>
          </w:p>
        </w:tc>
        <w:tc>
          <w:tcPr>
            <w:tcW w:w="4480" w:type="dxa"/>
            <w:vAlign w:val="bottom"/>
            <w:vMerge w:val="continue"/>
          </w:tcPr>
          <w:p>
            <w:pPr>
              <w:spacing w:after="0"/>
              <w:rPr>
                <w:sz w:val="16"/>
                <w:szCs w:val="16"/>
                <w:color w:val="auto"/>
              </w:rPr>
            </w:pPr>
          </w:p>
        </w:tc>
        <w:tc>
          <w:tcPr>
            <w:tcW w:w="2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3880" w:type="dxa"/>
            <w:vAlign w:val="bottom"/>
            <w:vMerge w:val="continue"/>
          </w:tcPr>
          <w:p>
            <w:pPr>
              <w:spacing w:after="0"/>
              <w:rPr>
                <w:sz w:val="8"/>
                <w:szCs w:val="8"/>
                <w:color w:val="auto"/>
              </w:rPr>
            </w:pPr>
          </w:p>
        </w:tc>
        <w:tc>
          <w:tcPr>
            <w:tcW w:w="44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5"/>
        </w:trPr>
        <w:tc>
          <w:tcPr>
            <w:tcW w:w="388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38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FMR LLC (4)</w:t>
            </w:r>
          </w:p>
        </w:tc>
        <w:tc>
          <w:tcPr>
            <w:tcW w:w="4480" w:type="dxa"/>
            <w:vAlign w:val="bottom"/>
          </w:tcPr>
          <w:p>
            <w:pPr>
              <w:spacing w:after="0"/>
              <w:rPr>
                <w:sz w:val="22"/>
                <w:szCs w:val="22"/>
                <w:color w:val="auto"/>
              </w:rPr>
            </w:pPr>
          </w:p>
        </w:tc>
        <w:tc>
          <w:tcPr>
            <w:tcW w:w="2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4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4480" w:type="dxa"/>
            <w:vAlign w:val="bottom"/>
            <w:vMerge w:val="restart"/>
          </w:tcPr>
          <w:p>
            <w:pPr>
              <w:jc w:val="center"/>
              <w:ind w:left="352"/>
              <w:spacing w:after="0"/>
              <w:rPr>
                <w:sz w:val="20"/>
                <w:szCs w:val="20"/>
                <w:color w:val="auto"/>
              </w:rPr>
            </w:pPr>
            <w:r>
              <w:rPr>
                <w:rFonts w:ascii="Times New Roman" w:cs="Times New Roman" w:eastAsia="Times New Roman" w:hAnsi="Times New Roman"/>
                <w:sz w:val="22"/>
                <w:szCs w:val="22"/>
                <w:color w:val="auto"/>
                <w:w w:val="97"/>
              </w:rPr>
              <w:t>8,787,602</w:t>
            </w:r>
          </w:p>
        </w:tc>
        <w:tc>
          <w:tcPr>
            <w:tcW w:w="28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rPr>
              <w:t>7.8%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388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rPr>
              <w:t>Boston, MA 02210</w:t>
            </w:r>
          </w:p>
        </w:tc>
        <w:tc>
          <w:tcPr>
            <w:tcW w:w="4480" w:type="dxa"/>
            <w:vAlign w:val="bottom"/>
            <w:vMerge w:val="continue"/>
          </w:tcPr>
          <w:p>
            <w:pPr>
              <w:spacing w:after="0"/>
              <w:rPr>
                <w:sz w:val="16"/>
                <w:szCs w:val="16"/>
                <w:color w:val="auto"/>
              </w:rPr>
            </w:pPr>
          </w:p>
        </w:tc>
        <w:tc>
          <w:tcPr>
            <w:tcW w:w="286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4"/>
        </w:trPr>
        <w:tc>
          <w:tcPr>
            <w:tcW w:w="3880" w:type="dxa"/>
            <w:vAlign w:val="bottom"/>
            <w:vMerge w:val="continue"/>
          </w:tcPr>
          <w:p>
            <w:pPr>
              <w:spacing w:after="0"/>
              <w:rPr>
                <w:sz w:val="8"/>
                <w:szCs w:val="8"/>
                <w:color w:val="auto"/>
              </w:rPr>
            </w:pPr>
          </w:p>
        </w:tc>
        <w:tc>
          <w:tcPr>
            <w:tcW w:w="4480" w:type="dxa"/>
            <w:vAlign w:val="bottom"/>
          </w:tcPr>
          <w:p>
            <w:pPr>
              <w:spacing w:after="0"/>
              <w:rPr>
                <w:sz w:val="8"/>
                <w:szCs w:val="8"/>
                <w:color w:val="auto"/>
              </w:rPr>
            </w:pPr>
          </w:p>
        </w:tc>
        <w:tc>
          <w:tcPr>
            <w:tcW w:w="2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393" w:lineRule="exact"/>
        <w:rPr>
          <w:sz w:val="20"/>
          <w:szCs w:val="20"/>
          <w:color w:val="auto"/>
        </w:rPr>
      </w:pPr>
    </w:p>
    <w:p>
      <w:pPr>
        <w:ind w:left="800" w:hanging="681"/>
        <w:spacing w:after="0"/>
        <w:tabs>
          <w:tab w:leader="none" w:pos="80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Percentages are derived based upon 112,241,962 shares of Common Stock outstanding as of March 10, 2026.</w:t>
      </w:r>
    </w:p>
    <w:p>
      <w:pPr>
        <w:spacing w:after="0" w:line="314" w:lineRule="exact"/>
        <w:rPr>
          <w:rFonts w:ascii="Times New Roman" w:cs="Times New Roman" w:eastAsia="Times New Roman" w:hAnsi="Times New Roman"/>
          <w:sz w:val="21"/>
          <w:szCs w:val="21"/>
          <w:color w:val="auto"/>
        </w:rPr>
      </w:pPr>
    </w:p>
    <w:p>
      <w:pPr>
        <w:ind w:left="800" w:right="180" w:hanging="681"/>
        <w:spacing w:after="0" w:line="238" w:lineRule="auto"/>
        <w:tabs>
          <w:tab w:leader="none" w:pos="80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information is based upon a Schedule 13G filing with the SEC on August 12, 2024 made by The Vanguard Group setting forth information as of July 31, 2024. The Vanguard Group, an investment advisor, reported that it may be deemed to be the beneficial owner of 12,066,049 shares of the Company’s Common Stock. The Vanguard Group reported that it had sole dispositive power with respect to 11,900,275 shares, including 63,971 shares for which it had shared voting power, and shared dispositive power with respect to 165,774 shares.</w:t>
      </w:r>
    </w:p>
    <w:p>
      <w:pPr>
        <w:spacing w:after="0" w:line="284" w:lineRule="exact"/>
        <w:rPr>
          <w:rFonts w:ascii="Times New Roman" w:cs="Times New Roman" w:eastAsia="Times New Roman" w:hAnsi="Times New Roman"/>
          <w:sz w:val="21"/>
          <w:szCs w:val="21"/>
          <w:color w:val="auto"/>
        </w:rPr>
      </w:pPr>
    </w:p>
    <w:p>
      <w:pPr>
        <w:ind w:left="800" w:right="20" w:hanging="681"/>
        <w:spacing w:after="0" w:line="238" w:lineRule="auto"/>
        <w:tabs>
          <w:tab w:leader="none" w:pos="80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information is based upon a Schedule 13G filing with the SEC on January 21, 2026 made by BlackRock, Inc. setting forth information as of December 31, 2025. BlackRock, Inc., a parent holding company, reported that it may be deemed to be the beneficial owner of 9,847,960 shares of the Company’s Common Stock. BlackRock, Inc. reported that it had sole dispositive power with respect to 9,847,960 shares, including 9,420,995 shares for which it had sole voting power.</w:t>
      </w:r>
    </w:p>
    <w:p>
      <w:pPr>
        <w:spacing w:after="0" w:line="284" w:lineRule="exact"/>
        <w:rPr>
          <w:rFonts w:ascii="Times New Roman" w:cs="Times New Roman" w:eastAsia="Times New Roman" w:hAnsi="Times New Roman"/>
          <w:sz w:val="21"/>
          <w:szCs w:val="21"/>
          <w:color w:val="auto"/>
        </w:rPr>
      </w:pPr>
    </w:p>
    <w:p>
      <w:pPr>
        <w:ind w:left="800" w:right="160" w:hanging="681"/>
        <w:spacing w:after="0" w:line="239" w:lineRule="auto"/>
        <w:tabs>
          <w:tab w:leader="none" w:pos="800" w:val="left"/>
        </w:tabs>
        <w:numPr>
          <w:ilvl w:val="0"/>
          <w:numId w:val="25"/>
        </w:numPr>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This information is based upon a Schedule 13G filing with the SEC on November 12, 2024 made by FMR LLC setting forth information as of September 30, 2024. FMR LLC, a parent holding company, reported that it may be deemed to be the beneficial owner of 8,787,602 shares of the Company’s Common Stock. FMR LLC reported that it had sole dispositive power with respect to 8,787,602 shares.</w:t>
      </w:r>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551" w:right="339" w:bottom="1440" w:gutter="0" w:footer="0" w:header="0"/>
        </w:sectPr>
      </w:pPr>
    </w:p>
    <w:bookmarkStart w:id="29" w:name="page30"/>
    <w:bookmarkEnd w:id="29"/>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following table shows, as of March 10, 2026, the number of shares of Common Stock beneficially owned by each Director; the Company’s Chief Executive Officer, Chief Financial Officer and the three other Executive Officers who were the highest paid during 2025; and all Directors and Executive Officers as a group. The Directors and Executive Officers of the Company have sole voting and dispositive power with respect to the securities of the Company listed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132320" cy="4705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4705985"/>
                    </a:xfrm>
                    <a:prstGeom prst="rect">
                      <a:avLst/>
                    </a:prstGeom>
                    <a:noFill/>
                  </pic:spPr>
                </pic:pic>
              </a:graphicData>
            </a:graphic>
          </wp:anchor>
        </w:drawing>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900" w:type="dxa"/>
            <w:vAlign w:val="bottom"/>
            <w:tcBorders>
              <w:top w:val="single" w:sz="8" w:color="auto"/>
            </w:tcBorders>
            <w:shd w:val="clear" w:color="auto" w:fill="29650B"/>
          </w:tcPr>
          <w:p>
            <w:pPr>
              <w:spacing w:after="0"/>
              <w:rPr>
                <w:sz w:val="19"/>
                <w:szCs w:val="19"/>
                <w:color w:val="auto"/>
              </w:rPr>
            </w:pPr>
          </w:p>
        </w:tc>
        <w:tc>
          <w:tcPr>
            <w:tcW w:w="5260" w:type="dxa"/>
            <w:vAlign w:val="bottom"/>
            <w:tcBorders>
              <w:top w:val="single" w:sz="8" w:color="auto"/>
            </w:tcBorders>
            <w:shd w:val="clear" w:color="auto" w:fill="29650B"/>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FFFFFF"/>
                <w:w w:val="97"/>
              </w:rPr>
              <w:t>Amount of Common Stock</w:t>
            </w:r>
          </w:p>
        </w:tc>
        <w:tc>
          <w:tcPr>
            <w:tcW w:w="3060" w:type="dxa"/>
            <w:vAlign w:val="bottom"/>
            <w:tcBorders>
              <w:top w:val="single" w:sz="8" w:color="auto"/>
            </w:tcBorders>
            <w:vMerge w:val="restart"/>
            <w:shd w:val="clear" w:color="auto" w:fill="29650B"/>
          </w:tcPr>
          <w:p>
            <w:pPr>
              <w:jc w:val="center"/>
              <w:ind w:right="52"/>
              <w:spacing w:after="0"/>
              <w:rPr>
                <w:sz w:val="20"/>
                <w:szCs w:val="20"/>
                <w:color w:val="auto"/>
              </w:rPr>
            </w:pPr>
            <w:r>
              <w:rPr>
                <w:rFonts w:ascii="Times New Roman" w:cs="Times New Roman" w:eastAsia="Times New Roman" w:hAnsi="Times New Roman"/>
                <w:sz w:val="22"/>
                <w:szCs w:val="22"/>
                <w:b w:val="1"/>
                <w:bCs w:val="1"/>
                <w:color w:val="FFFFFF"/>
                <w:w w:val="98"/>
              </w:rPr>
              <w:t>Percentage of</w:t>
            </w:r>
          </w:p>
        </w:tc>
        <w:tc>
          <w:tcPr>
            <w:tcW w:w="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900" w:type="dxa"/>
            <w:vAlign w:val="bottom"/>
            <w:shd w:val="clear" w:color="auto" w:fill="29650B"/>
          </w:tcPr>
          <w:p>
            <w:pPr>
              <w:spacing w:after="0"/>
              <w:rPr>
                <w:sz w:val="10"/>
                <w:szCs w:val="10"/>
                <w:color w:val="auto"/>
              </w:rPr>
            </w:pPr>
          </w:p>
        </w:tc>
        <w:tc>
          <w:tcPr>
            <w:tcW w:w="5260" w:type="dxa"/>
            <w:vAlign w:val="bottom"/>
            <w:vMerge w:val="restart"/>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7"/>
              </w:rPr>
              <w:t>of the Company Owned Beneficially, Directly or</w:t>
            </w:r>
          </w:p>
        </w:tc>
        <w:tc>
          <w:tcPr>
            <w:tcW w:w="3060" w:type="dxa"/>
            <w:vAlign w:val="bottom"/>
            <w:vMerge w:val="continue"/>
            <w:shd w:val="clear" w:color="auto" w:fill="29650B"/>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900" w:type="dxa"/>
            <w:vAlign w:val="bottom"/>
            <w:vMerge w:val="restart"/>
            <w:shd w:val="clear" w:color="auto" w:fill="29650B"/>
          </w:tcPr>
          <w:p>
            <w:pPr>
              <w:ind w:left="1320"/>
              <w:spacing w:after="0"/>
              <w:rPr>
                <w:sz w:val="20"/>
                <w:szCs w:val="20"/>
                <w:color w:val="auto"/>
              </w:rPr>
            </w:pPr>
            <w:r>
              <w:rPr>
                <w:rFonts w:ascii="Times New Roman" w:cs="Times New Roman" w:eastAsia="Times New Roman" w:hAnsi="Times New Roman"/>
                <w:sz w:val="22"/>
                <w:szCs w:val="22"/>
                <w:b w:val="1"/>
                <w:bCs w:val="1"/>
                <w:color w:val="FFFFFF"/>
              </w:rPr>
              <w:t>Name</w:t>
            </w:r>
          </w:p>
        </w:tc>
        <w:tc>
          <w:tcPr>
            <w:tcW w:w="5260" w:type="dxa"/>
            <w:vAlign w:val="bottom"/>
            <w:vMerge w:val="continue"/>
            <w:shd w:val="clear" w:color="auto" w:fill="29650B"/>
          </w:tcPr>
          <w:p>
            <w:pPr>
              <w:spacing w:after="0"/>
              <w:rPr>
                <w:sz w:val="10"/>
                <w:szCs w:val="10"/>
                <w:color w:val="auto"/>
              </w:rPr>
            </w:pPr>
          </w:p>
        </w:tc>
        <w:tc>
          <w:tcPr>
            <w:tcW w:w="3060" w:type="dxa"/>
            <w:vAlign w:val="bottom"/>
            <w:vMerge w:val="restart"/>
            <w:shd w:val="clear" w:color="auto" w:fill="29650B"/>
          </w:tcPr>
          <w:p>
            <w:pPr>
              <w:jc w:val="center"/>
              <w:ind w:right="52"/>
              <w:spacing w:after="0"/>
              <w:rPr>
                <w:sz w:val="20"/>
                <w:szCs w:val="20"/>
                <w:color w:val="auto"/>
              </w:rPr>
            </w:pPr>
            <w:r>
              <w:rPr>
                <w:rFonts w:ascii="Times New Roman" w:cs="Times New Roman" w:eastAsia="Times New Roman" w:hAnsi="Times New Roman"/>
                <w:sz w:val="22"/>
                <w:szCs w:val="22"/>
                <w:b w:val="1"/>
                <w:bCs w:val="1"/>
                <w:color w:val="FFFFFF"/>
                <w:w w:val="98"/>
              </w:rPr>
              <w:t>Outstanding Shares (1)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900" w:type="dxa"/>
            <w:vAlign w:val="bottom"/>
            <w:vMerge w:val="continue"/>
            <w:shd w:val="clear" w:color="auto" w:fill="29650B"/>
          </w:tcPr>
          <w:p>
            <w:pPr>
              <w:spacing w:after="0"/>
              <w:rPr>
                <w:sz w:val="14"/>
                <w:szCs w:val="14"/>
                <w:color w:val="auto"/>
              </w:rPr>
            </w:pPr>
          </w:p>
        </w:tc>
        <w:tc>
          <w:tcPr>
            <w:tcW w:w="5260" w:type="dxa"/>
            <w:vAlign w:val="bottom"/>
            <w:vMerge w:val="restart"/>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6"/>
              </w:rPr>
              <w:t>Indirectly</w:t>
            </w:r>
          </w:p>
        </w:tc>
        <w:tc>
          <w:tcPr>
            <w:tcW w:w="3060" w:type="dxa"/>
            <w:vAlign w:val="bottom"/>
            <w:vMerge w:val="continue"/>
            <w:shd w:val="clear" w:color="auto" w:fill="29650B"/>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900" w:type="dxa"/>
            <w:vAlign w:val="bottom"/>
            <w:shd w:val="clear" w:color="auto" w:fill="29650B"/>
          </w:tcPr>
          <w:p>
            <w:pPr>
              <w:spacing w:after="0"/>
              <w:rPr>
                <w:sz w:val="9"/>
                <w:szCs w:val="9"/>
                <w:color w:val="auto"/>
              </w:rPr>
            </w:pPr>
          </w:p>
        </w:tc>
        <w:tc>
          <w:tcPr>
            <w:tcW w:w="5260" w:type="dxa"/>
            <w:vAlign w:val="bottom"/>
            <w:vMerge w:val="continue"/>
            <w:shd w:val="clear" w:color="auto" w:fill="29650B"/>
          </w:tcPr>
          <w:p>
            <w:pPr>
              <w:spacing w:after="0"/>
              <w:rPr>
                <w:sz w:val="9"/>
                <w:szCs w:val="9"/>
                <w:color w:val="auto"/>
              </w:rPr>
            </w:pPr>
          </w:p>
        </w:tc>
        <w:tc>
          <w:tcPr>
            <w:tcW w:w="3060" w:type="dxa"/>
            <w:vAlign w:val="bottom"/>
            <w:shd w:val="clear" w:color="auto" w:fill="29650B"/>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1"/>
        </w:trPr>
        <w:tc>
          <w:tcPr>
            <w:tcW w:w="2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Kevin Clothier</w:t>
            </w:r>
          </w:p>
        </w:tc>
        <w:tc>
          <w:tcPr>
            <w:tcW w:w="5260" w:type="dxa"/>
            <w:vAlign w:val="bottom"/>
          </w:tcPr>
          <w:p>
            <w:pPr>
              <w:jc w:val="right"/>
              <w:ind w:right="1472"/>
              <w:spacing w:after="0"/>
              <w:rPr>
                <w:sz w:val="20"/>
                <w:szCs w:val="20"/>
                <w:color w:val="auto"/>
              </w:rPr>
            </w:pPr>
            <w:r>
              <w:rPr>
                <w:rFonts w:ascii="Times New Roman" w:cs="Times New Roman" w:eastAsia="Times New Roman" w:hAnsi="Times New Roman"/>
                <w:sz w:val="22"/>
                <w:szCs w:val="22"/>
                <w:color w:val="auto"/>
              </w:rPr>
              <w:t>80,509</w:t>
            </w:r>
          </w:p>
        </w:tc>
        <w:tc>
          <w:tcPr>
            <w:tcW w:w="306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Adam Dickstein</w:t>
            </w:r>
          </w:p>
        </w:tc>
        <w:tc>
          <w:tcPr>
            <w:tcW w:w="5260" w:type="dxa"/>
            <w:vAlign w:val="bottom"/>
            <w:shd w:val="clear" w:color="auto" w:fill="D9D9D9"/>
          </w:tcPr>
          <w:p>
            <w:pPr>
              <w:jc w:val="right"/>
              <w:ind w:right="1472"/>
              <w:spacing w:after="0"/>
              <w:rPr>
                <w:sz w:val="20"/>
                <w:szCs w:val="20"/>
                <w:color w:val="auto"/>
              </w:rPr>
            </w:pPr>
            <w:r>
              <w:rPr>
                <w:rFonts w:ascii="Times New Roman" w:cs="Times New Roman" w:eastAsia="Times New Roman" w:hAnsi="Times New Roman"/>
                <w:sz w:val="22"/>
                <w:szCs w:val="22"/>
                <w:color w:val="auto"/>
              </w:rPr>
              <w:t>66,720</w:t>
            </w:r>
          </w:p>
        </w:tc>
        <w:tc>
          <w:tcPr>
            <w:tcW w:w="3060" w:type="dxa"/>
            <w:vAlign w:val="bottom"/>
            <w:shd w:val="clear" w:color="auto" w:fill="D9D9D9"/>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Timothy Donahue</w:t>
            </w:r>
          </w:p>
        </w:tc>
        <w:tc>
          <w:tcPr>
            <w:tcW w:w="5260" w:type="dxa"/>
            <w:vAlign w:val="bottom"/>
          </w:tcPr>
          <w:p>
            <w:pPr>
              <w:jc w:val="right"/>
              <w:ind w:right="1472"/>
              <w:spacing w:after="0"/>
              <w:rPr>
                <w:sz w:val="20"/>
                <w:szCs w:val="20"/>
                <w:color w:val="auto"/>
              </w:rPr>
            </w:pPr>
            <w:r>
              <w:rPr>
                <w:rFonts w:ascii="Times New Roman" w:cs="Times New Roman" w:eastAsia="Times New Roman" w:hAnsi="Times New Roman"/>
                <w:sz w:val="22"/>
                <w:szCs w:val="22"/>
                <w:color w:val="auto"/>
              </w:rPr>
              <w:t>466,851</w:t>
            </w:r>
          </w:p>
        </w:tc>
        <w:tc>
          <w:tcPr>
            <w:tcW w:w="306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Michael Doss</w:t>
            </w:r>
          </w:p>
        </w:tc>
        <w:tc>
          <w:tcPr>
            <w:tcW w:w="5260" w:type="dxa"/>
            <w:vAlign w:val="bottom"/>
            <w:shd w:val="clear" w:color="auto" w:fill="D9D9D9"/>
          </w:tcPr>
          <w:p>
            <w:pPr>
              <w:jc w:val="right"/>
              <w:ind w:right="1472"/>
              <w:spacing w:after="0"/>
              <w:rPr>
                <w:sz w:val="20"/>
                <w:szCs w:val="20"/>
                <w:color w:val="auto"/>
              </w:rPr>
            </w:pPr>
            <w:r>
              <w:rPr>
                <w:rFonts w:ascii="Times New Roman" w:cs="Times New Roman" w:eastAsia="Times New Roman" w:hAnsi="Times New Roman"/>
                <w:sz w:val="22"/>
                <w:szCs w:val="22"/>
                <w:color w:val="auto"/>
              </w:rPr>
              <w:t>0</w:t>
            </w:r>
          </w:p>
        </w:tc>
        <w:tc>
          <w:tcPr>
            <w:tcW w:w="3060" w:type="dxa"/>
            <w:vAlign w:val="bottom"/>
            <w:shd w:val="clear" w:color="auto" w:fill="D9D9D9"/>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Richard Fearon (2)</w:t>
            </w:r>
          </w:p>
        </w:tc>
        <w:tc>
          <w:tcPr>
            <w:tcW w:w="5260" w:type="dxa"/>
            <w:vAlign w:val="bottom"/>
          </w:tcPr>
          <w:p>
            <w:pPr>
              <w:jc w:val="right"/>
              <w:ind w:right="1472"/>
              <w:spacing w:after="0"/>
              <w:rPr>
                <w:sz w:val="20"/>
                <w:szCs w:val="20"/>
                <w:color w:val="auto"/>
              </w:rPr>
            </w:pPr>
            <w:r>
              <w:rPr>
                <w:rFonts w:ascii="Times New Roman" w:cs="Times New Roman" w:eastAsia="Times New Roman" w:hAnsi="Times New Roman"/>
                <w:sz w:val="22"/>
                <w:szCs w:val="22"/>
                <w:color w:val="auto"/>
              </w:rPr>
              <w:t>12,077</w:t>
            </w:r>
          </w:p>
        </w:tc>
        <w:tc>
          <w:tcPr>
            <w:tcW w:w="306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Andrea Funk</w:t>
            </w:r>
          </w:p>
        </w:tc>
        <w:tc>
          <w:tcPr>
            <w:tcW w:w="5260" w:type="dxa"/>
            <w:vAlign w:val="bottom"/>
            <w:shd w:val="clear" w:color="auto" w:fill="D9D9D9"/>
          </w:tcPr>
          <w:p>
            <w:pPr>
              <w:jc w:val="right"/>
              <w:ind w:right="1472"/>
              <w:spacing w:after="0"/>
              <w:rPr>
                <w:sz w:val="20"/>
                <w:szCs w:val="20"/>
                <w:color w:val="auto"/>
              </w:rPr>
            </w:pPr>
            <w:r>
              <w:rPr>
                <w:rFonts w:ascii="Times New Roman" w:cs="Times New Roman" w:eastAsia="Times New Roman" w:hAnsi="Times New Roman"/>
                <w:sz w:val="22"/>
                <w:szCs w:val="22"/>
                <w:color w:val="auto"/>
              </w:rPr>
              <w:t>17,110</w:t>
            </w:r>
          </w:p>
        </w:tc>
        <w:tc>
          <w:tcPr>
            <w:tcW w:w="3060" w:type="dxa"/>
            <w:vAlign w:val="bottom"/>
            <w:shd w:val="clear" w:color="auto" w:fill="D9D9D9"/>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Gerard Gifford</w:t>
            </w:r>
          </w:p>
        </w:tc>
        <w:tc>
          <w:tcPr>
            <w:tcW w:w="5260" w:type="dxa"/>
            <w:vAlign w:val="bottom"/>
          </w:tcPr>
          <w:p>
            <w:pPr>
              <w:jc w:val="right"/>
              <w:ind w:right="1472"/>
              <w:spacing w:after="0"/>
              <w:rPr>
                <w:sz w:val="20"/>
                <w:szCs w:val="20"/>
                <w:color w:val="auto"/>
              </w:rPr>
            </w:pPr>
            <w:r>
              <w:rPr>
                <w:rFonts w:ascii="Times New Roman" w:cs="Times New Roman" w:eastAsia="Times New Roman" w:hAnsi="Times New Roman"/>
                <w:sz w:val="22"/>
                <w:szCs w:val="22"/>
                <w:color w:val="auto"/>
              </w:rPr>
              <w:t>108,777</w:t>
            </w:r>
          </w:p>
        </w:tc>
        <w:tc>
          <w:tcPr>
            <w:tcW w:w="306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Stephen Hagge</w:t>
            </w:r>
          </w:p>
        </w:tc>
        <w:tc>
          <w:tcPr>
            <w:tcW w:w="5260" w:type="dxa"/>
            <w:vAlign w:val="bottom"/>
            <w:shd w:val="clear" w:color="auto" w:fill="D9D9D9"/>
          </w:tcPr>
          <w:p>
            <w:pPr>
              <w:jc w:val="right"/>
              <w:ind w:right="1472"/>
              <w:spacing w:after="0"/>
              <w:rPr>
                <w:sz w:val="20"/>
                <w:szCs w:val="20"/>
                <w:color w:val="auto"/>
              </w:rPr>
            </w:pPr>
            <w:r>
              <w:rPr>
                <w:rFonts w:ascii="Times New Roman" w:cs="Times New Roman" w:eastAsia="Times New Roman" w:hAnsi="Times New Roman"/>
                <w:sz w:val="22"/>
                <w:szCs w:val="22"/>
                <w:color w:val="auto"/>
              </w:rPr>
              <w:t>10,884</w:t>
            </w:r>
          </w:p>
        </w:tc>
        <w:tc>
          <w:tcPr>
            <w:tcW w:w="3060" w:type="dxa"/>
            <w:vAlign w:val="bottom"/>
            <w:shd w:val="clear" w:color="auto" w:fill="D9D9D9"/>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Djalma Novaes</w:t>
            </w:r>
          </w:p>
        </w:tc>
        <w:tc>
          <w:tcPr>
            <w:tcW w:w="5260" w:type="dxa"/>
            <w:vAlign w:val="bottom"/>
          </w:tcPr>
          <w:p>
            <w:pPr>
              <w:jc w:val="right"/>
              <w:ind w:right="1472"/>
              <w:spacing w:after="0"/>
              <w:rPr>
                <w:sz w:val="20"/>
                <w:szCs w:val="20"/>
                <w:color w:val="auto"/>
              </w:rPr>
            </w:pPr>
            <w:r>
              <w:rPr>
                <w:rFonts w:ascii="Times New Roman" w:cs="Times New Roman" w:eastAsia="Times New Roman" w:hAnsi="Times New Roman"/>
                <w:sz w:val="22"/>
                <w:szCs w:val="22"/>
                <w:color w:val="auto"/>
              </w:rPr>
              <w:t>86,669</w:t>
            </w:r>
          </w:p>
        </w:tc>
        <w:tc>
          <w:tcPr>
            <w:tcW w:w="306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B. Craig Owens (3)</w:t>
            </w:r>
          </w:p>
        </w:tc>
        <w:tc>
          <w:tcPr>
            <w:tcW w:w="5260" w:type="dxa"/>
            <w:vAlign w:val="bottom"/>
            <w:shd w:val="clear" w:color="auto" w:fill="D9D9D9"/>
          </w:tcPr>
          <w:p>
            <w:pPr>
              <w:jc w:val="right"/>
              <w:ind w:right="1472"/>
              <w:spacing w:after="0"/>
              <w:rPr>
                <w:sz w:val="20"/>
                <w:szCs w:val="20"/>
                <w:color w:val="auto"/>
              </w:rPr>
            </w:pPr>
            <w:r>
              <w:rPr>
                <w:rFonts w:ascii="Times New Roman" w:cs="Times New Roman" w:eastAsia="Times New Roman" w:hAnsi="Times New Roman"/>
                <w:sz w:val="22"/>
                <w:szCs w:val="22"/>
                <w:color w:val="auto"/>
              </w:rPr>
              <w:t>13,223</w:t>
            </w:r>
          </w:p>
        </w:tc>
        <w:tc>
          <w:tcPr>
            <w:tcW w:w="3060" w:type="dxa"/>
            <w:vAlign w:val="bottom"/>
            <w:shd w:val="clear" w:color="auto" w:fill="D9D9D9"/>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Angela Snyder</w:t>
            </w:r>
          </w:p>
        </w:tc>
        <w:tc>
          <w:tcPr>
            <w:tcW w:w="5260" w:type="dxa"/>
            <w:vAlign w:val="bottom"/>
          </w:tcPr>
          <w:p>
            <w:pPr>
              <w:jc w:val="right"/>
              <w:ind w:right="1472"/>
              <w:spacing w:after="0"/>
              <w:rPr>
                <w:sz w:val="20"/>
                <w:szCs w:val="20"/>
                <w:color w:val="auto"/>
              </w:rPr>
            </w:pPr>
            <w:r>
              <w:rPr>
                <w:rFonts w:ascii="Times New Roman" w:cs="Times New Roman" w:eastAsia="Times New Roman" w:hAnsi="Times New Roman"/>
                <w:sz w:val="22"/>
                <w:szCs w:val="22"/>
                <w:color w:val="auto"/>
              </w:rPr>
              <w:t>6,388</w:t>
            </w:r>
          </w:p>
        </w:tc>
        <w:tc>
          <w:tcPr>
            <w:tcW w:w="306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Caesar Sweitzer</w:t>
            </w:r>
          </w:p>
        </w:tc>
        <w:tc>
          <w:tcPr>
            <w:tcW w:w="5260" w:type="dxa"/>
            <w:vAlign w:val="bottom"/>
            <w:shd w:val="clear" w:color="auto" w:fill="D9D9D9"/>
          </w:tcPr>
          <w:p>
            <w:pPr>
              <w:jc w:val="right"/>
              <w:ind w:right="1472"/>
              <w:spacing w:after="0"/>
              <w:rPr>
                <w:sz w:val="20"/>
                <w:szCs w:val="20"/>
                <w:color w:val="auto"/>
              </w:rPr>
            </w:pPr>
            <w:r>
              <w:rPr>
                <w:rFonts w:ascii="Times New Roman" w:cs="Times New Roman" w:eastAsia="Times New Roman" w:hAnsi="Times New Roman"/>
                <w:sz w:val="22"/>
                <w:szCs w:val="22"/>
                <w:color w:val="auto"/>
              </w:rPr>
              <w:t>24,460</w:t>
            </w:r>
          </w:p>
        </w:tc>
        <w:tc>
          <w:tcPr>
            <w:tcW w:w="3060" w:type="dxa"/>
            <w:vAlign w:val="bottom"/>
            <w:shd w:val="clear" w:color="auto" w:fill="D9D9D9"/>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Marsha Williams</w:t>
            </w:r>
          </w:p>
        </w:tc>
        <w:tc>
          <w:tcPr>
            <w:tcW w:w="5260" w:type="dxa"/>
            <w:vAlign w:val="bottom"/>
          </w:tcPr>
          <w:p>
            <w:pPr>
              <w:jc w:val="right"/>
              <w:ind w:right="1472"/>
              <w:spacing w:after="0"/>
              <w:rPr>
                <w:sz w:val="20"/>
                <w:szCs w:val="20"/>
                <w:color w:val="auto"/>
              </w:rPr>
            </w:pPr>
            <w:r>
              <w:rPr>
                <w:rFonts w:ascii="Times New Roman" w:cs="Times New Roman" w:eastAsia="Times New Roman" w:hAnsi="Times New Roman"/>
                <w:sz w:val="22"/>
                <w:szCs w:val="22"/>
                <w:color w:val="auto"/>
              </w:rPr>
              <w:t>7,320</w:t>
            </w:r>
          </w:p>
        </w:tc>
        <w:tc>
          <w:tcPr>
            <w:tcW w:w="306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900" w:type="dxa"/>
            <w:vAlign w:val="bottom"/>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Dwayne Wilson</w:t>
            </w:r>
          </w:p>
        </w:tc>
        <w:tc>
          <w:tcPr>
            <w:tcW w:w="5260" w:type="dxa"/>
            <w:vAlign w:val="bottom"/>
            <w:shd w:val="clear" w:color="auto" w:fill="D9D9D9"/>
          </w:tcPr>
          <w:p>
            <w:pPr>
              <w:jc w:val="right"/>
              <w:ind w:right="1472"/>
              <w:spacing w:after="0"/>
              <w:rPr>
                <w:sz w:val="20"/>
                <w:szCs w:val="20"/>
                <w:color w:val="auto"/>
              </w:rPr>
            </w:pPr>
            <w:r>
              <w:rPr>
                <w:rFonts w:ascii="Times New Roman" w:cs="Times New Roman" w:eastAsia="Times New Roman" w:hAnsi="Times New Roman"/>
                <w:sz w:val="22"/>
                <w:szCs w:val="22"/>
                <w:color w:val="auto"/>
              </w:rPr>
              <w:t>5,512</w:t>
            </w:r>
          </w:p>
        </w:tc>
        <w:tc>
          <w:tcPr>
            <w:tcW w:w="3060" w:type="dxa"/>
            <w:vAlign w:val="bottom"/>
            <w:shd w:val="clear" w:color="auto" w:fill="D9D9D9"/>
          </w:tcPr>
          <w:p>
            <w:pPr>
              <w:jc w:val="center"/>
              <w:ind w:right="52"/>
              <w:spacing w:after="0"/>
              <w:rPr>
                <w:sz w:val="20"/>
                <w:szCs w:val="20"/>
                <w:color w:val="auto"/>
              </w:rPr>
            </w:pPr>
            <w:r>
              <w:rPr>
                <w:rFonts w:ascii="Times New Roman" w:cs="Times New Roman" w:eastAsia="Times New Roman" w:hAnsi="Times New Roman"/>
                <w:sz w:val="22"/>
                <w:szCs w:val="22"/>
                <w:color w:val="auto"/>
                <w:w w:val="90"/>
              </w:rPr>
              <w: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90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Directors and Executive</w:t>
            </w:r>
          </w:p>
        </w:tc>
        <w:tc>
          <w:tcPr>
            <w:tcW w:w="52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900" w:type="dxa"/>
            <w:vAlign w:val="bottom"/>
          </w:tcPr>
          <w:p>
            <w:pPr>
              <w:ind w:left="240"/>
              <w:spacing w:after="0"/>
              <w:rPr>
                <w:sz w:val="20"/>
                <w:szCs w:val="20"/>
                <w:color w:val="auto"/>
              </w:rPr>
            </w:pPr>
            <w:r>
              <w:rPr>
                <w:rFonts w:ascii="Times New Roman" w:cs="Times New Roman" w:eastAsia="Times New Roman" w:hAnsi="Times New Roman"/>
                <w:sz w:val="22"/>
                <w:szCs w:val="22"/>
                <w:color w:val="auto"/>
              </w:rPr>
              <w:t>Officers as a Group of 18</w:t>
            </w:r>
          </w:p>
        </w:tc>
        <w:tc>
          <w:tcPr>
            <w:tcW w:w="5260" w:type="dxa"/>
            <w:vAlign w:val="bottom"/>
          </w:tcPr>
          <w:p>
            <w:pPr>
              <w:jc w:val="right"/>
              <w:ind w:right="1472"/>
              <w:spacing w:after="0"/>
              <w:rPr>
                <w:sz w:val="20"/>
                <w:szCs w:val="20"/>
                <w:color w:val="auto"/>
              </w:rPr>
            </w:pPr>
            <w:r>
              <w:rPr>
                <w:rFonts w:ascii="Times New Roman" w:cs="Times New Roman" w:eastAsia="Times New Roman" w:hAnsi="Times New Roman"/>
                <w:sz w:val="22"/>
                <w:szCs w:val="22"/>
                <w:color w:val="auto"/>
              </w:rPr>
              <w:t>1,017,749</w:t>
            </w:r>
          </w:p>
        </w:tc>
        <w:tc>
          <w:tcPr>
            <w:tcW w:w="3060" w:type="dxa"/>
            <w:vAlign w:val="bottom"/>
          </w:tcPr>
          <w:p>
            <w:pPr>
              <w:jc w:val="center"/>
              <w:ind w:right="52"/>
              <w:spacing w:after="0"/>
              <w:rPr>
                <w:sz w:val="20"/>
                <w:szCs w:val="20"/>
                <w:color w:val="auto"/>
              </w:rPr>
            </w:pPr>
            <w:r>
              <w:rPr>
                <w:rFonts w:ascii="Times New Roman" w:cs="Times New Roman" w:eastAsia="Times New Roman" w:hAnsi="Times New Roman"/>
                <w:sz w:val="22"/>
                <w:szCs w:val="22"/>
                <w:color w:val="auto"/>
              </w:rPr>
              <w:t>0.9%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 Less than 1%</w:t>
      </w:r>
    </w:p>
    <w:p>
      <w:pPr>
        <w:spacing w:after="0" w:line="187"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20"/>
          <w:szCs w:val="20"/>
          <w:color w:val="auto"/>
        </w:rPr>
        <w:t>(1)</w:t>
      </w:r>
      <w:r>
        <w:rPr>
          <w:sz w:val="20"/>
          <w:szCs w:val="20"/>
          <w:color w:val="auto"/>
        </w:rPr>
        <w:tab/>
      </w:r>
      <w:r>
        <w:rPr>
          <w:rFonts w:ascii="Times New Roman" w:cs="Times New Roman" w:eastAsia="Times New Roman" w:hAnsi="Times New Roman"/>
          <w:sz w:val="20"/>
          <w:szCs w:val="20"/>
          <w:color w:val="auto"/>
        </w:rPr>
        <w:t>Percentages are derived based upon 112,241,962 shares of Common Stock outstanding as of March 10, 2026.</w:t>
      </w:r>
    </w:p>
    <w:p>
      <w:pPr>
        <w:spacing w:after="0" w:line="148" w:lineRule="exact"/>
        <w:rPr>
          <w:sz w:val="20"/>
          <w:szCs w:val="20"/>
          <w:color w:val="auto"/>
        </w:rPr>
      </w:pPr>
    </w:p>
    <w:p>
      <w:pPr>
        <w:ind w:left="180"/>
        <w:spacing w:after="0"/>
        <w:tabs>
          <w:tab w:leader="none" w:pos="560" w:val="left"/>
        </w:tabs>
        <w:rPr>
          <w:sz w:val="20"/>
          <w:szCs w:val="20"/>
          <w:color w:val="auto"/>
        </w:rPr>
      </w:pPr>
      <w:r>
        <w:rPr>
          <w:rFonts w:ascii="Times New Roman" w:cs="Times New Roman" w:eastAsia="Times New Roman" w:hAnsi="Times New Roman"/>
          <w:sz w:val="20"/>
          <w:szCs w:val="20"/>
          <w:color w:val="auto"/>
        </w:rPr>
        <w:t>(2)</w:t>
      </w:r>
      <w:r>
        <w:rPr>
          <w:sz w:val="20"/>
          <w:szCs w:val="20"/>
          <w:color w:val="auto"/>
        </w:rPr>
        <w:tab/>
      </w:r>
      <w:r>
        <w:rPr>
          <w:rFonts w:ascii="Times New Roman" w:cs="Times New Roman" w:eastAsia="Times New Roman" w:hAnsi="Times New Roman"/>
          <w:sz w:val="20"/>
          <w:szCs w:val="20"/>
          <w:color w:val="auto"/>
        </w:rPr>
        <w:t>Includes 16 shares of Common Stock held by the Fearon Family Trust, of which Mr. Fearon is a trustee and a beneficiary.</w:t>
      </w:r>
    </w:p>
    <w:p>
      <w:pPr>
        <w:spacing w:after="0" w:line="148" w:lineRule="exact"/>
        <w:rPr>
          <w:sz w:val="20"/>
          <w:szCs w:val="20"/>
          <w:color w:val="auto"/>
        </w:rPr>
      </w:pPr>
    </w:p>
    <w:p>
      <w:pPr>
        <w:ind w:left="580" w:right="240" w:hanging="399"/>
        <w:spacing w:after="0" w:line="270" w:lineRule="auto"/>
        <w:tabs>
          <w:tab w:leader="none" w:pos="560" w:val="left"/>
        </w:tabs>
        <w:rPr>
          <w:sz w:val="20"/>
          <w:szCs w:val="20"/>
          <w:color w:val="auto"/>
        </w:rPr>
      </w:pPr>
      <w:r>
        <w:rPr>
          <w:rFonts w:ascii="Times New Roman" w:cs="Times New Roman" w:eastAsia="Times New Roman" w:hAnsi="Times New Roman"/>
          <w:sz w:val="20"/>
          <w:szCs w:val="20"/>
          <w:color w:val="auto"/>
        </w:rPr>
        <w:t>(3)</w:t>
      </w:r>
      <w:r>
        <w:rPr>
          <w:sz w:val="20"/>
          <w:szCs w:val="20"/>
          <w:color w:val="auto"/>
        </w:rPr>
        <w:tab/>
      </w:r>
      <w:r>
        <w:rPr>
          <w:rFonts w:ascii="Times New Roman" w:cs="Times New Roman" w:eastAsia="Times New Roman" w:hAnsi="Times New Roman"/>
          <w:sz w:val="21"/>
          <w:szCs w:val="21"/>
          <w:color w:val="auto"/>
        </w:rPr>
        <w:t>Includes 2,000 shares of Common Stock held by The B Craig Owens Rev Trust U/A 1/25/08, of which Mr. Owens is a trustee and a beneficiary.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32"/>
          <w:szCs w:val="32"/>
          <w:b w:val="1"/>
          <w:bCs w:val="1"/>
          <w:color w:val="29650B"/>
        </w:rPr>
        <w:t>DELINQUENT SECTION 16(a) REPORTS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104" w:lineRule="exact"/>
        <w:rPr>
          <w:sz w:val="20"/>
          <w:szCs w:val="20"/>
          <w:color w:val="auto"/>
        </w:rPr>
      </w:pPr>
    </w:p>
    <w:p>
      <w:pPr>
        <w:jc w:val="both"/>
        <w:ind w:firstLine="688"/>
        <w:spacing w:after="0" w:line="235" w:lineRule="auto"/>
        <w:rPr>
          <w:sz w:val="20"/>
          <w:szCs w:val="20"/>
          <w:color w:val="auto"/>
        </w:rPr>
      </w:pPr>
      <w:r>
        <w:rPr>
          <w:rFonts w:ascii="Times New Roman" w:cs="Times New Roman" w:eastAsia="Times New Roman" w:hAnsi="Times New Roman"/>
          <w:sz w:val="22"/>
          <w:szCs w:val="22"/>
          <w:color w:val="auto"/>
        </w:rPr>
        <w:t>Section 16(a) of the Securities Exchange Act of 1934 requires the Company’s directors and certain officers to file reports of holdings and transactions in Company stock with the SEC. Based on our records and other information, we believe that in fiscal 2025 all of the Company’s Directors and Executive Officers met all applicable Section 16(a) filing requirements with one exception. On January 10, 2025, Adam Dickstein, the Company’s Senior Vice President and General Counsel, filed a Form 4 to report a restricted stock award of 15,221 shares that was originally granted on January 3, 2025 and the reporting of 1,919 shares transferred to the Company for tax withholding in connection with the vesting of restricted stock and the disposition of 3,025 shares back to the Company on January 6, 2025. The reporting was delayed due to an administrative error.</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57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32"/>
          <w:szCs w:val="32"/>
          <w:b w:val="1"/>
          <w:bCs w:val="1"/>
          <w:color w:val="29650B"/>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3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Meetings of the Board of Directors. </w:t>
      </w:r>
      <w:r>
        <w:rPr>
          <w:rFonts w:ascii="Times New Roman" w:cs="Times New Roman" w:eastAsia="Times New Roman" w:hAnsi="Times New Roman"/>
          <w:sz w:val="22"/>
          <w:szCs w:val="22"/>
          <w:color w:val="auto"/>
        </w:rPr>
        <w:t>In 2025, there were seven meetings of the Board of Directors. Each Director during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his or her term of service attended at least 75% of the aggregate meetings of the Board and of the committees on which he or she served.</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Attendance at the Annual Meeting. </w:t>
      </w:r>
      <w:r>
        <w:rPr>
          <w:rFonts w:ascii="Times New Roman" w:cs="Times New Roman" w:eastAsia="Times New Roman" w:hAnsi="Times New Roman"/>
          <w:sz w:val="22"/>
          <w:szCs w:val="22"/>
          <w:color w:val="auto"/>
        </w:rPr>
        <w:t>Under the Company’s Corporate Governance Guidelines, Directors are expected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attend the Company’s Annual Meeting of Shareholders. In 2025, each of the Directors serving on the Board at the time attended the Annual Meeting of Shareholders.</w:t>
      </w:r>
    </w:p>
    <w:p>
      <w:pPr>
        <w:spacing w:after="0" w:line="16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Director Independence. </w:t>
      </w:r>
      <w:r>
        <w:rPr>
          <w:rFonts w:ascii="Times New Roman" w:cs="Times New Roman" w:eastAsia="Times New Roman" w:hAnsi="Times New Roman"/>
          <w:sz w:val="22"/>
          <w:szCs w:val="22"/>
          <w:color w:val="auto"/>
        </w:rPr>
        <w:t>The Board has determined that all Directors standing for election, with the exception of Timothy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Donahue, the Company’s Chairman and Chief Executive Officer, are independent under the listing standards of the NYSE. The Board made this determination based on the absence of any of the express disqualifying criteria set forth in the listing standards that require a majority of the Board nominees to be independent Directors.</w:t>
      </w:r>
    </w:p>
    <w:p>
      <w:pPr>
        <w:spacing w:after="0" w:line="17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In making the foregoing determinations, the Board considered the Directors’ affiliations with the Company or third parties and Company payments to such parties. For Mr. Doss, the Board considered his role as a Director of Regal Rexnord and ordinary course of business purchases of conveyors by the Company from Regal Rexnord. For Mr. Fearon, the Board considered his role as a Lead Director of Avient Corporation and ordinary course of business purchases of plastisol sealing compounds and lubricants by the Company from Avient. For Ms. Funk, the Board considered her role as an Officer of EnerSys and ordinary course of business purchases by the Company of batteries and related accessories from EnerSys. For Mr. Wilson, the Board considered his role as a Director of Ingredion Incorporated and ordinary course of business purchases of dry bag material for making adhesive used in corrugated paper and products purchased for re-sale by the Company from Ingredion. None of these relationships or transactions fell within the NYSE listing standards disqualifying criteria.</w:t>
      </w:r>
    </w:p>
    <w:p>
      <w:pPr>
        <w:spacing w:after="0" w:line="179" w:lineRule="exact"/>
        <w:rPr>
          <w:sz w:val="20"/>
          <w:szCs w:val="20"/>
          <w:color w:val="auto"/>
        </w:rPr>
      </w:pPr>
    </w:p>
    <w:p>
      <w:pPr>
        <w:jc w:val="both"/>
        <w:ind w:right="20"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Board Leadership and Risk Oversight. </w:t>
      </w:r>
      <w:r>
        <w:rPr>
          <w:rFonts w:ascii="Times New Roman" w:cs="Times New Roman" w:eastAsia="Times New Roman" w:hAnsi="Times New Roman"/>
          <w:sz w:val="22"/>
          <w:szCs w:val="22"/>
          <w:color w:val="auto"/>
        </w:rPr>
        <w:t>Mr. Donahue has been the Chairman of the Board since 2022 and the Chief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Officer of the Company since 2016. Mr. Hagge, who has been the Chair of the Nominating and Corporate Governance Committee and the Independent Lead Director of the Board since 2025, presides over meetings of the executive sessions of the independent Directors.</w:t>
      </w:r>
    </w:p>
    <w:p>
      <w:pPr>
        <w:spacing w:after="0" w:line="176"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Board has carefully considered its leadership structure and believes that the Company and its Shareholders are best served by having Mr. Donahue serve as both Chairman of the Board and Chief Executive Officer. This structure gives the Board and management unified leadership and direction, and is tailored to present a single, clear focus for the execution of the Company’s strategic initiatives and business plans. In addition, because Mr. Donahue manages the day-to-day operations of the Company and is responsible for executing the Company’s business strategy, the Board believes it is most functional and efficient that Mr. Donahue presides at the meetings of the Board. Moreover, the Board believes that its other structural features, including nine independent Directors among the slate of ten Directors standing for election at the Company’s Annual Meeting, regular meetings of independent Directors in executive session, key committees consisting wholly of independent Directors and an Independent Lead Director with a wide range of duties, provide for substantial independent oversight of the Company’s management.</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551" w:right="339" w:bottom="1440" w:gutter="0" w:footer="0" w:header="0"/>
        </w:sectPr>
      </w:pPr>
    </w:p>
    <w:bookmarkStart w:id="31" w:name="page32"/>
    <w:bookmarkEnd w:id="31"/>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Mr. Hagge serves as Chair of the Nominating and Corporate Governance Committee and as the Independent Lead Director of the Board. The Independent Lead Director is an independent Director designated by the other independent Directors of the Board and has a range of duties, including, among other things:</w:t>
      </w:r>
    </w:p>
    <w:p>
      <w:pPr>
        <w:spacing w:after="0" w:line="106" w:lineRule="exact"/>
        <w:rPr>
          <w:sz w:val="20"/>
          <w:szCs w:val="20"/>
          <w:color w:val="auto"/>
        </w:rPr>
      </w:pPr>
    </w:p>
    <w:p>
      <w:pPr>
        <w:ind w:left="1300" w:hanging="320"/>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presiding at all meetings of the Board in the Chairman’s absence;</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presiding at all executive sessions of the Board’s independent Directors;</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serving as a liaison between the Chairman of the Board and the Board’s independent Directors;</w:t>
      </w:r>
    </w:p>
    <w:p>
      <w:pPr>
        <w:spacing w:after="0" w:line="57" w:lineRule="exact"/>
        <w:rPr>
          <w:rFonts w:ascii="Times New Roman" w:cs="Times New Roman" w:eastAsia="Times New Roman" w:hAnsi="Times New Roman"/>
          <w:sz w:val="22"/>
          <w:szCs w:val="22"/>
          <w:color w:val="auto"/>
        </w:rPr>
      </w:pPr>
    </w:p>
    <w:p>
      <w:pPr>
        <w:ind w:left="1300" w:right="20" w:hanging="320"/>
        <w:spacing w:after="0" w:line="258" w:lineRule="auto"/>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providing the Chairman with input on and approving the agendas and schedules for meetings of the Board and its committees;</w:t>
      </w:r>
    </w:p>
    <w:p>
      <w:pPr>
        <w:spacing w:after="0" w:line="50" w:lineRule="exact"/>
        <w:rPr>
          <w:rFonts w:ascii="Times New Roman" w:cs="Times New Roman" w:eastAsia="Times New Roman" w:hAnsi="Times New Roman"/>
          <w:sz w:val="22"/>
          <w:szCs w:val="22"/>
          <w:color w:val="auto"/>
        </w:rPr>
      </w:pPr>
    </w:p>
    <w:p>
      <w:pPr>
        <w:jc w:val="both"/>
        <w:ind w:left="1300" w:hanging="320"/>
        <w:spacing w:after="0" w:line="239" w:lineRule="auto"/>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advising the Chairman as to the quality, quantity and timeliness of the flow of information from senior management that is necessary for the independent Directors to effectively and responsibly perform their duties, including specifically requesting the inclusion of certain information in the materials provided for the Board by senior management when appropriate;</w:t>
      </w:r>
    </w:p>
    <w:p>
      <w:pPr>
        <w:spacing w:after="0" w:line="72"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calling executive sessions of the Board’s independent Directors when appropriate;</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available for consultation with the Chairman regarding the concerns of the other Directors;</w:t>
      </w:r>
    </w:p>
    <w:p>
      <w:pPr>
        <w:spacing w:after="0" w:line="57"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available for consultation with members of senior management regarding the concerns of any members of senior management;</w:t>
      </w:r>
    </w:p>
    <w:p>
      <w:pPr>
        <w:spacing w:after="0" w:line="50"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being available for consultation and direct communication with Shareholders and other interested parties when appropriate;</w:t>
      </w:r>
    </w:p>
    <w:p>
      <w:pPr>
        <w:spacing w:after="0" w:line="50" w:lineRule="exact"/>
        <w:rPr>
          <w:rFonts w:ascii="Times New Roman" w:cs="Times New Roman" w:eastAsia="Times New Roman" w:hAnsi="Times New Roman"/>
          <w:sz w:val="22"/>
          <w:szCs w:val="22"/>
          <w:color w:val="auto"/>
        </w:rPr>
      </w:pPr>
    </w:p>
    <w:p>
      <w:pPr>
        <w:ind w:left="1300" w:hanging="320"/>
        <w:spacing w:after="0" w:line="258" w:lineRule="auto"/>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interviewing Director candidates and making recommendations to the Nominating and Corporate Governance Committee and the Board;</w:t>
      </w:r>
    </w:p>
    <w:p>
      <w:pPr>
        <w:spacing w:after="0" w:line="50"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leading the Board’s evaluation of the Chairman of the Board; and</w:t>
      </w:r>
    </w:p>
    <w:p>
      <w:pPr>
        <w:spacing w:after="0" w:line="98" w:lineRule="exact"/>
        <w:rPr>
          <w:rFonts w:ascii="Times New Roman" w:cs="Times New Roman" w:eastAsia="Times New Roman" w:hAnsi="Times New Roman"/>
          <w:sz w:val="22"/>
          <w:szCs w:val="22"/>
          <w:color w:val="auto"/>
        </w:rPr>
      </w:pPr>
    </w:p>
    <w:p>
      <w:pPr>
        <w:ind w:left="1300" w:hanging="320"/>
        <w:spacing w:after="0"/>
        <w:tabs>
          <w:tab w:leader="none" w:pos="1300"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serving a leading role in the Board’s annual self-assessment.</w:t>
      </w:r>
    </w:p>
    <w:p>
      <w:pPr>
        <w:spacing w:after="0" w:line="13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Board’s current leadership structure includes Audit, Compensation and Nominating and Corporate Governance Committees that are each chaired by and composed solely of independent Directors.</w:t>
      </w:r>
    </w:p>
    <w:p>
      <w:pPr>
        <w:spacing w:after="0" w:line="9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Board is responsible for providing oversight of the Company’s Executive Officers’ responsibilities to assess and manage the Company’s risk, including its credit risk, liquidity risk, reputational risk, climate risk, information security risk, risks related to artificial intelligence and risk from adverse fluctuations in foreign exchange and interest rates and commodity prices. The Board periodically meets in person with the Executive Officers regarding the Company’s risks and ways to mitigate such risks. In addition, the Audit Committee periodically reviews with management, internal audit and independent auditors the adequacy and effectiveness of the Company’s policies for assessing and managing risk.</w:t>
      </w:r>
    </w:p>
    <w:p>
      <w:pPr>
        <w:spacing w:after="0" w:line="9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Director Stock Ownership, Anti-Pledging and Anti-Hedging. </w:t>
      </w:r>
      <w:r>
        <w:rPr>
          <w:rFonts w:ascii="Times New Roman" w:cs="Times New Roman" w:eastAsia="Times New Roman" w:hAnsi="Times New Roman"/>
          <w:sz w:val="22"/>
          <w:szCs w:val="22"/>
          <w:color w:val="auto"/>
        </w:rPr>
        <w:t>Under the Company’s Corporate Governance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Guidelines, after five years of service on the Board, independent Directors are expected to own Company Common Stock having a market value of at least five times the cash base annual Director’s fee. As of March 10, 2026, each Director with five or more years of service on the Board owned the required minimum level of Common Stock. The Company’s Corporate Governance Guidelines prohibit Directors, Officers and other insiders from all forms of pledging or hedging transactions relating to Company Common Stock.</w:t>
      </w:r>
    </w:p>
    <w:p>
      <w:pPr>
        <w:spacing w:after="0" w:line="17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571" w:right="339" w:bottom="1440" w:gutter="0" w:footer="0" w:header="0"/>
        </w:sectPr>
      </w:pPr>
    </w:p>
    <w:bookmarkStart w:id="32" w:name="page33"/>
    <w:bookmarkEnd w:id="32"/>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Board Committees. </w:t>
      </w:r>
      <w:r>
        <w:rPr>
          <w:rFonts w:ascii="Times New Roman" w:cs="Times New Roman" w:eastAsia="Times New Roman" w:hAnsi="Times New Roman"/>
          <w:sz w:val="22"/>
          <w:szCs w:val="22"/>
          <w:color w:val="auto"/>
        </w:rPr>
        <w:t>The Board has an Audit Committee, a Compensation Committee, a Nominating and Corporate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Governance Committee and an Executive Committee. The Board has approved written charters for the Audit Committee, Compensation Committee and Nominating and Corporate Governance Committee that can be found at </w:t>
      </w:r>
      <w:r>
        <w:rPr>
          <w:rFonts w:ascii="Times New Roman" w:cs="Times New Roman" w:eastAsia="Times New Roman" w:hAnsi="Times New Roman"/>
          <w:sz w:val="22"/>
          <w:szCs w:val="22"/>
          <w:b w:val="1"/>
          <w:bCs w:val="1"/>
          <w:u w:val="single" w:color="auto"/>
          <w:color w:val="29650B"/>
        </w:rPr>
        <w:t>www.crowncork.com/investors/governance</w:t>
      </w:r>
      <w:r>
        <w:rPr>
          <w:rFonts w:ascii="Times New Roman" w:cs="Times New Roman" w:eastAsia="Times New Roman" w:hAnsi="Times New Roman"/>
          <w:sz w:val="22"/>
          <w:szCs w:val="22"/>
          <w:color w:val="000000"/>
        </w:rPr>
        <w:t>. Each of the Audit Committee, Compensation Committee and Nominating and</w:t>
      </w:r>
      <w:r>
        <w:rPr>
          <w:rFonts w:ascii="Times New Roman" w:cs="Times New Roman" w:eastAsia="Times New Roman" w:hAnsi="Times New Roman"/>
          <w:sz w:val="22"/>
          <w:szCs w:val="22"/>
          <w:b w:val="1"/>
          <w:bCs w:val="1"/>
          <w:color w:val="29650B"/>
        </w:rPr>
        <w:t xml:space="preserve"> </w:t>
      </w:r>
      <w:r>
        <w:rPr>
          <w:rFonts w:ascii="Times New Roman" w:cs="Times New Roman" w:eastAsia="Times New Roman" w:hAnsi="Times New Roman"/>
          <w:sz w:val="22"/>
          <w:szCs w:val="22"/>
          <w:color w:val="000000"/>
        </w:rPr>
        <w:t>Corporate Governance Committee conducts a self-evaluation and review of its charter annually.</w:t>
      </w:r>
    </w:p>
    <w:p>
      <w:pPr>
        <w:spacing w:after="0" w:line="10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Audit Committee. </w:t>
      </w:r>
      <w:r>
        <w:rPr>
          <w:rFonts w:ascii="Times New Roman" w:cs="Times New Roman" w:eastAsia="Times New Roman" w:hAnsi="Times New Roman"/>
          <w:sz w:val="22"/>
          <w:szCs w:val="22"/>
          <w:color w:val="auto"/>
        </w:rPr>
        <w:t>In 2025, the Audit Committee had nine meetings. The Audit Committee provides assistance to the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Board in discharging its responsibilities in connection with the oversight of the financial accounting practices and internal controls of the Company and represents the Board in connection with the services rendered by the Company’s independent auditors. The Audit Committee also has explicit responsibilities with respect to ESG and information security. The current members of the Audit Committee are Mss. Funk and Snyder and Messrs. Doss, Owens, Sweitzer and Wilson. Mr. Owens serves as Chair of the Audit Committee. The Board has determined that the Directors who serve on the Audit Committee are all independent under the listing standards of the NYSE and that Ms. Funk and Messrs. Owens and Sweitzer are “audit committee financial experts” within the meaning of SEC regulations.</w:t>
      </w:r>
    </w:p>
    <w:p>
      <w:pPr>
        <w:spacing w:after="0" w:line="97"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b w:val="1"/>
          <w:bCs w:val="1"/>
          <w:i w:val="1"/>
          <w:iCs w:val="1"/>
          <w:color w:val="auto"/>
        </w:rPr>
        <w:t xml:space="preserve">Compensation Committee. </w:t>
      </w:r>
      <w:r>
        <w:rPr>
          <w:rFonts w:ascii="Times New Roman" w:cs="Times New Roman" w:eastAsia="Times New Roman" w:hAnsi="Times New Roman"/>
          <w:sz w:val="21"/>
          <w:szCs w:val="21"/>
          <w:color w:val="auto"/>
        </w:rPr>
        <w:t>In 2025, the Compensation Committee had three meetings. The Compensation Committee is</w:t>
      </w:r>
      <w:r>
        <w:rPr>
          <w:rFonts w:ascii="Times New Roman" w:cs="Times New Roman" w:eastAsia="Times New Roman" w:hAnsi="Times New Roman"/>
          <w:sz w:val="21"/>
          <w:szCs w:val="21"/>
          <w:b w:val="1"/>
          <w:bCs w:val="1"/>
          <w:i w:val="1"/>
          <w:iCs w:val="1"/>
          <w:color w:val="auto"/>
        </w:rPr>
        <w:t xml:space="preserve"> </w:t>
      </w:r>
      <w:r>
        <w:rPr>
          <w:rFonts w:ascii="Times New Roman" w:cs="Times New Roman" w:eastAsia="Times New Roman" w:hAnsi="Times New Roman"/>
          <w:sz w:val="21"/>
          <w:szCs w:val="21"/>
          <w:color w:val="auto"/>
        </w:rPr>
        <w:t>responsible for the review of the executive compensation program and succession planning and carries out the responsibilities of the Board in its oversight of the Company’s human capital resources. The current members of the Compensation Committee are Mss. Funk, Snyder and Williams and Messrs. Fearon and Hagge, each of whom is independent under the listing standards of the NYSE. Ms. Williams serves as Chair of the Compensation Committee. For further discussion regarding the Compensation Committee’s processes and procedures for the consideration of executive compensation, see the CD&amp;A beginning on page 34.</w:t>
      </w:r>
    </w:p>
    <w:p>
      <w:pPr>
        <w:spacing w:after="0" w:line="9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i w:val="1"/>
          <w:iCs w:val="1"/>
          <w:color w:val="auto"/>
        </w:rPr>
        <w:t xml:space="preserve">Nominating and Corporate Governance Committee. </w:t>
      </w:r>
      <w:r>
        <w:rPr>
          <w:rFonts w:ascii="Times New Roman" w:cs="Times New Roman" w:eastAsia="Times New Roman" w:hAnsi="Times New Roman"/>
          <w:sz w:val="22"/>
          <w:szCs w:val="22"/>
          <w:color w:val="auto"/>
        </w:rPr>
        <w:t>There were two meetings of the Nominating and Corporate</w:t>
      </w:r>
      <w:r>
        <w:rPr>
          <w:rFonts w:ascii="Times New Roman" w:cs="Times New Roman" w:eastAsia="Times New Roman" w:hAnsi="Times New Roman"/>
          <w:sz w:val="22"/>
          <w:szCs w:val="22"/>
          <w:b w:val="1"/>
          <w:bCs w:val="1"/>
          <w:i w:val="1"/>
          <w:iCs w:val="1"/>
          <w:color w:val="auto"/>
        </w:rPr>
        <w:t xml:space="preserve"> </w:t>
      </w:r>
      <w:r>
        <w:rPr>
          <w:rFonts w:ascii="Times New Roman" w:cs="Times New Roman" w:eastAsia="Times New Roman" w:hAnsi="Times New Roman"/>
          <w:sz w:val="22"/>
          <w:szCs w:val="22"/>
          <w:color w:val="auto"/>
        </w:rPr>
        <w:t>Governance Committee in 2025. The Nominating and Corporate Governance Committee is responsible for leading the search for individuals qualified to become members of the Board and recommending to the Board individuals as Director nominees. The Committee also oversees the annual self-evaluation process of the Board and its committees, makes recommendations to the Board regarding the membership of the Board committees and performs other corporate governance functions, such as strategic review of the Company’s ESG policies, programs and practices. The current members of the Nominating and Corporate Governance Committee are Messrs. Fearon, Hagge, Owens and Sweitzer, each of whom is independent under the listing standards of the NYSE. Mr. Hagge serves as Chair of the Nominating and Corporate Governance Committee.</w:t>
      </w:r>
    </w:p>
    <w:p>
      <w:pPr>
        <w:spacing w:after="0" w:line="117"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Consistent with the Company’s Corporate Governance Guidelines, the Nominating and Corporate Governance Committee seeks Director nominees committed to upholding the highest standards of personal and professional integrity and representing the interests of all Shareholders, not particular Shareholder constituencies. The Committee identifies nominees for Director by first evaluating the current members of the Board willing to continue in service. In addition, the Committee regularly assesses the appropriate size of the Board, whether any vacancies on the Board are expected because of retirement or otherwise and whether the Board needs Directors with particular skills or experience. To identify and evaluate potential candidates for the Board, the Committee solicits ideas for possible nominees from a number of sources, which may include current Board members, senior-level Company executives and professional search firms. The Committee also will consider candidates properly submitted by Company Shareholders. Candidates for the Board are evaluated through a process that may include background and reference checks, personal interviews with members of the Committee and a review of each candidate’s qualifications and other relevant characteristics. The same identifying and evaluating procedures apply to all candidates for Director, whether submitted by Shareholders or otherwise. The Nominating and Corporate Governance Committee and the Board desire to maintain the Board’s diversity and consider factors</w:t>
      </w:r>
    </w:p>
    <w:p>
      <w:pPr>
        <w:spacing w:after="0" w:line="7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567" w:right="339" w:bottom="1440" w:gutter="0" w:footer="0" w:header="0"/>
        </w:sectPr>
      </w:pPr>
    </w:p>
    <w:bookmarkStart w:id="33" w:name="page34"/>
    <w:bookmarkEnd w:id="33"/>
    <w:p>
      <w:pPr>
        <w:jc w:val="both"/>
        <w:spacing w:after="0" w:line="244" w:lineRule="auto"/>
        <w:rPr>
          <w:sz w:val="20"/>
          <w:szCs w:val="20"/>
          <w:color w:val="auto"/>
        </w:rPr>
      </w:pPr>
      <w:r>
        <w:rPr>
          <w:rFonts w:ascii="Times New Roman" w:cs="Times New Roman" w:eastAsia="Times New Roman" w:hAnsi="Times New Roman"/>
          <w:sz w:val="22"/>
          <w:szCs w:val="22"/>
          <w:color w:val="auto"/>
        </w:rPr>
        <w:t>such as race, gender, nationality and ethnicity, as well as professional backgrounds and geographic and industry experiences. The Committee does not intend to nominate representational Directors but instead considers diversity given the characteristics of the Board in its entirety.</w:t>
      </w:r>
    </w:p>
    <w:p>
      <w:pPr>
        <w:spacing w:after="0" w:line="6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Company is committed to thoughtful board refreshment and ongoing board succession planning. Over the last six years, six new independent Directors have been added to the Company’s Board of Directors: Mr. Wilson in 2020 and Mss.</w:t>
      </w:r>
    </w:p>
    <w:p>
      <w:pPr>
        <w:spacing w:after="0" w:line="1" w:lineRule="exact"/>
        <w:rPr>
          <w:sz w:val="20"/>
          <w:szCs w:val="20"/>
          <w:color w:val="auto"/>
        </w:rPr>
      </w:pPr>
    </w:p>
    <w:p>
      <w:pPr>
        <w:jc w:val="both"/>
        <w:spacing w:after="0" w:line="209" w:lineRule="auto"/>
        <w:rPr>
          <w:sz w:val="20"/>
          <w:szCs w:val="20"/>
          <w:color w:val="auto"/>
        </w:rPr>
      </w:pPr>
      <w:r>
        <w:rPr>
          <w:rFonts w:ascii="Times New Roman" w:cs="Times New Roman" w:eastAsia="Times New Roman" w:hAnsi="Times New Roman"/>
          <w:sz w:val="22"/>
          <w:szCs w:val="22"/>
          <w:color w:val="auto"/>
        </w:rPr>
        <w:t>Williams and Snyder and Messrs. Lynn and Teno in 2022,</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and Mr. Doss in 2026. The Nominating &amp; Corporate Governance Committee is assisted by an independent search firm and has interviewed candidates and appointed new Directors identified through Director, Shareholder and independent search firm input in recent years.</w:t>
      </w:r>
    </w:p>
    <w:p>
      <w:pPr>
        <w:spacing w:after="0" w:line="11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color w:val="auto"/>
        </w:rPr>
        <w:t>Shareholders who wish to suggest qualified candidates may write, via Certified Mail – Return Receipt Requested, to the Office of the Corporate Secretary, Crown Holdings, Inc., Hidden River Corporate Center Two, 14025 Riveredge Drive, Suite 300, Tampa, FL 33637 stating in detail the qualifications of the persons they recommend. Shareholders must include a letter from each person recommended affirming that he or she agrees to serve as a Director of the Company if elected by Shareholders. Each of these submissions should comply with the additional requirements of the Company’s By-Laws. However, through its own resources, the Committee expects to be able to identify an ample number of qualified candidates. See “Questions and Answers about the 2026 Annual Meeting” for information on bringing nominations for the Board of Directors at the 2027 Annual Meeting.</w:t>
      </w:r>
    </w:p>
    <w:p>
      <w:pPr>
        <w:spacing w:after="0" w:line="8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Executive Sessions of the Board. </w:t>
      </w:r>
      <w:r>
        <w:rPr>
          <w:rFonts w:ascii="Times New Roman" w:cs="Times New Roman" w:eastAsia="Times New Roman" w:hAnsi="Times New Roman"/>
          <w:sz w:val="22"/>
          <w:szCs w:val="22"/>
          <w:color w:val="auto"/>
        </w:rPr>
        <w:t>Pursuant to the Company’s Corporate Governance Guidelines, the independent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of the Company meet periodically at regularly scheduled executive sessions without management. There is at least one scheduled executive session each year where the Chairman is not present to allow the other Directors to evaluate his performance as Chairman. The Independent Lead Director chairs such meetings.</w:t>
      </w:r>
    </w:p>
    <w:p>
      <w:pPr>
        <w:spacing w:after="0" w:line="104"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b w:val="1"/>
          <w:bCs w:val="1"/>
          <w:color w:val="auto"/>
        </w:rPr>
        <w:t xml:space="preserve">Code of Business Conduct and Ethics. </w:t>
      </w:r>
      <w:r>
        <w:rPr>
          <w:rFonts w:ascii="Times New Roman" w:cs="Times New Roman" w:eastAsia="Times New Roman" w:hAnsi="Times New Roman"/>
          <w:sz w:val="22"/>
          <w:szCs w:val="22"/>
          <w:color w:val="auto"/>
        </w:rPr>
        <w:t>The Company has a Code of Business Conduct and Ethics that applies to 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Directors and employees. The Code of Business Conduct and Ethics is available on the Company’s website at </w:t>
      </w:r>
      <w:r>
        <w:rPr>
          <w:rFonts w:ascii="Times New Roman" w:cs="Times New Roman" w:eastAsia="Times New Roman" w:hAnsi="Times New Roman"/>
          <w:sz w:val="22"/>
          <w:szCs w:val="22"/>
          <w:b w:val="1"/>
          <w:bCs w:val="1"/>
          <w:u w:val="single" w:color="auto"/>
          <w:color w:val="29650B"/>
        </w:rPr>
        <w:t>www.crowncork.com/investors/policies/code-business-conduct-and-ethics</w:t>
      </w:r>
      <w:r>
        <w:rPr>
          <w:rFonts w:ascii="Times New Roman" w:cs="Times New Roman" w:eastAsia="Times New Roman" w:hAnsi="Times New Roman"/>
          <w:sz w:val="22"/>
          <w:szCs w:val="22"/>
          <w:color w:val="000000"/>
        </w:rPr>
        <w:t>, and is available in English and 16 other languages.</w:t>
      </w:r>
      <w:r>
        <w:rPr>
          <w:rFonts w:ascii="Times New Roman" w:cs="Times New Roman" w:eastAsia="Times New Roman" w:hAnsi="Times New Roman"/>
          <w:sz w:val="22"/>
          <w:szCs w:val="22"/>
          <w:b w:val="1"/>
          <w:bCs w:val="1"/>
          <w:color w:val="29650B"/>
        </w:rPr>
        <w:t xml:space="preserve"> </w:t>
      </w:r>
      <w:r>
        <w:rPr>
          <w:rFonts w:ascii="Times New Roman" w:cs="Times New Roman" w:eastAsia="Times New Roman" w:hAnsi="Times New Roman"/>
          <w:sz w:val="22"/>
          <w:szCs w:val="22"/>
          <w:color w:val="000000"/>
        </w:rPr>
        <w:t xml:space="preserve">The Company intends to disclose updates to, and waivers of, the Code of Business Conduct and Ethics on the Company’s website. All employees with Company e-mail addresses (which includes all of the Company’s salaried employees) are required to complete annual training on the Code and certify compliance. The Company also expects certain third parties, including suppliers, to abide by the principles of the Code of Business Conduct and Ethics in the manner set forth in the Company’s Supplier Code of Conduct, which is available on the Company’s website at </w:t>
      </w:r>
      <w:r>
        <w:rPr>
          <w:rFonts w:ascii="Times New Roman" w:cs="Times New Roman" w:eastAsia="Times New Roman" w:hAnsi="Times New Roman"/>
          <w:sz w:val="22"/>
          <w:szCs w:val="22"/>
          <w:b w:val="1"/>
          <w:bCs w:val="1"/>
          <w:u w:val="single" w:color="auto"/>
          <w:color w:val="29650B"/>
        </w:rPr>
        <w:t>www.crowncork.com/investors/policies/supplier-code-conduct</w:t>
      </w:r>
      <w:r>
        <w:rPr>
          <w:rFonts w:ascii="Times New Roman" w:cs="Times New Roman" w:eastAsia="Times New Roman" w:hAnsi="Times New Roman"/>
          <w:sz w:val="22"/>
          <w:szCs w:val="22"/>
          <w:b w:val="1"/>
          <w:bCs w:val="1"/>
          <w:color w:val="29650B"/>
        </w:rPr>
        <w:t xml:space="preserve"> </w:t>
      </w:r>
      <w:r>
        <w:rPr>
          <w:rFonts w:ascii="Times New Roman" w:cs="Times New Roman" w:eastAsia="Times New Roman" w:hAnsi="Times New Roman"/>
          <w:sz w:val="22"/>
          <w:szCs w:val="22"/>
          <w:color w:val="000000"/>
        </w:rPr>
        <w:t>in English and 20 other languages. The Company also maintains a Business Ethics Line (“CBE Line”), which is</w:t>
      </w:r>
      <w:r>
        <w:rPr>
          <w:rFonts w:ascii="Times New Roman" w:cs="Times New Roman" w:eastAsia="Times New Roman" w:hAnsi="Times New Roman"/>
          <w:sz w:val="22"/>
          <w:szCs w:val="22"/>
          <w:b w:val="1"/>
          <w:bCs w:val="1"/>
          <w:color w:val="29650B"/>
        </w:rPr>
        <w:t xml:space="preserve"> </w:t>
      </w:r>
      <w:r>
        <w:rPr>
          <w:rFonts w:ascii="Times New Roman" w:cs="Times New Roman" w:eastAsia="Times New Roman" w:hAnsi="Times New Roman"/>
          <w:sz w:val="22"/>
          <w:szCs w:val="22"/>
          <w:color w:val="000000"/>
        </w:rPr>
        <w:t xml:space="preserve">accessible via telephone and a web-based portal, as a means of raising concerns or seeking advice related to the Company’s Code of Business Conduct and Ethics and other policies. The CBE Line is available to all employees worldwide, as well as third parties, such as vendors, suppliers and customers. Persons who report potential violations through the CBE Line may choose to remain anonymous (unless prohibited by local law) and all such reports are kept confidential to the extent practicable in connection with the investigation. The </w:t>
      </w:r>
      <w:r>
        <w:rPr>
          <w:rFonts w:ascii="Times New Roman" w:cs="Times New Roman" w:eastAsia="Times New Roman" w:hAnsi="Times New Roman"/>
          <w:sz w:val="22"/>
          <w:szCs w:val="22"/>
          <w:color w:val="222222"/>
        </w:rPr>
        <w:t>CBE Line is administered by an independent third-party provider, Mitratech. To access the</w:t>
      </w:r>
      <w:r>
        <w:rPr>
          <w:rFonts w:ascii="Times New Roman" w:cs="Times New Roman" w:eastAsia="Times New Roman" w:hAnsi="Times New Roman"/>
          <w:sz w:val="22"/>
          <w:szCs w:val="22"/>
          <w:color w:val="000000"/>
        </w:rPr>
        <w:t xml:space="preserve"> </w:t>
      </w:r>
      <w:r>
        <w:rPr>
          <w:rFonts w:ascii="Times New Roman" w:cs="Times New Roman" w:eastAsia="Times New Roman" w:hAnsi="Times New Roman"/>
          <w:sz w:val="22"/>
          <w:szCs w:val="22"/>
          <w:color w:val="222222"/>
        </w:rPr>
        <w:t xml:space="preserve">CBE Line, visit </w:t>
      </w:r>
      <w:r>
        <w:rPr>
          <w:rFonts w:ascii="Times New Roman" w:cs="Times New Roman" w:eastAsia="Times New Roman" w:hAnsi="Times New Roman"/>
          <w:sz w:val="22"/>
          <w:szCs w:val="22"/>
          <w:b w:val="1"/>
          <w:bCs w:val="1"/>
          <w:u w:val="single" w:color="auto"/>
          <w:color w:val="29650B"/>
        </w:rPr>
        <w:t>https://report.syntrio.com/crowncork</w:t>
      </w:r>
      <w:r>
        <w:rPr>
          <w:rFonts w:ascii="Times New Roman" w:cs="Times New Roman" w:eastAsia="Times New Roman" w:hAnsi="Times New Roman"/>
          <w:sz w:val="22"/>
          <w:szCs w:val="22"/>
          <w:color w:val="000000"/>
          <w:highlight w:val="white"/>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132080</wp:posOffset>
            </wp:positionV>
            <wp:extent cx="17830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96" w:lineRule="exact"/>
        <w:rPr>
          <w:sz w:val="20"/>
          <w:szCs w:val="20"/>
          <w:color w:val="auto"/>
        </w:rPr>
      </w:pPr>
    </w:p>
    <w:p>
      <w:pPr>
        <w:ind w:right="20" w:firstLine="8"/>
        <w:spacing w:after="0" w:line="189" w:lineRule="auto"/>
        <w:tabs>
          <w:tab w:leader="none" w:pos="155" w:val="left"/>
        </w:tabs>
        <w:numPr>
          <w:ilvl w:val="0"/>
          <w:numId w:val="27"/>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Messrs. Lynn and Teno, who were appointed to the Board in 2022 pursuant to an agreement with a Shareholder, subsequently resigned from the Board in November 2023.</w:t>
      </w:r>
    </w:p>
    <w:p>
      <w:pPr>
        <w:spacing w:after="0" w:line="17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571" w:right="339" w:bottom="1440" w:gutter="0" w:footer="0" w:header="0"/>
        </w:sectPr>
      </w:pPr>
    </w:p>
    <w:bookmarkStart w:id="34" w:name="page35"/>
    <w:bookmarkEnd w:id="34"/>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Communications with the Board of Directors. </w:t>
      </w:r>
      <w:r>
        <w:rPr>
          <w:rFonts w:ascii="Times New Roman" w:cs="Times New Roman" w:eastAsia="Times New Roman" w:hAnsi="Times New Roman"/>
          <w:sz w:val="22"/>
          <w:szCs w:val="22"/>
          <w:color w:val="auto"/>
        </w:rPr>
        <w:t>Shareholders and other interested parties who wish to send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communications on any topic to the Independent Lead Director, the independent Directors or the Board as a whole may do so by writing c/o Office of the Corporate Secretary, Crown Holdings, Inc., Hidden River Corporate Center Two, 14025 Riveredge Drive, Suite 300, Tampa, FL 33637. Communications will be forwarded to the Directors if they relate to substantive matters and include information, suggestions or comments that the Independent Lead Director, with the assistance of the Corporate Secretary, deems appropriate for consideration by the Directors.</w:t>
      </w:r>
    </w:p>
    <w:p>
      <w:pPr>
        <w:spacing w:after="0" w:line="175" w:lineRule="exact"/>
        <w:rPr>
          <w:sz w:val="20"/>
          <w:szCs w:val="20"/>
          <w:color w:val="auto"/>
        </w:rPr>
      </w:pPr>
    </w:p>
    <w:p>
      <w:pPr>
        <w:ind w:right="120"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Company Website. </w:t>
      </w:r>
      <w:r>
        <w:rPr>
          <w:rFonts w:ascii="Times New Roman" w:cs="Times New Roman" w:eastAsia="Times New Roman" w:hAnsi="Times New Roman"/>
          <w:sz w:val="22"/>
          <w:szCs w:val="22"/>
          <w:color w:val="auto"/>
        </w:rPr>
        <w:t>The Company’s Corporate Governance Guidelines and the Charters of the Audit, Compensation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Nominating and Corporate Governance Committees are available on the Company’s website at </w:t>
      </w:r>
      <w:r>
        <w:rPr>
          <w:rFonts w:ascii="Times New Roman" w:cs="Times New Roman" w:eastAsia="Times New Roman" w:hAnsi="Times New Roman"/>
          <w:sz w:val="22"/>
          <w:szCs w:val="22"/>
          <w:b w:val="1"/>
          <w:bCs w:val="1"/>
          <w:u w:val="single" w:color="auto"/>
          <w:color w:val="29650B"/>
        </w:rPr>
        <w:t>www.crowncork.com/investors/governance</w:t>
      </w:r>
      <w:r>
        <w:rPr>
          <w:rFonts w:ascii="Times New Roman" w:cs="Times New Roman" w:eastAsia="Times New Roman" w:hAnsi="Times New Roman"/>
          <w:sz w:val="22"/>
          <w:szCs w:val="22"/>
          <w:color w:val="000000"/>
        </w:rPr>
        <w:t>.</w:t>
      </w:r>
    </w:p>
    <w:p>
      <w:pPr>
        <w:spacing w:after="0" w:line="1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Equity Award Timing Policies and Practices. </w:t>
      </w:r>
      <w:r>
        <w:rPr>
          <w:rFonts w:ascii="Times New Roman" w:cs="Times New Roman" w:eastAsia="Times New Roman" w:hAnsi="Times New Roman"/>
          <w:sz w:val="22"/>
          <w:szCs w:val="22"/>
          <w:color w:val="auto"/>
        </w:rPr>
        <w:t>We do not grant equity awards in anticipation of the release of material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nonpublic information and we do not time the release of material nonpublic information based on equity award grant dates or for the purpose of affecting the value of executive compensation.</w:t>
      </w:r>
    </w:p>
    <w:p>
      <w:pPr>
        <w:spacing w:after="0" w:line="167"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Human Capital Resources. </w:t>
      </w:r>
      <w:r>
        <w:rPr>
          <w:rFonts w:ascii="Times New Roman" w:cs="Times New Roman" w:eastAsia="Times New Roman" w:hAnsi="Times New Roman"/>
          <w:sz w:val="22"/>
          <w:szCs w:val="22"/>
          <w:color w:val="auto"/>
        </w:rPr>
        <w:t>The Company’s global workforce is the backbone of its business and is the focus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Working Together pillar of the Company’s </w:t>
      </w:r>
      <w:r>
        <w:rPr>
          <w:rFonts w:ascii="Times New Roman" w:cs="Times New Roman" w:eastAsia="Times New Roman" w:hAnsi="Times New Roman"/>
          <w:sz w:val="22"/>
          <w:szCs w:val="22"/>
          <w:b w:val="1"/>
          <w:bCs w:val="1"/>
          <w:color w:val="auto"/>
        </w:rPr>
        <w:t>Twenty</w:t>
      </w: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b w:val="1"/>
          <w:bCs w:val="1"/>
          <w:color w:val="auto"/>
        </w:rPr>
        <w:t>30</w:t>
      </w:r>
      <w:r>
        <w:rPr>
          <w:rFonts w:ascii="Times New Roman" w:cs="Times New Roman" w:eastAsia="Times New Roman" w:hAnsi="Times New Roman"/>
          <w:sz w:val="22"/>
          <w:szCs w:val="22"/>
          <w:color w:val="auto"/>
        </w:rPr>
        <w:t xml:space="preserve"> sustainability program. The Company has built a Total Safety Culture that provides the framework for all health and safety initiatives across the Company and empowers employees to take a proactive role in their safety and that of their peers. The Company’s engagement level, as measured by its employee engagement survey, is on par with its external benchmark. About three-quarters of the Company’s employees (both salaried and hourly) shared their feedback and three out of four respondents expressed positive sentiment. For more information, see “Human Capital” on page 5 of the Company’s Annual Report on Form 10-K for the fiscal year ended December 31, 2025.</w:t>
      </w:r>
    </w:p>
    <w:p>
      <w:pPr>
        <w:spacing w:after="0" w:line="176"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Human Rights Policy. </w:t>
      </w:r>
      <w:r>
        <w:rPr>
          <w:rFonts w:ascii="Times New Roman" w:cs="Times New Roman" w:eastAsia="Times New Roman" w:hAnsi="Times New Roman"/>
          <w:sz w:val="22"/>
          <w:szCs w:val="22"/>
          <w:color w:val="auto"/>
        </w:rPr>
        <w:t>The Company has a Human Rights Policy covering all employees, Directors and Officers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Company and its affiliates worldwide that is overseen by the Board of Directors. The Human Rights Policy is available on the Company’s website at </w:t>
      </w:r>
      <w:r>
        <w:rPr>
          <w:rFonts w:ascii="Times New Roman" w:cs="Times New Roman" w:eastAsia="Times New Roman" w:hAnsi="Times New Roman"/>
          <w:sz w:val="22"/>
          <w:szCs w:val="22"/>
          <w:b w:val="1"/>
          <w:bCs w:val="1"/>
          <w:u w:val="single" w:color="auto"/>
          <w:color w:val="29650B"/>
        </w:rPr>
        <w:t>www.crowncork.com/investors/policies/human-rights-policy</w:t>
      </w:r>
      <w:r>
        <w:rPr>
          <w:rFonts w:ascii="Times New Roman" w:cs="Times New Roman" w:eastAsia="Times New Roman" w:hAnsi="Times New Roman"/>
          <w:sz w:val="22"/>
          <w:szCs w:val="22"/>
          <w:color w:val="auto"/>
        </w:rPr>
        <w:t>, and is available in English and 16 other languages.</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Information Security. </w:t>
      </w:r>
      <w:r>
        <w:rPr>
          <w:rFonts w:ascii="Times New Roman" w:cs="Times New Roman" w:eastAsia="Times New Roman" w:hAnsi="Times New Roman"/>
          <w:sz w:val="22"/>
          <w:szCs w:val="22"/>
          <w:color w:val="auto"/>
        </w:rPr>
        <w:t>See “Information Security” on page 8 in the Proxy Statement Summary.</w:t>
      </w:r>
    </w:p>
    <w:p>
      <w:pPr>
        <w:spacing w:after="0" w:line="20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Insider Trading Policy. </w:t>
      </w:r>
      <w:r>
        <w:rPr>
          <w:rFonts w:ascii="Times New Roman" w:cs="Times New Roman" w:eastAsia="Times New Roman" w:hAnsi="Times New Roman"/>
          <w:sz w:val="22"/>
          <w:szCs w:val="22"/>
          <w:color w:val="auto"/>
        </w:rPr>
        <w:t>The Company has an insider trading policy governing the purchase, sale and other dispositions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Company’s securities that applies to the Company and its personnel, including officers, directors, all employees of the Company and its subsidiaries, and other covered persons (the “Insider Trading Policy”). We believe that the Insider Trading Policy is reasonably designed to promote compliance with insider trading laws, rules and regulations, and listing standards applicable to the Company. A copy of the Insider Trading Policy is filed as Exhibit 19.1 to the Company’s Annual Report on Form 10-K for the year ended December 31, 2025.</w:t>
      </w:r>
    </w:p>
    <w:p>
      <w:pPr>
        <w:spacing w:after="0" w:line="17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Proxy Access. </w:t>
      </w:r>
      <w:r>
        <w:rPr>
          <w:rFonts w:ascii="Times New Roman" w:cs="Times New Roman" w:eastAsia="Times New Roman" w:hAnsi="Times New Roman"/>
          <w:sz w:val="22"/>
          <w:szCs w:val="22"/>
          <w:color w:val="auto"/>
        </w:rPr>
        <w:t>The Company’s proxy access By-Law permits Shareholders owning 3% or more of the Company’s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Common Stock for a period of at least three years to nominate up to the greater of 20% of the Board of Directors or two Directors, and include these nominations in the Company’s proxy materials, for election at an Annual Meeting of Shareholders, subject to the relevant requirements in the Company’s By-Laws. The number of Shareholders who may aggregate their shares to meet the 3% ownership threshold is limited to 20.</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567" w:right="339" w:bottom="1440" w:gutter="0" w:footer="0" w:header="0"/>
        </w:sectPr>
      </w:pPr>
    </w:p>
    <w:bookmarkStart w:id="35" w:name="page36"/>
    <w:bookmarkEnd w:id="35"/>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Shareholder Engagement. </w:t>
      </w:r>
      <w:r>
        <w:rPr>
          <w:rFonts w:ascii="Times New Roman" w:cs="Times New Roman" w:eastAsia="Times New Roman" w:hAnsi="Times New Roman"/>
          <w:sz w:val="22"/>
          <w:szCs w:val="22"/>
          <w:color w:val="auto"/>
        </w:rPr>
        <w:t>See “Shareholder Engagement” on page 6 in the Proxy Statement Summary.</w:t>
      </w:r>
    </w:p>
    <w:p>
      <w:pPr>
        <w:spacing w:after="0" w:line="20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Sustainability. </w:t>
      </w:r>
      <w:r>
        <w:rPr>
          <w:rFonts w:ascii="Times New Roman" w:cs="Times New Roman" w:eastAsia="Times New Roman" w:hAnsi="Times New Roman"/>
          <w:sz w:val="22"/>
          <w:szCs w:val="22"/>
          <w:color w:val="auto"/>
        </w:rPr>
        <w:t>See “Sustainability – Environmental and Social Responsibility” on page 6 in the Proxy Statement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Summary.</w:t>
      </w:r>
    </w:p>
    <w:p>
      <w:pPr>
        <w:spacing w:after="0" w:line="15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Transactions with Related Persons. </w:t>
      </w:r>
      <w:r>
        <w:rPr>
          <w:rFonts w:ascii="Times New Roman" w:cs="Times New Roman" w:eastAsia="Times New Roman" w:hAnsi="Times New Roman"/>
          <w:sz w:val="21"/>
          <w:szCs w:val="21"/>
          <w:color w:val="auto"/>
        </w:rPr>
        <w:t>The Nominating and Corporate Governance Committee is charged with reviewing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approving or ratifying all transactions with related persons by Directors and Executive Officers required to be disclosed under Item 404(a) of Regulation S-K under the Securities Exchange Act of 1934, as amended (“Regulation S-K”). The written Company policy pertaining to related party transactions is included in the Company’s Corporate Governance Guidelines.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33</w:t>
      </w:r>
    </w:p>
    <w:p>
      <w:pPr>
        <w:sectPr>
          <w:pgSz w:w="11900" w:h="16838" w:orient="portrait"/>
          <w:cols w:equalWidth="0" w:num="1">
            <w:col w:w="11240"/>
          </w:cols>
          <w:pgMar w:left="320" w:top="56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32"/>
          <w:szCs w:val="32"/>
          <w:b w:val="1"/>
          <w:bCs w:val="1"/>
          <w:color w:val="29650B"/>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This Compensation Discussion and Analysis (“CD&amp;A”) provides an overview of the Company’s executive compensation program together with a description of the material factors underlying the decisions that resulted in the compensation provided for 2025 to the Company’s Chief Executive Officer (“CEO”), the Company’s Chief Financial Officer, and the other three Executive Officers who were the highest paid during 2025 (collectively, “Named Executive Officers” or “NEOs”). The names of the Company’s 2025 NEOs and their titles at year-end are:</w:t>
      </w:r>
    </w:p>
    <w:p>
      <w:pPr>
        <w:spacing w:after="0" w:line="200" w:lineRule="exact"/>
        <w:rPr>
          <w:sz w:val="20"/>
          <w:szCs w:val="20"/>
          <w:color w:val="auto"/>
        </w:rPr>
      </w:pPr>
    </w:p>
    <w:p>
      <w:pPr>
        <w:ind w:left="940" w:hanging="284"/>
        <w:spacing w:after="0"/>
        <w:tabs>
          <w:tab w:leader="none" w:pos="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Timothy J. Donahue </w:t>
      </w:r>
      <w:r>
        <w:rPr>
          <w:rFonts w:ascii="Times New Roman" w:cs="Times New Roman" w:eastAsia="Times New Roman" w:hAnsi="Times New Roman"/>
          <w:sz w:val="22"/>
          <w:szCs w:val="22"/>
          <w:color w:val="auto"/>
        </w:rPr>
        <w:t>– President and Chief Executive Officer</w:t>
      </w:r>
    </w:p>
    <w:p>
      <w:pPr>
        <w:spacing w:after="0" w:line="138"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Kevin C. Clothier </w:t>
      </w:r>
      <w:r>
        <w:rPr>
          <w:rFonts w:ascii="Times New Roman" w:cs="Times New Roman" w:eastAsia="Times New Roman" w:hAnsi="Times New Roman"/>
          <w:sz w:val="22"/>
          <w:szCs w:val="22"/>
          <w:color w:val="auto"/>
        </w:rPr>
        <w:t>– Senior Vice President and Chief Financial Officer</w:t>
      </w:r>
    </w:p>
    <w:p>
      <w:pPr>
        <w:spacing w:after="0" w:line="164" w:lineRule="exact"/>
        <w:rPr>
          <w:rFonts w:ascii="Arial" w:cs="Arial" w:eastAsia="Arial" w:hAnsi="Arial"/>
          <w:sz w:val="22"/>
          <w:szCs w:val="22"/>
          <w:color w:val="auto"/>
        </w:rPr>
      </w:pPr>
    </w:p>
    <w:p>
      <w:pPr>
        <w:ind w:left="940" w:hanging="284"/>
        <w:spacing w:after="0"/>
        <w:tabs>
          <w:tab w:leader="none" w:pos="94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Gerard H. Gifford </w:t>
      </w:r>
      <w:r>
        <w:rPr>
          <w:rFonts w:ascii="Times New Roman" w:cs="Times New Roman" w:eastAsia="Times New Roman" w:hAnsi="Times New Roman"/>
          <w:sz w:val="22"/>
          <w:szCs w:val="22"/>
          <w:color w:val="auto"/>
        </w:rPr>
        <w:t>– Executive Vice President and Chief Administrative Officer</w:t>
      </w:r>
      <w:r>
        <w:rPr>
          <w:rFonts w:ascii="Times New Roman" w:cs="Times New Roman" w:eastAsia="Times New Roman" w:hAnsi="Times New Roman"/>
          <w:sz w:val="35"/>
          <w:szCs w:val="35"/>
          <w:color w:val="auto"/>
          <w:vertAlign w:val="superscript"/>
        </w:rPr>
        <w:t>1</w:t>
      </w:r>
    </w:p>
    <w:p>
      <w:pPr>
        <w:spacing w:after="0" w:line="72" w:lineRule="exact"/>
        <w:rPr>
          <w:rFonts w:ascii="Arial" w:cs="Arial" w:eastAsia="Arial" w:hAnsi="Arial"/>
          <w:sz w:val="22"/>
          <w:szCs w:val="22"/>
          <w:color w:val="auto"/>
        </w:rPr>
      </w:pPr>
    </w:p>
    <w:p>
      <w:pPr>
        <w:ind w:left="940" w:hanging="284"/>
        <w:spacing w:after="0"/>
        <w:tabs>
          <w:tab w:leader="none" w:pos="94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color w:val="auto"/>
        </w:rPr>
        <w:t xml:space="preserve">Djalma Novaes, Jr. </w:t>
      </w:r>
      <w:r>
        <w:rPr>
          <w:rFonts w:ascii="Times New Roman" w:cs="Times New Roman" w:eastAsia="Times New Roman" w:hAnsi="Times New Roman"/>
          <w:sz w:val="22"/>
          <w:szCs w:val="22"/>
          <w:color w:val="auto"/>
        </w:rPr>
        <w:t>– Executive Vice President and Chief Operating Officer</w:t>
      </w:r>
      <w:r>
        <w:rPr>
          <w:rFonts w:ascii="Times New Roman" w:cs="Times New Roman" w:eastAsia="Times New Roman" w:hAnsi="Times New Roman"/>
          <w:sz w:val="35"/>
          <w:szCs w:val="35"/>
          <w:color w:val="auto"/>
          <w:vertAlign w:val="superscript"/>
        </w:rPr>
        <w:t>2</w:t>
      </w:r>
    </w:p>
    <w:p>
      <w:pPr>
        <w:spacing w:after="0" w:line="42" w:lineRule="exact"/>
        <w:rPr>
          <w:rFonts w:ascii="Times New Roman" w:cs="Times New Roman" w:eastAsia="Times New Roman" w:hAnsi="Times New Roman"/>
          <w:sz w:val="22"/>
          <w:szCs w:val="22"/>
          <w:color w:val="auto"/>
        </w:rPr>
      </w:pPr>
    </w:p>
    <w:p>
      <w:pPr>
        <w:ind w:left="940" w:hanging="284"/>
        <w:spacing w:after="0"/>
        <w:tabs>
          <w:tab w:leader="none" w:pos="94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22"/>
          <w:szCs w:val="22"/>
          <w:b w:val="1"/>
          <w:bCs w:val="1"/>
          <w:color w:val="auto"/>
        </w:rPr>
        <w:t xml:space="preserve">Adam J. Dickstein </w:t>
      </w:r>
      <w:r>
        <w:rPr>
          <w:rFonts w:ascii="Times New Roman" w:cs="Times New Roman" w:eastAsia="Times New Roman" w:hAnsi="Times New Roman"/>
          <w:sz w:val="22"/>
          <w:szCs w:val="22"/>
          <w:color w:val="auto"/>
        </w:rPr>
        <w:t>– Senior Vice President, General Counsel and Corporate Secretary</w:t>
      </w:r>
    </w:p>
    <w:p>
      <w:pPr>
        <w:spacing w:after="0" w:line="35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following discussion and analysis contains statements regarding individual and Company performance targets and goals. These targets and goals are disclosed in the limited context of the Company’s executive compensation program and should not be understood to be statements of management’s expectations or estimates of financial results or other guidance. The Company specifically cautions investors not to apply these statements to other contexts.</w:t>
      </w:r>
    </w:p>
    <w:p>
      <w:pPr>
        <w:spacing w:after="0" w:line="20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2025 Say-on-Pay Vote Results. </w:t>
      </w:r>
      <w:r>
        <w:rPr>
          <w:rFonts w:ascii="Times New Roman" w:cs="Times New Roman" w:eastAsia="Times New Roman" w:hAnsi="Times New Roman"/>
          <w:sz w:val="22"/>
          <w:szCs w:val="22"/>
          <w:color w:val="auto"/>
        </w:rPr>
        <w:t>At our Annual Meeting of Shareholders held in May 2025, we held an advisory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Shareholder Say-on-Pay vote on the 2024 compensation of our NEOs. Approximately 92% of the shares voted at last year’s Annual Meeting were voted FOR our Say-on-Pay resolution, approving the compensation of our NEOs. The Board’s Compensation Committee (the “Committee”) believes the results of the Say-on-Pay vote show strong support for the performance-based and ownership-oriented compensation philosophy that the Committee utilizes. Accordingly, the Committee did not change its general approach to executive compensation in 2025. Although the advisory Shareholder vote on executive compensation is non-binding, the Committee will continue to take the outcome of this annual vote into consideration when making compensation decisions for our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7830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p>
      <w:pPr>
        <w:ind w:left="340" w:right="120" w:hanging="332"/>
        <w:spacing w:after="0" w:line="192" w:lineRule="auto"/>
        <w:tabs>
          <w:tab w:leader="none" w:pos="148" w:val="left"/>
        </w:tabs>
        <w:numPr>
          <w:ilvl w:val="0"/>
          <w:numId w:val="29"/>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Mr. Gifford served as the Company’s Executive Vice President and Chief Operating Officer until June 30, 2025, when he assumed the role listed above.</w:t>
      </w:r>
    </w:p>
    <w:p>
      <w:pPr>
        <w:spacing w:after="0" w:line="129" w:lineRule="exact"/>
        <w:rPr>
          <w:sz w:val="20"/>
          <w:szCs w:val="20"/>
          <w:color w:val="auto"/>
        </w:rPr>
      </w:pPr>
    </w:p>
    <w:p>
      <w:pPr>
        <w:ind w:right="620" w:firstLine="8"/>
        <w:spacing w:after="0" w:line="189" w:lineRule="auto"/>
        <w:tabs>
          <w:tab w:leader="none" w:pos="144" w:val="left"/>
        </w:tabs>
        <w:numPr>
          <w:ilvl w:val="0"/>
          <w:numId w:val="30"/>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Mr. Novaes served as the Company’s President – Americas Division until June 30, 2025, when he assumed the role listed above.</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34</w:t>
      </w:r>
    </w:p>
    <w:p>
      <w:pPr>
        <w:sectPr>
          <w:pgSz w:w="11900" w:h="16838" w:orient="portrait"/>
          <w:cols w:equalWidth="0" w:num="1">
            <w:col w:w="11240"/>
          </w:cols>
          <w:pgMar w:left="320" w:top="551" w:right="339" w:bottom="1440" w:gutter="0" w:footer="0" w:header="0"/>
        </w:sectPr>
      </w:pPr>
    </w:p>
    <w:bookmarkStart w:id="37" w:name="page38"/>
    <w:bookmarkEnd w:id="37"/>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At-Risk Compensation. </w:t>
      </w:r>
      <w:r>
        <w:rPr>
          <w:rFonts w:ascii="Times New Roman" w:cs="Times New Roman" w:eastAsia="Times New Roman" w:hAnsi="Times New Roman"/>
          <w:sz w:val="22"/>
          <w:szCs w:val="22"/>
          <w:color w:val="auto"/>
        </w:rPr>
        <w:t>Our executive compensation program is based on our “pay-for-performance” philosophy,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outlined in the following table, with the majority of our NEOs’ total direct compensation “at risk” and tied to the accomplishment of performance objectives.</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3420" w:type="dxa"/>
            <w:vAlign w:val="bottom"/>
            <w:tcBorders>
              <w:top w:val="single" w:sz="8" w:color="auto"/>
              <w:left w:val="single" w:sz="8" w:color="auto"/>
              <w:right w:val="single" w:sz="8" w:color="auto"/>
            </w:tcBorders>
            <w:shd w:val="clear" w:color="auto" w:fill="29650B"/>
          </w:tcPr>
          <w:p>
            <w:pPr>
              <w:spacing w:after="0"/>
              <w:rPr>
                <w:sz w:val="17"/>
                <w:szCs w:val="17"/>
                <w:color w:val="auto"/>
              </w:rPr>
            </w:pPr>
          </w:p>
        </w:tc>
        <w:tc>
          <w:tcPr>
            <w:tcW w:w="4120" w:type="dxa"/>
            <w:vAlign w:val="bottom"/>
            <w:tcBorders>
              <w:top w:val="single" w:sz="8" w:color="auto"/>
              <w:right w:val="single" w:sz="8" w:color="auto"/>
            </w:tcBorders>
            <w:shd w:val="clear" w:color="auto" w:fill="29650B"/>
          </w:tcPr>
          <w:p>
            <w:pPr>
              <w:spacing w:after="0"/>
              <w:rPr>
                <w:sz w:val="17"/>
                <w:szCs w:val="17"/>
                <w:color w:val="auto"/>
              </w:rPr>
            </w:pPr>
          </w:p>
        </w:tc>
        <w:tc>
          <w:tcPr>
            <w:tcW w:w="3700" w:type="dxa"/>
            <w:vAlign w:val="bottom"/>
            <w:tcBorders>
              <w:top w:val="single" w:sz="8" w:color="auto"/>
              <w:right w:val="single" w:sz="8" w:color="auto"/>
            </w:tcBorders>
            <w:shd w:val="clear" w:color="auto" w:fill="29650B"/>
          </w:tcPr>
          <w:p>
            <w:pPr>
              <w:ind w:left="120"/>
              <w:spacing w:after="0" w:line="202" w:lineRule="exact"/>
              <w:rPr>
                <w:sz w:val="20"/>
                <w:szCs w:val="20"/>
                <w:color w:val="auto"/>
              </w:rPr>
            </w:pPr>
            <w:r>
              <w:rPr>
                <w:rFonts w:ascii="Times New Roman" w:cs="Times New Roman" w:eastAsia="Times New Roman" w:hAnsi="Times New Roman"/>
                <w:sz w:val="22"/>
                <w:szCs w:val="22"/>
                <w:b w:val="1"/>
                <w:bCs w:val="1"/>
                <w:color w:val="FFFFFF"/>
              </w:rPr>
              <w:t>Alignment with Pay-for-Performance</w:t>
            </w:r>
          </w:p>
        </w:tc>
      </w:tr>
      <w:tr>
        <w:trPr>
          <w:trHeight w:val="274"/>
        </w:trPr>
        <w:tc>
          <w:tcPr>
            <w:tcW w:w="3420" w:type="dxa"/>
            <w:vAlign w:val="bottom"/>
            <w:tcBorders>
              <w:left w:val="single" w:sz="8" w:color="auto"/>
              <w:bottom w:val="single" w:sz="8" w:color="auto"/>
              <w:right w:val="single" w:sz="8" w:color="auto"/>
            </w:tcBorders>
            <w:shd w:val="clear" w:color="auto" w:fill="29650B"/>
          </w:tcPr>
          <w:p>
            <w:pPr>
              <w:ind w:left="620"/>
              <w:spacing w:after="0"/>
              <w:rPr>
                <w:sz w:val="20"/>
                <w:szCs w:val="20"/>
                <w:color w:val="auto"/>
              </w:rPr>
            </w:pPr>
            <w:r>
              <w:rPr>
                <w:rFonts w:ascii="Times New Roman" w:cs="Times New Roman" w:eastAsia="Times New Roman" w:hAnsi="Times New Roman"/>
                <w:sz w:val="22"/>
                <w:szCs w:val="22"/>
                <w:b w:val="1"/>
                <w:bCs w:val="1"/>
                <w:color w:val="FFFFFF"/>
              </w:rPr>
              <w:t>Compensation Element</w:t>
            </w:r>
          </w:p>
        </w:tc>
        <w:tc>
          <w:tcPr>
            <w:tcW w:w="4120" w:type="dxa"/>
            <w:vAlign w:val="bottom"/>
            <w:tcBorders>
              <w:bottom w:val="single" w:sz="8" w:color="auto"/>
              <w:right w:val="single" w:sz="8" w:color="auto"/>
            </w:tcBorders>
            <w:shd w:val="clear" w:color="auto" w:fill="29650B"/>
          </w:tcPr>
          <w:p>
            <w:pPr>
              <w:ind w:left="980"/>
              <w:spacing w:after="0"/>
              <w:rPr>
                <w:sz w:val="20"/>
                <w:szCs w:val="20"/>
                <w:color w:val="auto"/>
              </w:rPr>
            </w:pPr>
            <w:r>
              <w:rPr>
                <w:rFonts w:ascii="Times New Roman" w:cs="Times New Roman" w:eastAsia="Times New Roman" w:hAnsi="Times New Roman"/>
                <w:sz w:val="22"/>
                <w:szCs w:val="22"/>
                <w:b w:val="1"/>
                <w:bCs w:val="1"/>
                <w:color w:val="FFFFFF"/>
              </w:rPr>
              <w:t>Basis for Measurement</w:t>
            </w:r>
          </w:p>
        </w:tc>
        <w:tc>
          <w:tcPr>
            <w:tcW w:w="3700" w:type="dxa"/>
            <w:vAlign w:val="bottom"/>
            <w:tcBorders>
              <w:bottom w:val="single" w:sz="8" w:color="auto"/>
              <w:right w:val="single" w:sz="8" w:color="auto"/>
            </w:tcBorders>
            <w:shd w:val="clear" w:color="auto" w:fill="29650B"/>
          </w:tcPr>
          <w:p>
            <w:pPr>
              <w:ind w:left="1340"/>
              <w:spacing w:after="0"/>
              <w:rPr>
                <w:sz w:val="20"/>
                <w:szCs w:val="20"/>
                <w:color w:val="auto"/>
              </w:rPr>
            </w:pPr>
            <w:r>
              <w:rPr>
                <w:rFonts w:ascii="Times New Roman" w:cs="Times New Roman" w:eastAsia="Times New Roman" w:hAnsi="Times New Roman"/>
                <w:sz w:val="22"/>
                <w:szCs w:val="22"/>
                <w:b w:val="1"/>
                <w:bCs w:val="1"/>
                <w:color w:val="FFFFFF"/>
              </w:rPr>
              <w:t>Philosophy</w:t>
            </w:r>
          </w:p>
        </w:tc>
      </w:tr>
      <w:tr>
        <w:trPr>
          <w:trHeight w:val="465"/>
        </w:trPr>
        <w:tc>
          <w:tcPr>
            <w:tcW w:w="342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Annual Cash Compensation</w:t>
            </w:r>
          </w:p>
        </w:tc>
        <w:tc>
          <w:tcPr>
            <w:tcW w:w="412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r>
      <w:tr>
        <w:trPr>
          <w:trHeight w:val="217"/>
        </w:trPr>
        <w:tc>
          <w:tcPr>
            <w:tcW w:w="3420" w:type="dxa"/>
            <w:vAlign w:val="bottom"/>
            <w:tcBorders>
              <w:left w:val="single" w:sz="8" w:color="auto"/>
              <w:bottom w:val="single" w:sz="8" w:color="auto"/>
              <w:right w:val="single" w:sz="8" w:color="D9D9D9"/>
            </w:tcBorders>
            <w:shd w:val="clear" w:color="auto" w:fill="D9D9D9"/>
          </w:tcPr>
          <w:p>
            <w:pPr>
              <w:spacing w:after="0"/>
              <w:rPr>
                <w:sz w:val="18"/>
                <w:szCs w:val="18"/>
                <w:color w:val="auto"/>
              </w:rPr>
            </w:pPr>
          </w:p>
        </w:tc>
        <w:tc>
          <w:tcPr>
            <w:tcW w:w="4120" w:type="dxa"/>
            <w:vAlign w:val="bottom"/>
            <w:tcBorders>
              <w:bottom w:val="single" w:sz="8" w:color="auto"/>
              <w:right w:val="single" w:sz="8" w:color="D9D9D9"/>
            </w:tcBorders>
            <w:shd w:val="clear" w:color="auto" w:fill="D9D9D9"/>
          </w:tcPr>
          <w:p>
            <w:pPr>
              <w:spacing w:after="0"/>
              <w:rPr>
                <w:sz w:val="18"/>
                <w:szCs w:val="18"/>
                <w:color w:val="auto"/>
              </w:rPr>
            </w:pPr>
          </w:p>
        </w:tc>
        <w:tc>
          <w:tcPr>
            <w:tcW w:w="370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412"/>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Base Salary</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Individual performance based on primary</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Competitive compensation is required</w:t>
            </w:r>
          </w:p>
        </w:tc>
      </w:tr>
      <w:tr>
        <w:trPr>
          <w:trHeight w:val="229"/>
        </w:trPr>
        <w:tc>
          <w:tcPr>
            <w:tcW w:w="3420" w:type="dxa"/>
            <w:vAlign w:val="bottom"/>
            <w:tcBorders>
              <w:left w:val="single" w:sz="8" w:color="auto"/>
              <w:right w:val="single" w:sz="8" w:color="auto"/>
            </w:tcBorders>
          </w:tcPr>
          <w:p>
            <w:pPr>
              <w:spacing w:after="0"/>
              <w:rPr>
                <w:sz w:val="19"/>
                <w:szCs w:val="19"/>
                <w:color w:val="auto"/>
              </w:rPr>
            </w:pPr>
          </w:p>
        </w:tc>
        <w:tc>
          <w:tcPr>
            <w:tcW w:w="412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duties and responsibilities and market</w:t>
            </w: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to attract and retain highly qualified</w:t>
            </w:r>
          </w:p>
        </w:tc>
      </w:tr>
      <w:tr>
        <w:trPr>
          <w:trHeight w:val="282"/>
        </w:trPr>
        <w:tc>
          <w:tcPr>
            <w:tcW w:w="3420" w:type="dxa"/>
            <w:vAlign w:val="bottom"/>
            <w:tcBorders>
              <w:left w:val="single" w:sz="8" w:color="auto"/>
              <w:right w:val="single" w:sz="8" w:color="auto"/>
            </w:tcBorders>
          </w:tcPr>
          <w:p>
            <w:pPr>
              <w:spacing w:after="0"/>
              <w:rPr>
                <w:sz w:val="24"/>
                <w:szCs w:val="24"/>
                <w:color w:val="auto"/>
              </w:rPr>
            </w:pP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competitiveness.</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executives.</w:t>
            </w:r>
          </w:p>
        </w:tc>
      </w:tr>
      <w:tr>
        <w:trPr>
          <w:trHeight w:val="218"/>
        </w:trPr>
        <w:tc>
          <w:tcPr>
            <w:tcW w:w="342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412"/>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Annual Incentive Bonus</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Economic profit and modified operating cash</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Use of economic profit and modified</w:t>
            </w:r>
          </w:p>
        </w:tc>
      </w:tr>
      <w:tr>
        <w:trPr>
          <w:trHeight w:val="229"/>
        </w:trPr>
        <w:tc>
          <w:tcPr>
            <w:tcW w:w="3420" w:type="dxa"/>
            <w:vAlign w:val="bottom"/>
            <w:tcBorders>
              <w:left w:val="single" w:sz="8" w:color="auto"/>
              <w:right w:val="single" w:sz="8" w:color="auto"/>
            </w:tcBorders>
          </w:tcPr>
          <w:p>
            <w:pPr>
              <w:spacing w:after="0"/>
              <w:rPr>
                <w:sz w:val="19"/>
                <w:szCs w:val="19"/>
                <w:color w:val="auto"/>
              </w:rPr>
            </w:pPr>
          </w:p>
        </w:tc>
        <w:tc>
          <w:tcPr>
            <w:tcW w:w="412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flow.</w:t>
            </w: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operating cash flow metrics drives long-</w:t>
            </w:r>
          </w:p>
        </w:tc>
      </w:tr>
      <w:tr>
        <w:trPr>
          <w:trHeight w:val="230"/>
        </w:trPr>
        <w:tc>
          <w:tcPr>
            <w:tcW w:w="3420" w:type="dxa"/>
            <w:vAlign w:val="bottom"/>
            <w:tcBorders>
              <w:left w:val="single" w:sz="8" w:color="auto"/>
              <w:right w:val="single" w:sz="8" w:color="auto"/>
            </w:tcBorders>
          </w:tcPr>
          <w:p>
            <w:pPr>
              <w:spacing w:after="0"/>
              <w:rPr>
                <w:sz w:val="19"/>
                <w:szCs w:val="19"/>
                <w:color w:val="auto"/>
              </w:rPr>
            </w:pPr>
          </w:p>
        </w:tc>
        <w:tc>
          <w:tcPr>
            <w:tcW w:w="41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term operating performance and long-</w:t>
            </w:r>
          </w:p>
        </w:tc>
      </w:tr>
      <w:tr>
        <w:trPr>
          <w:trHeight w:val="282"/>
        </w:trPr>
        <w:tc>
          <w:tcPr>
            <w:tcW w:w="3420" w:type="dxa"/>
            <w:vAlign w:val="bottom"/>
            <w:tcBorders>
              <w:left w:val="single" w:sz="8" w:color="auto"/>
              <w:right w:val="single" w:sz="8" w:color="auto"/>
            </w:tcBorders>
          </w:tcPr>
          <w:p>
            <w:pPr>
              <w:spacing w:after="0"/>
              <w:rPr>
                <w:sz w:val="24"/>
                <w:szCs w:val="24"/>
                <w:color w:val="auto"/>
              </w:rPr>
            </w:pPr>
          </w:p>
        </w:tc>
        <w:tc>
          <w:tcPr>
            <w:tcW w:w="412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term increase in shareholder value.</w:t>
            </w:r>
          </w:p>
        </w:tc>
      </w:tr>
      <w:tr>
        <w:trPr>
          <w:trHeight w:val="218"/>
        </w:trPr>
        <w:tc>
          <w:tcPr>
            <w:tcW w:w="342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464"/>
        </w:trPr>
        <w:tc>
          <w:tcPr>
            <w:tcW w:w="3420" w:type="dxa"/>
            <w:vAlign w:val="bottom"/>
            <w:tcBorders>
              <w:left w:val="single" w:sz="8" w:color="auto"/>
              <w:right w:val="single" w:sz="8" w:color="D9D9D9"/>
            </w:tcBorders>
            <w:shd w:val="clear" w:color="auto" w:fill="D9D9D9"/>
          </w:tcPr>
          <w:p>
            <w:pPr>
              <w:ind w:left="120"/>
              <w:spacing w:after="0"/>
              <w:rPr>
                <w:sz w:val="20"/>
                <w:szCs w:val="20"/>
                <w:color w:val="auto"/>
              </w:rPr>
            </w:pPr>
            <w:r>
              <w:rPr>
                <w:rFonts w:ascii="Times New Roman" w:cs="Times New Roman" w:eastAsia="Times New Roman" w:hAnsi="Times New Roman"/>
                <w:sz w:val="22"/>
                <w:szCs w:val="22"/>
                <w:b w:val="1"/>
                <w:bCs w:val="1"/>
                <w:color w:val="auto"/>
              </w:rPr>
              <w:t>Long-Term Equity Compensation</w:t>
            </w:r>
          </w:p>
        </w:tc>
        <w:tc>
          <w:tcPr>
            <w:tcW w:w="4120" w:type="dxa"/>
            <w:vAlign w:val="bottom"/>
            <w:tcBorders>
              <w:right w:val="single" w:sz="8" w:color="D9D9D9"/>
            </w:tcBorders>
            <w:shd w:val="clear" w:color="auto" w:fill="D9D9D9"/>
          </w:tcPr>
          <w:p>
            <w:pPr>
              <w:spacing w:after="0"/>
              <w:rPr>
                <w:sz w:val="24"/>
                <w:szCs w:val="24"/>
                <w:color w:val="auto"/>
              </w:rPr>
            </w:pPr>
          </w:p>
        </w:tc>
        <w:tc>
          <w:tcPr>
            <w:tcW w:w="3700" w:type="dxa"/>
            <w:vAlign w:val="bottom"/>
            <w:tcBorders>
              <w:right w:val="single" w:sz="8" w:color="auto"/>
            </w:tcBorders>
            <w:shd w:val="clear" w:color="auto" w:fill="D9D9D9"/>
          </w:tcPr>
          <w:p>
            <w:pPr>
              <w:spacing w:after="0"/>
              <w:rPr>
                <w:sz w:val="24"/>
                <w:szCs w:val="24"/>
                <w:color w:val="auto"/>
              </w:rPr>
            </w:pPr>
          </w:p>
        </w:tc>
      </w:tr>
      <w:tr>
        <w:trPr>
          <w:trHeight w:val="218"/>
        </w:trPr>
        <w:tc>
          <w:tcPr>
            <w:tcW w:w="3420" w:type="dxa"/>
            <w:vAlign w:val="bottom"/>
            <w:tcBorders>
              <w:left w:val="single" w:sz="8" w:color="auto"/>
              <w:bottom w:val="single" w:sz="8" w:color="auto"/>
              <w:right w:val="single" w:sz="8" w:color="D9D9D9"/>
            </w:tcBorders>
            <w:shd w:val="clear" w:color="auto" w:fill="D9D9D9"/>
          </w:tcPr>
          <w:p>
            <w:pPr>
              <w:spacing w:after="0"/>
              <w:rPr>
                <w:sz w:val="18"/>
                <w:szCs w:val="18"/>
                <w:color w:val="auto"/>
              </w:rPr>
            </w:pPr>
          </w:p>
        </w:tc>
        <w:tc>
          <w:tcPr>
            <w:tcW w:w="4120" w:type="dxa"/>
            <w:vAlign w:val="bottom"/>
            <w:tcBorders>
              <w:bottom w:val="single" w:sz="8" w:color="auto"/>
              <w:right w:val="single" w:sz="8" w:color="D9D9D9"/>
            </w:tcBorders>
            <w:shd w:val="clear" w:color="auto" w:fill="D9D9D9"/>
          </w:tcPr>
          <w:p>
            <w:pPr>
              <w:spacing w:after="0"/>
              <w:rPr>
                <w:sz w:val="18"/>
                <w:szCs w:val="18"/>
                <w:color w:val="auto"/>
              </w:rPr>
            </w:pPr>
          </w:p>
        </w:tc>
        <w:tc>
          <w:tcPr>
            <w:tcW w:w="3700" w:type="dxa"/>
            <w:vAlign w:val="bottom"/>
            <w:tcBorders>
              <w:bottom w:val="single" w:sz="8" w:color="auto"/>
              <w:right w:val="single" w:sz="8" w:color="auto"/>
            </w:tcBorders>
            <w:shd w:val="clear" w:color="auto" w:fill="D9D9D9"/>
          </w:tcPr>
          <w:p>
            <w:pPr>
              <w:spacing w:after="0"/>
              <w:rPr>
                <w:sz w:val="18"/>
                <w:szCs w:val="18"/>
                <w:color w:val="auto"/>
              </w:rPr>
            </w:pPr>
          </w:p>
        </w:tc>
      </w:tr>
      <w:tr>
        <w:trPr>
          <w:trHeight w:val="412"/>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Performance-Based Restricted</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Total shareholder return relative to a</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Provides incentive to outperform and</w:t>
            </w:r>
          </w:p>
        </w:tc>
      </w:tr>
      <w:tr>
        <w:trPr>
          <w:trHeight w:val="229"/>
        </w:trPr>
        <w:tc>
          <w:tcPr>
            <w:tcW w:w="3420" w:type="dxa"/>
            <w:vAlign w:val="bottom"/>
            <w:tcBorders>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Stock Awards (approximately two-</w:t>
            </w:r>
          </w:p>
        </w:tc>
        <w:tc>
          <w:tcPr>
            <w:tcW w:w="412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published index of industry peers and return</w:t>
            </w: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deliver superior shareholder returns</w:t>
            </w:r>
          </w:p>
        </w:tc>
      </w:tr>
      <w:tr>
        <w:trPr>
          <w:trHeight w:val="230"/>
        </w:trPr>
        <w:tc>
          <w:tcPr>
            <w:tcW w:w="3420" w:type="dxa"/>
            <w:vAlign w:val="bottom"/>
            <w:tcBorders>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thirds of total long-term equity</w:t>
            </w:r>
          </w:p>
        </w:tc>
        <w:tc>
          <w:tcPr>
            <w:tcW w:w="412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on invested capital versus an absolute target,</w:t>
            </w: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relative to peers and to efficiently</w:t>
            </w:r>
          </w:p>
        </w:tc>
      </w:tr>
      <w:tr>
        <w:trPr>
          <w:trHeight w:val="230"/>
        </w:trPr>
        <w:tc>
          <w:tcPr>
            <w:tcW w:w="3420" w:type="dxa"/>
            <w:vAlign w:val="bottom"/>
            <w:tcBorders>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compensation)</w:t>
            </w:r>
          </w:p>
        </w:tc>
        <w:tc>
          <w:tcPr>
            <w:tcW w:w="412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in each case measured over a three-year</w:t>
            </w: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utilize the Company’s capital. Aligns</w:t>
            </w:r>
          </w:p>
        </w:tc>
      </w:tr>
      <w:tr>
        <w:trPr>
          <w:trHeight w:val="230"/>
        </w:trPr>
        <w:tc>
          <w:tcPr>
            <w:tcW w:w="3420" w:type="dxa"/>
            <w:vAlign w:val="bottom"/>
            <w:tcBorders>
              <w:left w:val="single" w:sz="8" w:color="auto"/>
              <w:right w:val="single" w:sz="8" w:color="auto"/>
            </w:tcBorders>
          </w:tcPr>
          <w:p>
            <w:pPr>
              <w:spacing w:after="0"/>
              <w:rPr>
                <w:sz w:val="19"/>
                <w:szCs w:val="19"/>
                <w:color w:val="auto"/>
              </w:rPr>
            </w:pPr>
          </w:p>
        </w:tc>
        <w:tc>
          <w:tcPr>
            <w:tcW w:w="4120" w:type="dxa"/>
            <w:vAlign w:val="bottom"/>
            <w:tcBorders>
              <w:right w:val="single" w:sz="8" w:color="auto"/>
            </w:tcBorders>
          </w:tcPr>
          <w:p>
            <w:pPr>
              <w:ind w:left="80"/>
              <w:spacing w:after="0" w:line="229" w:lineRule="exact"/>
              <w:rPr>
                <w:sz w:val="20"/>
                <w:szCs w:val="20"/>
                <w:color w:val="auto"/>
              </w:rPr>
            </w:pPr>
            <w:r>
              <w:rPr>
                <w:rFonts w:ascii="Times New Roman" w:cs="Times New Roman" w:eastAsia="Times New Roman" w:hAnsi="Times New Roman"/>
                <w:sz w:val="22"/>
                <w:szCs w:val="22"/>
                <w:color w:val="auto"/>
              </w:rPr>
              <w:t>performance period.</w:t>
            </w: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NEOs with interests of Shareholders</w:t>
            </w:r>
          </w:p>
        </w:tc>
      </w:tr>
      <w:tr>
        <w:trPr>
          <w:trHeight w:val="229"/>
        </w:trPr>
        <w:tc>
          <w:tcPr>
            <w:tcW w:w="3420" w:type="dxa"/>
            <w:vAlign w:val="bottom"/>
            <w:tcBorders>
              <w:left w:val="single" w:sz="8" w:color="auto"/>
              <w:right w:val="single" w:sz="8" w:color="auto"/>
            </w:tcBorders>
          </w:tcPr>
          <w:p>
            <w:pPr>
              <w:spacing w:after="0"/>
              <w:rPr>
                <w:sz w:val="19"/>
                <w:szCs w:val="19"/>
                <w:color w:val="auto"/>
              </w:rPr>
            </w:pPr>
          </w:p>
        </w:tc>
        <w:tc>
          <w:tcPr>
            <w:tcW w:w="41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and promotes commitment to the long-</w:t>
            </w:r>
          </w:p>
        </w:tc>
      </w:tr>
      <w:tr>
        <w:trPr>
          <w:trHeight w:val="270"/>
        </w:trPr>
        <w:tc>
          <w:tcPr>
            <w:tcW w:w="3420" w:type="dxa"/>
            <w:vAlign w:val="bottom"/>
            <w:tcBorders>
              <w:left w:val="single" w:sz="8" w:color="auto"/>
              <w:bottom w:val="single" w:sz="8" w:color="auto"/>
              <w:right w:val="single" w:sz="8" w:color="auto"/>
            </w:tcBorders>
          </w:tcPr>
          <w:p>
            <w:pPr>
              <w:spacing w:after="0"/>
              <w:rPr>
                <w:sz w:val="23"/>
                <w:szCs w:val="23"/>
                <w:color w:val="auto"/>
              </w:rPr>
            </w:pPr>
          </w:p>
        </w:tc>
        <w:tc>
          <w:tcPr>
            <w:tcW w:w="4120" w:type="dxa"/>
            <w:vAlign w:val="bottom"/>
            <w:tcBorders>
              <w:bottom w:val="single" w:sz="8" w:color="auto"/>
              <w:right w:val="single" w:sz="8" w:color="auto"/>
            </w:tcBorders>
          </w:tcPr>
          <w:p>
            <w:pPr>
              <w:spacing w:after="0"/>
              <w:rPr>
                <w:sz w:val="23"/>
                <w:szCs w:val="23"/>
                <w:color w:val="auto"/>
              </w:rPr>
            </w:pPr>
          </w:p>
        </w:tc>
        <w:tc>
          <w:tcPr>
            <w:tcW w:w="370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term performance of the Company.</w:t>
            </w:r>
          </w:p>
        </w:tc>
      </w:tr>
      <w:tr>
        <w:trPr>
          <w:trHeight w:val="412"/>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Time-Based Restricted Stock</w:t>
            </w:r>
          </w:p>
        </w:tc>
        <w:tc>
          <w:tcPr>
            <w:tcW w:w="41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22"/>
                <w:szCs w:val="22"/>
                <w:color w:val="auto"/>
              </w:rPr>
              <w:t>Long-term stock price appreciation.</w:t>
            </w: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Aligns NEOs with interests of</w:t>
            </w:r>
          </w:p>
        </w:tc>
      </w:tr>
      <w:tr>
        <w:trPr>
          <w:trHeight w:val="230"/>
        </w:trPr>
        <w:tc>
          <w:tcPr>
            <w:tcW w:w="3420" w:type="dxa"/>
            <w:vAlign w:val="bottom"/>
            <w:tcBorders>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Awards (approximately one-third of</w:t>
            </w:r>
          </w:p>
        </w:tc>
        <w:tc>
          <w:tcPr>
            <w:tcW w:w="41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Shareholders and promotes</w:t>
            </w:r>
          </w:p>
        </w:tc>
      </w:tr>
      <w:tr>
        <w:trPr>
          <w:trHeight w:val="229"/>
        </w:trPr>
        <w:tc>
          <w:tcPr>
            <w:tcW w:w="3420" w:type="dxa"/>
            <w:vAlign w:val="bottom"/>
            <w:tcBorders>
              <w:left w:val="single" w:sz="8" w:color="auto"/>
              <w:right w:val="single" w:sz="8" w:color="auto"/>
            </w:tcBorders>
          </w:tcPr>
          <w:p>
            <w:pPr>
              <w:ind w:left="120"/>
              <w:spacing w:after="0" w:line="229" w:lineRule="exact"/>
              <w:rPr>
                <w:sz w:val="20"/>
                <w:szCs w:val="20"/>
                <w:color w:val="auto"/>
              </w:rPr>
            </w:pPr>
            <w:r>
              <w:rPr>
                <w:rFonts w:ascii="Times New Roman" w:cs="Times New Roman" w:eastAsia="Times New Roman" w:hAnsi="Times New Roman"/>
                <w:sz w:val="22"/>
                <w:szCs w:val="22"/>
                <w:color w:val="auto"/>
              </w:rPr>
              <w:t>total long-term equity</w:t>
            </w:r>
          </w:p>
        </w:tc>
        <w:tc>
          <w:tcPr>
            <w:tcW w:w="4120" w:type="dxa"/>
            <w:vAlign w:val="bottom"/>
            <w:tcBorders>
              <w:right w:val="single" w:sz="8" w:color="auto"/>
            </w:tcBorders>
          </w:tcPr>
          <w:p>
            <w:pPr>
              <w:spacing w:after="0"/>
              <w:rPr>
                <w:sz w:val="19"/>
                <w:szCs w:val="19"/>
                <w:color w:val="auto"/>
              </w:rPr>
            </w:pPr>
          </w:p>
        </w:tc>
        <w:tc>
          <w:tcPr>
            <w:tcW w:w="3700" w:type="dxa"/>
            <w:vAlign w:val="bottom"/>
            <w:tcBorders>
              <w:right w:val="single" w:sz="8" w:color="auto"/>
            </w:tcBorders>
          </w:tcPr>
          <w:p>
            <w:pPr>
              <w:ind w:left="100"/>
              <w:spacing w:after="0" w:line="229" w:lineRule="exact"/>
              <w:rPr>
                <w:sz w:val="20"/>
                <w:szCs w:val="20"/>
                <w:color w:val="auto"/>
              </w:rPr>
            </w:pPr>
            <w:r>
              <w:rPr>
                <w:rFonts w:ascii="Times New Roman" w:cs="Times New Roman" w:eastAsia="Times New Roman" w:hAnsi="Times New Roman"/>
                <w:sz w:val="22"/>
                <w:szCs w:val="22"/>
                <w:color w:val="auto"/>
              </w:rPr>
              <w:t>commitment to the long-term</w:t>
            </w:r>
          </w:p>
        </w:tc>
      </w:tr>
      <w:tr>
        <w:trPr>
          <w:trHeight w:val="282"/>
        </w:trPr>
        <w:tc>
          <w:tcPr>
            <w:tcW w:w="34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compensation)</w:t>
            </w:r>
          </w:p>
        </w:tc>
        <w:tc>
          <w:tcPr>
            <w:tcW w:w="4120" w:type="dxa"/>
            <w:vAlign w:val="bottom"/>
            <w:tcBorders>
              <w:right w:val="single" w:sz="8" w:color="auto"/>
            </w:tcBorders>
          </w:tcPr>
          <w:p>
            <w:pPr>
              <w:spacing w:after="0"/>
              <w:rPr>
                <w:sz w:val="24"/>
                <w:szCs w:val="24"/>
                <w:color w:val="auto"/>
              </w:rPr>
            </w:pPr>
          </w:p>
        </w:tc>
        <w:tc>
          <w:tcPr>
            <w:tcW w:w="37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performance of the Company.</w:t>
            </w:r>
          </w:p>
        </w:tc>
      </w:tr>
      <w:tr>
        <w:trPr>
          <w:trHeight w:val="218"/>
        </w:trPr>
        <w:tc>
          <w:tcPr>
            <w:tcW w:w="3420" w:type="dxa"/>
            <w:vAlign w:val="bottom"/>
            <w:tcBorders>
              <w:left w:val="single" w:sz="8" w:color="auto"/>
              <w:bottom w:val="single" w:sz="8" w:color="auto"/>
              <w:right w:val="single" w:sz="8" w:color="auto"/>
            </w:tcBorders>
          </w:tcPr>
          <w:p>
            <w:pPr>
              <w:spacing w:after="0"/>
              <w:rPr>
                <w:sz w:val="18"/>
                <w:szCs w:val="18"/>
                <w:color w:val="auto"/>
              </w:rPr>
            </w:pPr>
          </w:p>
        </w:tc>
        <w:tc>
          <w:tcPr>
            <w:tcW w:w="412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bl>
    <w:p>
      <w:pPr>
        <w:spacing w:after="0" w:line="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allocation of 2025 target total direct compensation for our CEO and for our other NEOs among these various components is set forth in the materials on page 11 in the Proxy Statement Summary that highlight the Company’s emphasis on “at risk” and equity-based compensation.</w:t>
      </w:r>
    </w:p>
    <w:p>
      <w:pPr>
        <w:spacing w:after="0" w:line="200" w:lineRule="exact"/>
        <w:rPr>
          <w:sz w:val="20"/>
          <w:szCs w:val="20"/>
          <w:color w:val="auto"/>
        </w:rPr>
      </w:pPr>
    </w:p>
    <w:p>
      <w:pPr>
        <w:spacing w:after="0" w:line="21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35</w:t>
      </w:r>
    </w:p>
    <w:p>
      <w:pPr>
        <w:sectPr>
          <w:pgSz w:w="11900" w:h="16838" w:orient="portrait"/>
          <w:cols w:equalWidth="0" w:num="1">
            <w:col w:w="11240"/>
          </w:cols>
          <w:pgMar w:left="320" w:top="567" w:right="339" w:bottom="1440" w:gutter="0" w:footer="0" w:header="0"/>
        </w:sectPr>
      </w:pPr>
    </w:p>
    <w:bookmarkStart w:id="38" w:name="page39"/>
    <w:bookmarkEnd w:id="38"/>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Pay-for-Performance Alignment – Performance-Based Compensation. </w:t>
      </w:r>
      <w:r>
        <w:rPr>
          <w:rFonts w:ascii="Times New Roman" w:cs="Times New Roman" w:eastAsia="Times New Roman" w:hAnsi="Times New Roman"/>
          <w:sz w:val="22"/>
          <w:szCs w:val="22"/>
          <w:color w:val="auto"/>
        </w:rPr>
        <w:t>The Company has developed an executive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program that is ownership-oriented and that rewards the attainment of specific annual and long-term goals that will result in improvement in shareholder value. Approximately two-thirds of our NEOs’ share awards are performance-based. Vesting is based on two performance metrics: the Company’s relative total shareholder return (“TSR”) against a published index of industry peers and the Company’s return on invested capital (“ROIC”). Annual incentive bonuses are also based on two performance metrics: the Company’s modified operating cash flow (“MOCF”) and its economic profit.</w:t>
      </w:r>
    </w:p>
    <w:p>
      <w:pPr>
        <w:spacing w:after="0" w:line="20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Committee notes the following outcomes for the performance-based components of its compensation program for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Company’s NEOs:</w:t>
      </w:r>
    </w:p>
    <w:p>
      <w:pPr>
        <w:spacing w:after="0" w:line="20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Performance-Based Share Vestings</w:t>
      </w:r>
    </w:p>
    <w:p>
      <w:pPr>
        <w:spacing w:after="0" w:line="102" w:lineRule="exact"/>
        <w:rPr>
          <w:sz w:val="20"/>
          <w:szCs w:val="20"/>
          <w:color w:val="auto"/>
        </w:rPr>
      </w:pPr>
    </w:p>
    <w:p>
      <w:pPr>
        <w:jc w:val="both"/>
        <w:ind w:left="660" w:hanging="328"/>
        <w:spacing w:after="0" w:line="237" w:lineRule="auto"/>
        <w:tabs>
          <w:tab w:leader="none" w:pos="660" w:val="left"/>
        </w:tabs>
        <w:numPr>
          <w:ilvl w:val="0"/>
          <w:numId w:val="31"/>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Based on the Company’s performance for the measurement period related to the vesting of performance-based shares in 2026, the Company’s NEOs, including the CEO, received TSR-based awards that were 99% above target and received ROIC-based awards that were 20% above target.</w:t>
      </w:r>
    </w:p>
    <w:p>
      <w:pPr>
        <w:spacing w:after="0" w:line="28"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31"/>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In 2025, the NEOs forfeited 100% of the TSR-based awards and 30% of the ROIC-based awards made in 2022.</w:t>
      </w:r>
    </w:p>
    <w:p>
      <w:pPr>
        <w:spacing w:after="0" w:line="76" w:lineRule="exact"/>
        <w:rPr>
          <w:rFonts w:ascii="Courier New" w:cs="Courier New" w:eastAsia="Courier New" w:hAnsi="Courier New"/>
          <w:sz w:val="22"/>
          <w:szCs w:val="22"/>
          <w:color w:val="auto"/>
        </w:rPr>
      </w:pPr>
    </w:p>
    <w:p>
      <w:pPr>
        <w:jc w:val="both"/>
        <w:ind w:left="660" w:hanging="328"/>
        <w:spacing w:after="0" w:line="229" w:lineRule="auto"/>
        <w:tabs>
          <w:tab w:leader="none" w:pos="660" w:val="left"/>
        </w:tabs>
        <w:numPr>
          <w:ilvl w:val="0"/>
          <w:numId w:val="31"/>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Over the last ten years, aggregate performance share vestings have ranged from 0% of target to 165% of target in accordance with the outcome of the relevant objective metrics, with the average annual aggregate payout over the period at 107%.</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Annual Incentive Bonus</w:t>
      </w:r>
    </w:p>
    <w:p>
      <w:pPr>
        <w:spacing w:after="0" w:line="111" w:lineRule="exact"/>
        <w:rPr>
          <w:sz w:val="20"/>
          <w:szCs w:val="20"/>
          <w:color w:val="auto"/>
        </w:rPr>
      </w:pPr>
    </w:p>
    <w:p>
      <w:pPr>
        <w:ind w:left="340" w:right="20"/>
        <w:spacing w:after="0" w:line="208" w:lineRule="auto"/>
        <w:rPr>
          <w:sz w:val="20"/>
          <w:szCs w:val="20"/>
          <w:color w:val="auto"/>
        </w:rPr>
      </w:pPr>
      <w:r>
        <w:rPr>
          <w:rFonts w:ascii="Times New Roman" w:cs="Times New Roman" w:eastAsia="Times New Roman" w:hAnsi="Times New Roman"/>
          <w:sz w:val="22"/>
          <w:szCs w:val="22"/>
          <w:color w:val="auto"/>
        </w:rPr>
        <w:t>Reflective of the Company’s record performance in respect of reportable Segment Income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and cash flow generation over the last few years:</w:t>
      </w:r>
    </w:p>
    <w:p>
      <w:pPr>
        <w:spacing w:after="0" w:line="71" w:lineRule="exact"/>
        <w:rPr>
          <w:sz w:val="20"/>
          <w:szCs w:val="20"/>
          <w:color w:val="auto"/>
        </w:rPr>
      </w:pPr>
    </w:p>
    <w:p>
      <w:pPr>
        <w:ind w:left="660" w:hanging="328"/>
        <w:spacing w:after="0"/>
        <w:tabs>
          <w:tab w:leader="none" w:pos="660" w:val="left"/>
        </w:tabs>
        <w:numPr>
          <w:ilvl w:val="0"/>
          <w:numId w:val="32"/>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For 2025, based on the Company’s over-performance on the MOCF and economic profit components of the annual incentive bonus, corporate-level NEOs (including the CEO) received bonuses that were 100% above target.</w:t>
      </w:r>
    </w:p>
    <w:p>
      <w:pPr>
        <w:spacing w:after="0" w:line="29"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32"/>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Company’s corporate-level NEOs received annual incentive bonuses for 2024 that were 100% above target and for 2023 that were 52.5% above target.</w:t>
      </w:r>
    </w:p>
    <w:p>
      <w:pPr>
        <w:spacing w:after="0" w:line="204" w:lineRule="exact"/>
        <w:rPr>
          <w:rFonts w:ascii="Courier New" w:cs="Courier New" w:eastAsia="Courier New" w:hAnsi="Courier New"/>
          <w:sz w:val="22"/>
          <w:szCs w:val="22"/>
          <w:color w:val="auto"/>
        </w:rPr>
      </w:pPr>
    </w:p>
    <w:p>
      <w:pPr>
        <w:ind w:left="660"/>
        <w:spacing w:after="0"/>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Company views these outcomes as demonstrative of the Company’s “pay-for-performance” philosophy.</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b w:val="1"/>
          <w:bCs w:val="1"/>
          <w:color w:val="auto"/>
        </w:rPr>
        <w:t xml:space="preserve">Role of the Compensation Committee. </w:t>
      </w:r>
      <w:r>
        <w:rPr>
          <w:rFonts w:ascii="Times New Roman" w:cs="Times New Roman" w:eastAsia="Times New Roman" w:hAnsi="Times New Roman"/>
          <w:sz w:val="21"/>
          <w:szCs w:val="21"/>
          <w:color w:val="auto"/>
        </w:rPr>
        <w:t>The Committee currently comprises five Directors, all of whom are independent</w:t>
      </w:r>
    </w:p>
    <w:p>
      <w:pPr>
        <w:spacing w:after="0" w:line="35" w:lineRule="exact"/>
        <w:rPr>
          <w:sz w:val="20"/>
          <w:szCs w:val="20"/>
          <w:color w:val="auto"/>
        </w:rPr>
      </w:pPr>
    </w:p>
    <w:p>
      <w:pPr>
        <w:jc w:val="both"/>
        <w:spacing w:after="0" w:line="219" w:lineRule="auto"/>
        <w:rPr>
          <w:sz w:val="20"/>
          <w:szCs w:val="20"/>
          <w:color w:val="auto"/>
        </w:rPr>
      </w:pPr>
      <w:r>
        <w:rPr>
          <w:rFonts w:ascii="Times New Roman" w:cs="Times New Roman" w:eastAsia="Times New Roman" w:hAnsi="Times New Roman"/>
          <w:sz w:val="22"/>
          <w:szCs w:val="22"/>
          <w:color w:val="auto"/>
        </w:rPr>
        <w:t>under the NYSE listing standards. During 2025, the Committee members were Andrea Funk, Stephen Hagge, James Miller</w:t>
      </w:r>
      <w:r>
        <w:rPr>
          <w:rFonts w:ascii="Times New Roman" w:cs="Times New Roman" w:eastAsia="Times New Roman" w:hAnsi="Times New Roman"/>
          <w:sz w:val="35"/>
          <w:szCs w:val="35"/>
          <w:color w:val="auto"/>
          <w:vertAlign w:val="superscript"/>
        </w:rPr>
        <w:t>2</w:t>
      </w:r>
      <w:r>
        <w:rPr>
          <w:rFonts w:ascii="Times New Roman" w:cs="Times New Roman" w:eastAsia="Times New Roman" w:hAnsi="Times New Roman"/>
          <w:sz w:val="22"/>
          <w:szCs w:val="22"/>
          <w:color w:val="auto"/>
        </w:rPr>
        <w:t xml:space="preserve">, Angela Snyder, Marsha Williams and Dwayne Wilson. The Committee has responsibility for succession planning and for determining and implementing the Company’s philosophy with respect to executive compensation. To implement this philosophy, the Committee oversees the establishment and administration of the Company’s executive compensation program. The Committee operates under a written charter adopted by the Board of Directors. A copy of this charter is available on the Company’s website at </w:t>
      </w:r>
      <w:r>
        <w:rPr>
          <w:rFonts w:ascii="Times New Roman" w:cs="Times New Roman" w:eastAsia="Times New Roman" w:hAnsi="Times New Roman"/>
          <w:sz w:val="22"/>
          <w:szCs w:val="22"/>
          <w:b w:val="1"/>
          <w:bCs w:val="1"/>
          <w:u w:val="single" w:color="auto"/>
          <w:color w:val="29650B"/>
        </w:rPr>
        <w:t>www.crowncork.com/investors/governance/compensation-committee-charter</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7830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89" w:lineRule="exact"/>
        <w:rPr>
          <w:sz w:val="20"/>
          <w:szCs w:val="20"/>
          <w:color w:val="auto"/>
        </w:rPr>
      </w:pPr>
    </w:p>
    <w:p>
      <w:pPr>
        <w:ind w:left="340" w:right="160" w:hanging="332"/>
        <w:spacing w:after="0" w:line="192" w:lineRule="auto"/>
        <w:tabs>
          <w:tab w:leader="none" w:pos="137" w:val="left"/>
        </w:tabs>
        <w:numPr>
          <w:ilvl w:val="0"/>
          <w:numId w:val="33"/>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A reconciliation of reportable Segment Income to Income before Income Taxes can be found on page 86 of the Company’s Annual Report on Form 10-K for the fiscal year ended December 31, 2025.</w:t>
      </w:r>
    </w:p>
    <w:p>
      <w:pPr>
        <w:spacing w:after="0" w:line="129" w:lineRule="exact"/>
        <w:rPr>
          <w:sz w:val="20"/>
          <w:szCs w:val="20"/>
          <w:color w:val="auto"/>
        </w:rPr>
      </w:pPr>
    </w:p>
    <w:p>
      <w:pPr>
        <w:ind w:left="5480" w:right="4860" w:hanging="5472"/>
        <w:spacing w:after="0" w:line="227" w:lineRule="auto"/>
        <w:tabs>
          <w:tab w:leader="none" w:pos="143" w:val="left"/>
        </w:tabs>
        <w:numPr>
          <w:ilvl w:val="0"/>
          <w:numId w:val="34"/>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Mr. Miller retired in 2025 and left the Committee on February 26, 2025. 36</w:t>
      </w:r>
    </w:p>
    <w:p>
      <w:pPr>
        <w:sectPr>
          <w:pgSz w:w="11900" w:h="16838" w:orient="portrait"/>
          <w:cols w:equalWidth="0" w:num="1">
            <w:col w:w="11240"/>
          </w:cols>
          <w:pgMar w:left="320" w:top="567" w:right="339" w:bottom="1440" w:gutter="0" w:footer="0" w:header="0"/>
        </w:sectPr>
      </w:pPr>
    </w:p>
    <w:bookmarkStart w:id="39" w:name="page40"/>
    <w:bookmarkEnd w:id="39"/>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Compensation Philosophy and Objectives. </w:t>
      </w:r>
      <w:r>
        <w:rPr>
          <w:rFonts w:ascii="Times New Roman" w:cs="Times New Roman" w:eastAsia="Times New Roman" w:hAnsi="Times New Roman"/>
          <w:sz w:val="22"/>
          <w:szCs w:val="22"/>
          <w:color w:val="auto"/>
        </w:rPr>
        <w:t>The Committee maintains a “pay-for-performance” philosophy toward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executive compensation. One of the guiding principles of this “pay-for-performance” philosophy is that the executive compensation program should enable the Company to attract, retain and motivate a team of highly qualified executives who will create long-term value for Shareholders. To achieve this objective, the Committee has developed an executive compensation program that is ownership-oriented and that rewards the attainment of specific annual and long-term goals that will result in improvement in shareholder value. To that end, the Committee believes that the executive compensation program should include both cash and equity-based compensation that rewards specific performance by the Company. In addition, the Committee continually monitors the effectiveness of the program to ensure that the compensation provided to executives remains competitive relative to the compensation paid to executives in a peer group comprising select companies in the container and packaging industry and other manufacturing companies.</w:t>
      </w:r>
    </w:p>
    <w:p>
      <w:pPr>
        <w:spacing w:after="0" w:line="18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The Committee annually evaluates the components of the compensation program as well as the desired mix of compensation among these components. The Committee believes that a substantial portion of the direct compensation paid to the Company’s NEOs should be at risk, contingent on the Company’s operating and stock market performance. Consistent with this philosophy, the Committee will continue to place significant emphasis on stock-based and performance-based compensation in an effort to more closely align compensation with shareholder interests and increase executives’ focus on the Company’s long-term performance. Accordingly, the annual incentive bonus is determined by operating metrics that drive long-term growth and shareholder value, and approximately two-thirds of the value of the restricted stock granted in 2025 under the Company’s long-term incentive plan is tied to performance of the Company’s TSR versus that of a published index of industry peers and return on invested capital versus the Company’s projected three-year average of return on invested capital.</w:t>
      </w:r>
    </w:p>
    <w:p>
      <w:pPr>
        <w:spacing w:after="0" w:line="10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Stock Ownership Guidelines and Share Retention Policy</w:t>
      </w:r>
      <w:r>
        <w:rPr>
          <w:rFonts w:ascii="Times New Roman" w:cs="Times New Roman" w:eastAsia="Times New Roman" w:hAnsi="Times New Roman"/>
          <w:sz w:val="22"/>
          <w:szCs w:val="22"/>
          <w:color w:val="auto"/>
        </w:rPr>
        <w:t>. Consistent with the Committee’s stock ownership-oriented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compensation philosophy and its focus on long-term performance, the Company maintains stock ownership guidelines under which our NEOs are expected to own Company Common Stock with a minimum value equal to a multiple of base salary, as set forth in the following table.</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FFFFFF"/>
        </w:rPr>
        <w:t>Stock Ownership Guidelines Applicable to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-140335</wp:posOffset>
            </wp:positionV>
            <wp:extent cx="5349240" cy="6254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625475"/>
                    </a:xfrm>
                    <a:prstGeom prst="rect">
                      <a:avLst/>
                    </a:prstGeom>
                    <a:noFill/>
                  </pic:spPr>
                </pic:pic>
              </a:graphicData>
            </a:graphic>
          </wp:anchor>
        </w:drawing>
      </w:r>
    </w:p>
    <w:tbl>
      <w:tblPr>
        <w:tblLayout w:type="fixed"/>
        <w:tblInd w:w="2800" w:type="dxa"/>
        <w:tblCellMar>
          <w:top w:w="0" w:type="dxa"/>
          <w:left w:w="0" w:type="dxa"/>
          <w:bottom w:w="0" w:type="dxa"/>
          <w:right w:w="0" w:type="dxa"/>
        </w:tblCellMar>
      </w:tblPr>
      <w:tr>
        <w:trPr>
          <w:trHeight w:val="237"/>
        </w:trPr>
        <w:tc>
          <w:tcPr>
            <w:tcW w:w="2580" w:type="dxa"/>
            <w:vAlign w:val="bottom"/>
          </w:tcPr>
          <w:p>
            <w:pPr>
              <w:jc w:val="center"/>
              <w:ind w:right="1092"/>
              <w:spacing w:after="0" w:line="237" w:lineRule="exact"/>
              <w:rPr>
                <w:sz w:val="20"/>
                <w:szCs w:val="20"/>
                <w:color w:val="auto"/>
              </w:rPr>
            </w:pPr>
            <w:r>
              <w:rPr>
                <w:rFonts w:ascii="Times New Roman" w:cs="Times New Roman" w:eastAsia="Times New Roman" w:hAnsi="Times New Roman"/>
                <w:sz w:val="22"/>
                <w:szCs w:val="22"/>
                <w:b w:val="1"/>
                <w:bCs w:val="1"/>
                <w:color w:val="FFFFFF"/>
                <w:w w:val="97"/>
              </w:rPr>
              <w:t>Position</w:t>
            </w:r>
          </w:p>
        </w:tc>
        <w:tc>
          <w:tcPr>
            <w:tcW w:w="3400" w:type="dxa"/>
            <w:vAlign w:val="bottom"/>
          </w:tcPr>
          <w:p>
            <w:pPr>
              <w:jc w:val="center"/>
              <w:ind w:left="1112"/>
              <w:spacing w:after="0" w:line="237" w:lineRule="exact"/>
              <w:rPr>
                <w:sz w:val="20"/>
                <w:szCs w:val="20"/>
                <w:color w:val="auto"/>
              </w:rPr>
            </w:pPr>
            <w:r>
              <w:rPr>
                <w:rFonts w:ascii="Times New Roman" w:cs="Times New Roman" w:eastAsia="Times New Roman" w:hAnsi="Times New Roman"/>
                <w:sz w:val="22"/>
                <w:szCs w:val="22"/>
                <w:b w:val="1"/>
                <w:bCs w:val="1"/>
                <w:color w:val="FFFFFF"/>
                <w:w w:val="98"/>
              </w:rPr>
              <w:t>Multiple of Base Salary</w:t>
            </w:r>
          </w:p>
        </w:tc>
      </w:tr>
      <w:tr>
        <w:trPr>
          <w:trHeight w:val="243"/>
        </w:trPr>
        <w:tc>
          <w:tcPr>
            <w:tcW w:w="2580" w:type="dxa"/>
            <w:vAlign w:val="bottom"/>
          </w:tcPr>
          <w:p>
            <w:pPr>
              <w:jc w:val="center"/>
              <w:ind w:right="1112"/>
              <w:spacing w:after="0" w:line="243" w:lineRule="exact"/>
              <w:rPr>
                <w:sz w:val="20"/>
                <w:szCs w:val="20"/>
                <w:color w:val="auto"/>
              </w:rPr>
            </w:pPr>
            <w:r>
              <w:rPr>
                <w:rFonts w:ascii="Times New Roman" w:cs="Times New Roman" w:eastAsia="Times New Roman" w:hAnsi="Times New Roman"/>
                <w:sz w:val="22"/>
                <w:szCs w:val="22"/>
                <w:color w:val="auto"/>
                <w:w w:val="99"/>
              </w:rPr>
              <w:t>CEO</w:t>
            </w:r>
          </w:p>
        </w:tc>
        <w:tc>
          <w:tcPr>
            <w:tcW w:w="3400" w:type="dxa"/>
            <w:vAlign w:val="bottom"/>
          </w:tcPr>
          <w:p>
            <w:pPr>
              <w:jc w:val="center"/>
              <w:ind w:left="1112"/>
              <w:spacing w:after="0" w:line="243" w:lineRule="exact"/>
              <w:rPr>
                <w:sz w:val="20"/>
                <w:szCs w:val="20"/>
                <w:color w:val="auto"/>
              </w:rPr>
            </w:pPr>
            <w:r>
              <w:rPr>
                <w:rFonts w:ascii="Times New Roman" w:cs="Times New Roman" w:eastAsia="Times New Roman" w:hAnsi="Times New Roman"/>
                <w:sz w:val="22"/>
                <w:szCs w:val="22"/>
                <w:color w:val="auto"/>
                <w:w w:val="99"/>
              </w:rPr>
              <w:t>6x</w:t>
            </w:r>
          </w:p>
        </w:tc>
      </w:tr>
      <w:tr>
        <w:trPr>
          <w:trHeight w:val="282"/>
        </w:trPr>
        <w:tc>
          <w:tcPr>
            <w:tcW w:w="2580" w:type="dxa"/>
            <w:vAlign w:val="bottom"/>
          </w:tcPr>
          <w:p>
            <w:pPr>
              <w:jc w:val="center"/>
              <w:ind w:right="1112"/>
              <w:spacing w:after="0"/>
              <w:rPr>
                <w:sz w:val="20"/>
                <w:szCs w:val="20"/>
                <w:color w:val="auto"/>
              </w:rPr>
            </w:pPr>
            <w:r>
              <w:rPr>
                <w:rFonts w:ascii="Times New Roman" w:cs="Times New Roman" w:eastAsia="Times New Roman" w:hAnsi="Times New Roman"/>
                <w:sz w:val="22"/>
                <w:szCs w:val="22"/>
                <w:color w:val="auto"/>
                <w:w w:val="98"/>
              </w:rPr>
              <w:t>All other NEOs</w:t>
            </w:r>
          </w:p>
        </w:tc>
        <w:tc>
          <w:tcPr>
            <w:tcW w:w="3400" w:type="dxa"/>
            <w:vAlign w:val="bottom"/>
          </w:tcPr>
          <w:p>
            <w:pPr>
              <w:jc w:val="center"/>
              <w:ind w:left="1112"/>
              <w:spacing w:after="0"/>
              <w:rPr>
                <w:sz w:val="20"/>
                <w:szCs w:val="20"/>
                <w:color w:val="auto"/>
              </w:rPr>
            </w:pPr>
            <w:r>
              <w:rPr>
                <w:rFonts w:ascii="Times New Roman" w:cs="Times New Roman" w:eastAsia="Times New Roman" w:hAnsi="Times New Roman"/>
                <w:sz w:val="22"/>
                <w:szCs w:val="22"/>
                <w:color w:val="auto"/>
                <w:w w:val="99"/>
              </w:rPr>
              <w:t>3x</w:t>
            </w:r>
          </w:p>
        </w:tc>
      </w:tr>
    </w:tbl>
    <w:p>
      <w:pPr>
        <w:spacing w:after="0" w:line="19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Until the ownership requirement is satisfied, an NEO is required to retain 50% of the after-tax number of shares of any Common Stock received as the result of an option exercise, vesting of restricted shares or issuance of deferred shares. All the NEOs employed by the Company at year-end either owned more than the minimum level of Common Stock or were otherwise in compliance with the stock ownership guidelines.</w:t>
      </w:r>
    </w:p>
    <w:p>
      <w:pPr>
        <w:spacing w:after="0" w:line="9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Stock Holding Period. </w:t>
      </w:r>
      <w:r>
        <w:rPr>
          <w:rFonts w:ascii="Times New Roman" w:cs="Times New Roman" w:eastAsia="Times New Roman" w:hAnsi="Times New Roman"/>
          <w:sz w:val="22"/>
          <w:szCs w:val="22"/>
          <w:color w:val="auto"/>
        </w:rPr>
        <w:t>Under the Company’s Corporate Governance Guidelines, an NEO is required to retain 50% of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after-tax number of shares of Common Stock received as the result of a restriction lapse for a period of two years.</w:t>
      </w:r>
    </w:p>
    <w:p>
      <w:pPr>
        <w:spacing w:after="0" w:line="82" w:lineRule="exact"/>
        <w:rPr>
          <w:sz w:val="20"/>
          <w:szCs w:val="20"/>
          <w:color w:val="auto"/>
        </w:rPr>
      </w:pPr>
    </w:p>
    <w:p>
      <w:pPr>
        <w:jc w:val="both"/>
        <w:ind w:firstLine="648"/>
        <w:spacing w:after="0" w:line="286" w:lineRule="auto"/>
        <w:rPr>
          <w:sz w:val="20"/>
          <w:szCs w:val="20"/>
          <w:color w:val="auto"/>
        </w:rPr>
      </w:pPr>
      <w:r>
        <w:rPr>
          <w:rFonts w:ascii="Times New Roman" w:cs="Times New Roman" w:eastAsia="Times New Roman" w:hAnsi="Times New Roman"/>
          <w:sz w:val="21"/>
          <w:szCs w:val="21"/>
          <w:i w:val="1"/>
          <w:iCs w:val="1"/>
          <w:color w:val="auto"/>
        </w:rPr>
        <w:t xml:space="preserve">Prohibition of Hedging and Pledging. </w:t>
      </w:r>
      <w:r>
        <w:rPr>
          <w:rFonts w:ascii="Times New Roman" w:cs="Times New Roman" w:eastAsia="Times New Roman" w:hAnsi="Times New Roman"/>
          <w:sz w:val="21"/>
          <w:szCs w:val="21"/>
          <w:color w:val="auto"/>
        </w:rPr>
        <w:t>Under the Company’s Corporate Governance Guidelines, the Company’s Directors,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Officers and other insiders may not engage in any form of hedging or pledging transactions with respect to Company securities.</w:t>
      </w:r>
    </w:p>
    <w:p>
      <w:pPr>
        <w:spacing w:after="0" w:line="6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37</w:t>
      </w:r>
    </w:p>
    <w:p>
      <w:pPr>
        <w:sectPr>
          <w:pgSz w:w="11900" w:h="16838" w:orient="portrait"/>
          <w:cols w:equalWidth="0" w:num="1">
            <w:col w:w="11240"/>
          </w:cols>
          <w:pgMar w:left="320" w:top="567" w:right="339" w:bottom="1440" w:gutter="0" w:footer="0" w:header="0"/>
        </w:sectPr>
      </w:pPr>
    </w:p>
    <w:bookmarkStart w:id="40" w:name="page41"/>
    <w:bookmarkEnd w:id="40"/>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Committee Process. </w:t>
      </w:r>
      <w:r>
        <w:rPr>
          <w:rFonts w:ascii="Times New Roman" w:cs="Times New Roman" w:eastAsia="Times New Roman" w:hAnsi="Times New Roman"/>
          <w:sz w:val="22"/>
          <w:szCs w:val="22"/>
          <w:color w:val="auto"/>
        </w:rPr>
        <w:t>The Committee meets as often as necessary to perform its duties and responsibilities. During 2025,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met three times. The Committee usually meets with the CEO and, when appropriate, with other Company Officers and outside advisors. In addition, the Committee periodically meets in executive session without management present.</w:t>
      </w:r>
    </w:p>
    <w:p>
      <w:pPr>
        <w:spacing w:after="0" w:line="1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Setting of Meeting Agenda</w:t>
      </w:r>
      <w:r>
        <w:rPr>
          <w:rFonts w:ascii="Times New Roman" w:cs="Times New Roman" w:eastAsia="Times New Roman" w:hAnsi="Times New Roman"/>
          <w:sz w:val="22"/>
          <w:szCs w:val="22"/>
          <w:color w:val="auto"/>
        </w:rPr>
        <w:t>. The Committee’s meeting agenda is normally established by the Committee Chair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consultation with the CEO and the Chief Human Resources Officer. Committee members receive and review materials in advance of each meeting. Depending on the meeting’s agenda, such materials may include: financial reports regarding the Company’s performance, reports on achievement of corporate objectives, reports detailing executives’ stock ownership and stock awards and information regarding the compensation programs and compensation levels of certain peer group companies.</w:t>
      </w:r>
    </w:p>
    <w:p>
      <w:pPr>
        <w:spacing w:after="0" w:line="96"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Use of Tally Sheets</w:t>
      </w:r>
      <w:r>
        <w:rPr>
          <w:rFonts w:ascii="Times New Roman" w:cs="Times New Roman" w:eastAsia="Times New Roman" w:hAnsi="Times New Roman"/>
          <w:sz w:val="22"/>
          <w:szCs w:val="22"/>
          <w:color w:val="auto"/>
        </w:rPr>
        <w:t>. The Committee reviews tally sheets when setting annual compensation for the NEOs. These tally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sheets allow the Committee to review each NEO’s compensation on an aggregate basis and to see how a change in any one component affects each NEO’s total compensation. For 2025, the Committee used the tally sheet information to review total compensation, the current mix of compensation (e.g., cash versus equity), issues of internal pay equity, total value of Company stock held by each NEO, payouts under certain potential termination scenarios, the aggregate value of retirement benefits and interest rate sensitivity of retirement benefits.</w:t>
      </w:r>
    </w:p>
    <w:p>
      <w:pPr>
        <w:spacing w:after="0" w:line="6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Retention of Compensation Consultants</w:t>
      </w:r>
      <w:r>
        <w:rPr>
          <w:rFonts w:ascii="Times New Roman" w:cs="Times New Roman" w:eastAsia="Times New Roman" w:hAnsi="Times New Roman"/>
          <w:sz w:val="22"/>
          <w:szCs w:val="22"/>
          <w:color w:val="auto"/>
        </w:rPr>
        <w:t>. The Committee’s charter authorizes the Committee, in its sole discretion,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retain, oversee and terminate consultants to assist it in the evaluation of compensation for the NEOs. The Committee has sole authority to approve the fees and other retention terms of any such consultants.</w:t>
      </w:r>
    </w:p>
    <w:p>
      <w:pPr>
        <w:spacing w:after="0" w:line="5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 xml:space="preserve">Role of Executive Officers in Compensation Decisions. </w:t>
      </w:r>
      <w:r>
        <w:rPr>
          <w:rFonts w:ascii="Times New Roman" w:cs="Times New Roman" w:eastAsia="Times New Roman" w:hAnsi="Times New Roman"/>
          <w:sz w:val="22"/>
          <w:szCs w:val="22"/>
          <w:color w:val="auto"/>
        </w:rPr>
        <w:t>The Committee makes all decisions regarding the CEO’s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Decisions regarding the compensation of other NEOs are made by the Committee in consultation with, and upon the recommendation of, the CEO. In this regard, the CEO provides the Committee with evaluations of business goals and objectives and executive performance and recommendations regarding salary levels, equity grants and other incentive awards.</w:t>
      </w:r>
    </w:p>
    <w:p>
      <w:pPr>
        <w:spacing w:after="0" w:line="6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Executive Compensation Consultant. </w:t>
      </w:r>
      <w:r>
        <w:rPr>
          <w:rFonts w:ascii="Times New Roman" w:cs="Times New Roman" w:eastAsia="Times New Roman" w:hAnsi="Times New Roman"/>
          <w:sz w:val="22"/>
          <w:szCs w:val="22"/>
          <w:color w:val="auto"/>
        </w:rPr>
        <w:t>Pursuant to its authority under its charter to retain compensation consultants,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engaged Pay Governance LLC (“Pay Governance”), an executive compensation consulting firm, to act as its independent advisor with respect to 2025 compensation decisions.</w:t>
      </w:r>
    </w:p>
    <w:p>
      <w:pPr>
        <w:spacing w:after="0" w:line="59"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1"/>
          <w:szCs w:val="21"/>
          <w:i w:val="1"/>
          <w:iCs w:val="1"/>
          <w:color w:val="auto"/>
        </w:rPr>
        <w:t>Consultant Independence</w:t>
      </w:r>
      <w:r>
        <w:rPr>
          <w:rFonts w:ascii="Times New Roman" w:cs="Times New Roman" w:eastAsia="Times New Roman" w:hAnsi="Times New Roman"/>
          <w:sz w:val="21"/>
          <w:szCs w:val="21"/>
          <w:color w:val="auto"/>
        </w:rPr>
        <w:t>. All services provided by Pay Governance to the Committee are conducted under the direction</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and authority of the Committee, and all work performed by Pay Governance must be pre-approved by the Committee. Pay Governance does not provide any other services to the Company, and neither Pay Governance nor the individuals affiliated with Pay Governance who provide services to the Company own any shares of the Company’s Common Stock. There are no personal or business relationships between the Pay Governance consultants and any executive of the Company. In addition, there are no personal relationships between the Pay Governance consultants and any member of the Committee. Pay Governance maintains a detailed conflict of interest policy in order to ensure that compensation committees receive conflict-free advice.</w:t>
      </w:r>
    </w:p>
    <w:p>
      <w:pPr>
        <w:spacing w:after="0" w:line="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 xml:space="preserve">Use of Benchmarking. </w:t>
      </w:r>
      <w:r>
        <w:rPr>
          <w:rFonts w:ascii="Times New Roman" w:cs="Times New Roman" w:eastAsia="Times New Roman" w:hAnsi="Times New Roman"/>
          <w:sz w:val="22"/>
          <w:szCs w:val="22"/>
          <w:color w:val="auto"/>
        </w:rPr>
        <w:t>In advising the Committee regarding 2025 compensation for our NEOs, Pay Governance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developed competitive compensation levels by establishing a benchmark match for each NEO position in the competitive market. Competitive levels were developed for the following elements of pay:</w:t>
      </w:r>
    </w:p>
    <w:p>
      <w:pPr>
        <w:spacing w:after="0" w:line="63" w:lineRule="exact"/>
        <w:rPr>
          <w:sz w:val="20"/>
          <w:szCs w:val="20"/>
          <w:color w:val="auto"/>
        </w:rPr>
      </w:pPr>
    </w:p>
    <w:p>
      <w:pPr>
        <w:ind w:left="1040" w:hanging="384"/>
        <w:spacing w:after="0"/>
        <w:tabs>
          <w:tab w:leader="none" w:pos="10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base salary</w:t>
      </w:r>
    </w:p>
    <w:p>
      <w:pPr>
        <w:spacing w:after="0" w:line="9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annual incentive</w:t>
      </w:r>
    </w:p>
    <w:p>
      <w:pPr>
        <w:spacing w:after="0" w:line="9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total cash compensation (base salary plus target annual incentive)</w:t>
      </w:r>
    </w:p>
    <w:p>
      <w:pPr>
        <w:spacing w:after="0" w:line="9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long-term equity incentives</w:t>
      </w:r>
    </w:p>
    <w:p>
      <w:pPr>
        <w:spacing w:after="0" w:line="9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38</w:t>
      </w:r>
    </w:p>
    <w:p>
      <w:pPr>
        <w:sectPr>
          <w:pgSz w:w="11900" w:h="16838" w:orient="portrait"/>
          <w:cols w:equalWidth="0" w:num="1">
            <w:col w:w="11240"/>
          </w:cols>
          <w:pgMar w:left="320" w:top="567" w:right="339" w:bottom="1440" w:gutter="0" w:footer="0" w:header="0"/>
        </w:sectPr>
      </w:pPr>
    </w:p>
    <w:bookmarkStart w:id="41" w:name="page42"/>
    <w:bookmarkEnd w:id="41"/>
    <w:p>
      <w:pPr>
        <w:ind w:left="1040" w:hanging="384"/>
        <w:spacing w:after="0"/>
        <w:tabs>
          <w:tab w:leader="none" w:pos="10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total direct compensation (target total cash compensation plus the target value of long-term equity incentives)</w:t>
      </w:r>
    </w:p>
    <w:p>
      <w:pPr>
        <w:spacing w:after="0" w:line="98" w:lineRule="exact"/>
        <w:rPr>
          <w:rFonts w:ascii="Times New Roman" w:cs="Times New Roman" w:eastAsia="Times New Roman" w:hAnsi="Times New Roman"/>
          <w:sz w:val="22"/>
          <w:szCs w:val="22"/>
          <w:color w:val="auto"/>
        </w:rPr>
      </w:pPr>
    </w:p>
    <w:p>
      <w:pPr>
        <w:ind w:left="1060" w:hanging="404"/>
        <w:spacing w:after="0"/>
        <w:tabs>
          <w:tab w:leader="none" w:pos="10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annualized value of retirement benefits</w:t>
      </w:r>
    </w:p>
    <w:p>
      <w:pPr>
        <w:spacing w:after="0" w:line="98" w:lineRule="exact"/>
        <w:rPr>
          <w:rFonts w:ascii="Times New Roman" w:cs="Times New Roman" w:eastAsia="Times New Roman" w:hAnsi="Times New Roman"/>
          <w:sz w:val="22"/>
          <w:szCs w:val="22"/>
          <w:color w:val="auto"/>
        </w:rPr>
      </w:pPr>
    </w:p>
    <w:p>
      <w:pPr>
        <w:ind w:left="1040" w:hanging="384"/>
        <w:spacing w:after="0"/>
        <w:tabs>
          <w:tab w:leader="none" w:pos="104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total remuneration (target total direct compensation plus the annualized value of retirement benefits)</w:t>
      </w:r>
    </w:p>
    <w:p>
      <w:pPr>
        <w:spacing w:after="0" w:line="20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Peer Group Composition. </w:t>
      </w:r>
      <w:r>
        <w:rPr>
          <w:rFonts w:ascii="Times New Roman" w:cs="Times New Roman" w:eastAsia="Times New Roman" w:hAnsi="Times New Roman"/>
          <w:sz w:val="22"/>
          <w:szCs w:val="22"/>
          <w:color w:val="auto"/>
        </w:rPr>
        <w:t>In establishing its benchmarks for each of the NEOs with respect to 2025 compensation, Pay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Governance gathered data for 18 companies defined as the “Peer Group.” Members of the Peer Group are manufacturing companies of similar scope and are generally from the following three categories: (i) other container and packaging industry companies, (ii) current or potential suppliers to the Company and (iii) current or potential customers of the Company. The Peer Group comprised the following companies:</w:t>
      </w:r>
    </w:p>
    <w:p>
      <w:pPr>
        <w:sectPr>
          <w:pgSz w:w="11900" w:h="16838" w:orient="portrait"/>
          <w:cols w:equalWidth="0" w:num="1">
            <w:col w:w="11240"/>
          </w:cols>
          <w:pgMar w:left="320" w:top="571" w:right="339" w:bottom="1440" w:gutter="0" w:footer="0" w:header="0"/>
        </w:sectPr>
      </w:pPr>
    </w:p>
    <w:p>
      <w:pPr>
        <w:spacing w:after="0" w:line="200" w:lineRule="exact"/>
        <w:rPr>
          <w:sz w:val="20"/>
          <w:szCs w:val="20"/>
          <w:color w:val="auto"/>
        </w:rPr>
      </w:pPr>
    </w:p>
    <w:p>
      <w:pPr>
        <w:spacing w:after="0" w:line="25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9"/>
          <w:szCs w:val="19"/>
          <w:color w:val="auto"/>
        </w:rPr>
        <w:t>· Amcor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 Keurig Dr Pepper</w:t>
      </w:r>
    </w:p>
    <w:p>
      <w:pPr>
        <w:spacing w:after="0" w:line="69" w:lineRule="exact"/>
        <w:rPr>
          <w:sz w:val="20"/>
          <w:szCs w:val="20"/>
          <w:color w:val="auto"/>
        </w:rPr>
      </w:pPr>
    </w:p>
    <w:p>
      <w:pPr>
        <w:sectPr>
          <w:pgSz w:w="11900" w:h="16838" w:orient="portrait"/>
          <w:cols w:equalWidth="0" w:num="2">
            <w:col w:w="5240" w:space="720"/>
            <w:col w:w="5280"/>
          </w:cols>
          <w:pgMar w:left="320" w:top="571"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1"/>
          <w:szCs w:val="21"/>
          <w:color w:val="auto"/>
        </w:rPr>
        <w:t>· Avery Dennison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O-I Glass</w:t>
      </w:r>
    </w:p>
    <w:p>
      <w:pPr>
        <w:spacing w:after="0" w:line="69" w:lineRule="exact"/>
        <w:rPr>
          <w:sz w:val="20"/>
          <w:szCs w:val="20"/>
          <w:color w:val="auto"/>
        </w:rPr>
      </w:pPr>
    </w:p>
    <w:p>
      <w:pPr>
        <w:sectPr>
          <w:pgSz w:w="11900" w:h="16838" w:orient="portrait"/>
          <w:cols w:equalWidth="0" w:num="2">
            <w:col w:w="5240" w:space="720"/>
            <w:col w:w="5280"/>
          </w:cols>
          <w:pgMar w:left="320" w:top="571"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1"/>
          <w:szCs w:val="21"/>
          <w:color w:val="auto"/>
        </w:rPr>
        <w:t>· Ball Corporation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Packaging Corporation of America</w:t>
      </w:r>
    </w:p>
    <w:p>
      <w:pPr>
        <w:spacing w:after="0" w:line="69" w:lineRule="exact"/>
        <w:rPr>
          <w:sz w:val="20"/>
          <w:szCs w:val="20"/>
          <w:color w:val="auto"/>
        </w:rPr>
      </w:pPr>
    </w:p>
    <w:p>
      <w:pPr>
        <w:sectPr>
          <w:pgSz w:w="11900" w:h="16838" w:orient="portrait"/>
          <w:cols w:equalWidth="0" w:num="2">
            <w:col w:w="5240" w:space="720"/>
            <w:col w:w="5280"/>
          </w:cols>
          <w:pgMar w:left="320" w:top="571"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1"/>
          <w:szCs w:val="21"/>
          <w:color w:val="auto"/>
        </w:rPr>
        <w:t>· Campbell Soup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PPG Industries</w:t>
      </w:r>
    </w:p>
    <w:p>
      <w:pPr>
        <w:spacing w:after="0" w:line="69" w:lineRule="exact"/>
        <w:rPr>
          <w:sz w:val="20"/>
          <w:szCs w:val="20"/>
          <w:color w:val="auto"/>
        </w:rPr>
      </w:pPr>
    </w:p>
    <w:p>
      <w:pPr>
        <w:sectPr>
          <w:pgSz w:w="11900" w:h="16838" w:orient="portrait"/>
          <w:cols w:equalWidth="0" w:num="2">
            <w:col w:w="5240" w:space="720"/>
            <w:col w:w="5280"/>
          </w:cols>
          <w:pgMar w:left="320" w:top="571"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1"/>
          <w:szCs w:val="21"/>
          <w:color w:val="auto"/>
        </w:rPr>
        <w:t>· Colgate Palmolive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Sealed Air Corporation</w:t>
      </w:r>
    </w:p>
    <w:p>
      <w:pPr>
        <w:spacing w:after="0" w:line="69" w:lineRule="exact"/>
        <w:rPr>
          <w:sz w:val="20"/>
          <w:szCs w:val="20"/>
          <w:color w:val="auto"/>
        </w:rPr>
      </w:pPr>
    </w:p>
    <w:p>
      <w:pPr>
        <w:sectPr>
          <w:pgSz w:w="11900" w:h="16838" w:orient="portrait"/>
          <w:cols w:equalWidth="0" w:num="2">
            <w:col w:w="5240" w:space="720"/>
            <w:col w:w="5280"/>
          </w:cols>
          <w:pgMar w:left="320" w:top="571"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1"/>
          <w:szCs w:val="21"/>
          <w:color w:val="auto"/>
        </w:rPr>
        <w:t>· Eastman Chemical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Silgan Holdings</w:t>
      </w:r>
    </w:p>
    <w:p>
      <w:pPr>
        <w:spacing w:after="0" w:line="69" w:lineRule="exact"/>
        <w:rPr>
          <w:sz w:val="20"/>
          <w:szCs w:val="20"/>
          <w:color w:val="auto"/>
        </w:rPr>
      </w:pPr>
    </w:p>
    <w:p>
      <w:pPr>
        <w:sectPr>
          <w:pgSz w:w="11900" w:h="16838" w:orient="portrait"/>
          <w:cols w:equalWidth="0" w:num="2">
            <w:col w:w="5240" w:space="720"/>
            <w:col w:w="5280"/>
          </w:cols>
          <w:pgMar w:left="320" w:top="571"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1"/>
          <w:szCs w:val="21"/>
          <w:color w:val="auto"/>
        </w:rPr>
        <w:t>· Graphic Packaging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Smurfit Westrock</w:t>
      </w:r>
    </w:p>
    <w:p>
      <w:pPr>
        <w:spacing w:after="0" w:line="69" w:lineRule="exact"/>
        <w:rPr>
          <w:sz w:val="20"/>
          <w:szCs w:val="20"/>
          <w:color w:val="auto"/>
        </w:rPr>
      </w:pPr>
    </w:p>
    <w:p>
      <w:pPr>
        <w:sectPr>
          <w:pgSz w:w="11900" w:h="16838" w:orient="portrait"/>
          <w:cols w:equalWidth="0" w:num="2">
            <w:col w:w="5240" w:space="720"/>
            <w:col w:w="5280"/>
          </w:cols>
          <w:pgMar w:left="320" w:top="571"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19"/>
          <w:szCs w:val="19"/>
          <w:color w:val="auto"/>
        </w:rPr>
        <w:t>· Greif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Sonoco Products Company</w:t>
      </w:r>
    </w:p>
    <w:p>
      <w:pPr>
        <w:spacing w:after="0" w:line="69" w:lineRule="exact"/>
        <w:rPr>
          <w:sz w:val="20"/>
          <w:szCs w:val="20"/>
          <w:color w:val="auto"/>
        </w:rPr>
      </w:pPr>
    </w:p>
    <w:p>
      <w:pPr>
        <w:sectPr>
          <w:pgSz w:w="11900" w:h="16838" w:orient="portrait"/>
          <w:cols w:equalWidth="0" w:num="2">
            <w:col w:w="5240" w:space="720"/>
            <w:col w:w="5280"/>
          </w:cols>
          <w:pgMar w:left="320" w:top="571" w:right="339" w:bottom="1440" w:gutter="0" w:footer="0" w:header="0"/>
          <w:type w:val="continuous"/>
        </w:sectPr>
      </w:pPr>
    </w:p>
    <w:p>
      <w:pPr>
        <w:ind w:left="1020"/>
        <w:spacing w:after="0"/>
        <w:rPr>
          <w:sz w:val="20"/>
          <w:szCs w:val="20"/>
          <w:color w:val="auto"/>
        </w:rPr>
      </w:pPr>
      <w:r>
        <w:rPr>
          <w:rFonts w:ascii="Times New Roman" w:cs="Times New Roman" w:eastAsia="Times New Roman" w:hAnsi="Times New Roman"/>
          <w:sz w:val="21"/>
          <w:szCs w:val="21"/>
          <w:color w:val="auto"/>
        </w:rPr>
        <w:t>· International Paper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 The Sherwin-Williams Company</w:t>
      </w:r>
    </w:p>
    <w:p>
      <w:pPr>
        <w:spacing w:after="0" w:line="200" w:lineRule="exact"/>
        <w:rPr>
          <w:sz w:val="20"/>
          <w:szCs w:val="20"/>
          <w:color w:val="auto"/>
        </w:rPr>
      </w:pPr>
    </w:p>
    <w:p>
      <w:pPr>
        <w:sectPr>
          <w:pgSz w:w="11900" w:h="16838" w:orient="portrait"/>
          <w:cols w:equalWidth="0" w:num="2">
            <w:col w:w="5240" w:space="720"/>
            <w:col w:w="5280"/>
          </w:cols>
          <w:pgMar w:left="320" w:top="571" w:right="339" w:bottom="1440" w:gutter="0" w:footer="0" w:header="0"/>
          <w:type w:val="continuous"/>
        </w:sectPr>
      </w:pPr>
    </w:p>
    <w:p>
      <w:pPr>
        <w:spacing w:after="0" w:line="1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To provide a broader frame of reference, Pay Governance also analyzed each NEO position against general industry data.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Specific benchmark levels were developed using regression analysis to size-adjust the general industry data.</w:t>
      </w:r>
    </w:p>
    <w:p>
      <w:pPr>
        <w:spacing w:after="0" w:line="17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Compensation Strategy for CEO</w:t>
      </w:r>
      <w:r>
        <w:rPr>
          <w:rFonts w:ascii="Times New Roman" w:cs="Times New Roman" w:eastAsia="Times New Roman" w:hAnsi="Times New Roman"/>
          <w:sz w:val="22"/>
          <w:szCs w:val="22"/>
          <w:color w:val="auto"/>
        </w:rPr>
        <w:t>. The evaluation of the CEO’s performance and the setting of his compensation is one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the fundamental duties of the Committee. In determining the CEO’s compensation for 2025, the Committee evaluated the CEO’s performance and the Company’s performance in the prior year and since Mr. Donahue became CEO in 2016. In evaluating the CEO’s performance, the Committee considered the Company’s overall financial, operational and strategic results. In addition, the Committee continued to focus on the Company’s development during Mr. Donahue’s tenure in several key areas that the Committee believes are essential to increase shareholder value, including:</w:t>
      </w:r>
    </w:p>
    <w:p>
      <w:pPr>
        <w:spacing w:after="0" w:line="188" w:lineRule="exact"/>
        <w:rPr>
          <w:sz w:val="20"/>
          <w:szCs w:val="20"/>
          <w:color w:val="auto"/>
        </w:rPr>
      </w:pPr>
    </w:p>
    <w:p>
      <w:pPr>
        <w:jc w:val="both"/>
        <w:ind w:left="660" w:hanging="328"/>
        <w:spacing w:after="0" w:line="202" w:lineRule="auto"/>
        <w:tabs>
          <w:tab w:leader="none" w:pos="660" w:val="left"/>
        </w:tabs>
        <w:numPr>
          <w:ilvl w:val="0"/>
          <w:numId w:val="37"/>
        </w:numPr>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22"/>
          <w:szCs w:val="22"/>
          <w:i w:val="1"/>
          <w:iCs w:val="1"/>
          <w:color w:val="auto"/>
        </w:rPr>
        <w:t xml:space="preserve">Strong operating performance. </w:t>
      </w:r>
      <w:r>
        <w:rPr>
          <w:rFonts w:ascii="Times New Roman" w:cs="Times New Roman" w:eastAsia="Times New Roman" w:hAnsi="Times New Roman"/>
          <w:sz w:val="22"/>
          <w:szCs w:val="22"/>
          <w:color w:val="auto"/>
        </w:rPr>
        <w:t>For 2025, the Company had reportable Segment Income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of $1.78 billion –</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the highest in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u w:val="single" w:color="auto"/>
          <w:color w:val="auto"/>
        </w:rPr>
        <w:t>the Company’s history and the third record-breaking year in a row</w:t>
      </w:r>
      <w:r>
        <w:rPr>
          <w:rFonts w:ascii="Times New Roman" w:cs="Times New Roman" w:eastAsia="Times New Roman" w:hAnsi="Times New Roman"/>
          <w:sz w:val="22"/>
          <w:szCs w:val="22"/>
          <w:color w:val="auto"/>
        </w:rPr>
        <w:t>. Several factors contributed to the Segment Income result, including volume growth in the European Division’s beverage can business and the North American tinplate business along with operational improvements in the Americas Division’s beverage can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17830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98" w:lineRule="exact"/>
        <w:rPr>
          <w:sz w:val="20"/>
          <w:szCs w:val="20"/>
          <w:color w:val="auto"/>
        </w:rPr>
      </w:pPr>
    </w:p>
    <w:p>
      <w:pPr>
        <w:ind w:firstLine="8"/>
        <w:spacing w:after="0" w:line="189" w:lineRule="auto"/>
        <w:tabs>
          <w:tab w:leader="none" w:pos="167" w:val="left"/>
        </w:tabs>
        <w:numPr>
          <w:ilvl w:val="0"/>
          <w:numId w:val="3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A reconciliation of reportable Segment Income to Income before Income Taxes can be found on page 86 of the Company’s Annual Report on Form 10-K for the fiscal year ended December 31, 2025.</w:t>
      </w:r>
    </w:p>
    <w:p>
      <w:pPr>
        <w:spacing w:after="0" w:line="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39</w:t>
      </w:r>
    </w:p>
    <w:p>
      <w:pPr>
        <w:sectPr>
          <w:pgSz w:w="11900" w:h="16838" w:orient="portrait"/>
          <w:cols w:equalWidth="0" w:num="1">
            <w:col w:w="11240"/>
          </w:cols>
          <w:pgMar w:left="320" w:top="571" w:right="339" w:bottom="1440" w:gutter="0" w:footer="0" w:header="0"/>
          <w:type w:val="continuous"/>
        </w:sectPr>
      </w:pPr>
    </w:p>
    <w:bookmarkStart w:id="42" w:name="page43"/>
    <w:bookmarkEnd w:id="42"/>
    <w:p>
      <w:pPr>
        <w:jc w:val="both"/>
        <w:ind w:left="660" w:hanging="328"/>
        <w:spacing w:after="0" w:line="238" w:lineRule="auto"/>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Strong Cash Flow/Return to Shareholders. </w:t>
      </w:r>
      <w:r>
        <w:rPr>
          <w:rFonts w:ascii="Times New Roman" w:cs="Times New Roman" w:eastAsia="Times New Roman" w:hAnsi="Times New Roman"/>
          <w:sz w:val="22"/>
          <w:szCs w:val="22"/>
          <w:color w:val="auto"/>
        </w:rPr>
        <w:t>Importantly, the Company has converted its increased canmaking capacity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higher shipments of beverage cans into expanding margins and cash flows, generating </w:t>
      </w:r>
      <w:r>
        <w:rPr>
          <w:rFonts w:ascii="Times New Roman" w:cs="Times New Roman" w:eastAsia="Times New Roman" w:hAnsi="Times New Roman"/>
          <w:sz w:val="22"/>
          <w:szCs w:val="22"/>
          <w:u w:val="single" w:color="auto"/>
          <w:color w:val="auto"/>
        </w:rPr>
        <w:t>record operating cash flow</w:t>
      </w:r>
      <w:r>
        <w:rPr>
          <w:rFonts w:ascii="Times New Roman" w:cs="Times New Roman" w:eastAsia="Times New Roman" w:hAnsi="Times New Roman"/>
          <w:sz w:val="22"/>
          <w:szCs w:val="22"/>
          <w:color w:val="auto"/>
        </w:rPr>
        <w:t xml:space="preserve"> of $1.5 billion that helped to reduce total debt by $0.6 billion while returning $0.6 billion to shareholders in the form of dividends and share repurchases in 2025. Since 2021, the Company has returned more than $3.0 billion to Shareholders and reduced shares outstanding by 16.8%.</w:t>
      </w:r>
    </w:p>
    <w:p>
      <w:pPr>
        <w:spacing w:after="0" w:line="136" w:lineRule="exact"/>
        <w:rPr>
          <w:rFonts w:ascii="Times New Roman" w:cs="Times New Roman" w:eastAsia="Times New Roman" w:hAnsi="Times New Roman"/>
          <w:sz w:val="22"/>
          <w:szCs w:val="22"/>
          <w:color w:val="auto"/>
        </w:rPr>
      </w:pPr>
    </w:p>
    <w:p>
      <w:pPr>
        <w:jc w:val="both"/>
        <w:ind w:left="660" w:hanging="328"/>
        <w:spacing w:after="0" w:line="246" w:lineRule="auto"/>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Investment to Support Growth</w:t>
      </w:r>
      <w:r>
        <w:rPr>
          <w:rFonts w:ascii="Times New Roman" w:cs="Times New Roman" w:eastAsia="Times New Roman" w:hAnsi="Times New Roman"/>
          <w:sz w:val="22"/>
          <w:szCs w:val="22"/>
          <w:color w:val="auto"/>
        </w:rPr>
        <w:t>. The Company has invested almost $3.2 billion since 2021 in capital projects with a focus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on growth and operational improvements across its portfolio of businesses. These initiatives have resulted in a 44% increase in Segment Income since 2020, and record operating cash flow in 2025.</w:t>
      </w:r>
    </w:p>
    <w:p>
      <w:pPr>
        <w:spacing w:after="0" w:line="140" w:lineRule="exact"/>
        <w:rPr>
          <w:rFonts w:ascii="Times New Roman" w:cs="Times New Roman" w:eastAsia="Times New Roman" w:hAnsi="Times New Roman"/>
          <w:sz w:val="22"/>
          <w:szCs w:val="22"/>
          <w:color w:val="auto"/>
        </w:rPr>
      </w:pPr>
    </w:p>
    <w:p>
      <w:pPr>
        <w:jc w:val="both"/>
        <w:ind w:left="660" w:hanging="328"/>
        <w:spacing w:after="0" w:line="241" w:lineRule="auto"/>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Focused on the Long-Term</w:t>
      </w:r>
      <w:r>
        <w:rPr>
          <w:rFonts w:ascii="Times New Roman" w:cs="Times New Roman" w:eastAsia="Times New Roman" w:hAnsi="Times New Roman"/>
          <w:sz w:val="22"/>
          <w:szCs w:val="22"/>
          <w:color w:val="auto"/>
        </w:rPr>
        <w:t>. The Company is committed to a strong balance sheet and focused on the long-term health and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success of the Company. Since 2021, the Company has de-risked the balance sheet by annuitizing approximately $4 billion in pension liabilities. It has invested $3.2 billion in capital projects to support future growth and strengthen operations while reducing net debt by $2.2 billion.</w:t>
      </w:r>
    </w:p>
    <w:p>
      <w:pPr>
        <w:spacing w:after="0" w:line="131" w:lineRule="exact"/>
        <w:rPr>
          <w:rFonts w:ascii="Times New Roman" w:cs="Times New Roman" w:eastAsia="Times New Roman" w:hAnsi="Times New Roman"/>
          <w:sz w:val="22"/>
          <w:szCs w:val="22"/>
          <w:color w:val="auto"/>
        </w:rPr>
      </w:pPr>
    </w:p>
    <w:p>
      <w:pPr>
        <w:jc w:val="both"/>
        <w:ind w:left="660" w:hanging="328"/>
        <w:spacing w:after="0" w:line="227" w:lineRule="auto"/>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Sustainability</w:t>
      </w:r>
      <w:r>
        <w:rPr>
          <w:rFonts w:ascii="Times New Roman" w:cs="Times New Roman" w:eastAsia="Times New Roman" w:hAnsi="Times New Roman"/>
          <w:sz w:val="22"/>
          <w:szCs w:val="22"/>
          <w:color w:val="auto"/>
        </w:rPr>
        <w:t>. Under Mr. Donahue’s leadership, the Company has strengthened its commitment to reduce its impact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 xml:space="preserve">the environment and the communities in which it operates by, among other things, efficiently managing and conserving resources and bringing innovation to the market. The Company has reached the halfway point of its 10-year comprehensive </w:t>
      </w:r>
      <w:r>
        <w:rPr>
          <w:rFonts w:ascii="Times New Roman" w:cs="Times New Roman" w:eastAsia="Times New Roman" w:hAnsi="Times New Roman"/>
          <w:sz w:val="22"/>
          <w:szCs w:val="22"/>
          <w:b w:val="1"/>
          <w:bCs w:val="1"/>
          <w:color w:val="auto"/>
        </w:rPr>
        <w:t>Twenty</w:t>
      </w:r>
      <w:r>
        <w:rPr>
          <w:rFonts w:ascii="Times New Roman" w:cs="Times New Roman" w:eastAsia="Times New Roman" w:hAnsi="Times New Roman"/>
          <w:sz w:val="22"/>
          <w:szCs w:val="22"/>
          <w:color w:val="auto"/>
        </w:rPr>
        <w:t>by</w:t>
      </w:r>
      <w:r>
        <w:rPr>
          <w:rFonts w:ascii="Times New Roman" w:cs="Times New Roman" w:eastAsia="Times New Roman" w:hAnsi="Times New Roman"/>
          <w:sz w:val="22"/>
          <w:szCs w:val="22"/>
          <w:b w:val="1"/>
          <w:bCs w:val="1"/>
          <w:color w:val="auto"/>
        </w:rPr>
        <w:t>30</w:t>
      </w:r>
      <w:r>
        <w:rPr>
          <w:rFonts w:ascii="Times New Roman" w:cs="Times New Roman" w:eastAsia="Times New Roman" w:hAnsi="Times New Roman"/>
          <w:sz w:val="35"/>
          <w:szCs w:val="35"/>
          <w:color w:val="auto"/>
          <w:vertAlign w:val="superscript"/>
        </w:rPr>
        <w:t>TM</w:t>
      </w:r>
      <w:r>
        <w:rPr>
          <w:rFonts w:ascii="Times New Roman" w:cs="Times New Roman" w:eastAsia="Times New Roman" w:hAnsi="Times New Roman"/>
          <w:sz w:val="22"/>
          <w:szCs w:val="22"/>
          <w:color w:val="auto"/>
        </w:rPr>
        <w:t xml:space="preserve"> sustainability agenda, which distills the material aspects of the Company’s sustainability strategy into 20 measurable goals to be achieved by 2030 or sooner. The Company will be reporting its 2025 results in the upcoming 2025 Sustainability Report. In 2024, Crown has achieved a 26% reduction in Scope 1 and Scope 2 GHG emissions – 51% of the way toward the Company’s goal of a 50% combined reduction by 2030 – and sourced 37% of its total electricity used in 2024 from renewable resources. Water consumption has also decreased by 13% compared to a 2019 baseline. On a wider scale, Crown has taken several steps to advance progress on increasing metals recycling rates and to support industry decarbonization. The Company’s efforts include: participating in panel discussions at New York Climate Week, CRU World Aluminium Conference and at the North-America Green Aluminium Summit in 2025; continuing to support the extension of the “Every Can Counts” recycling initiative globally. In acknowledgement of its continued commitments to sustainability, Crown earned multiple honors in 2025, including earning a spot on America’s Best Employers in 2025 and again in 2026 by </w:t>
      </w:r>
      <w:r>
        <w:rPr>
          <w:rFonts w:ascii="Times New Roman" w:cs="Times New Roman" w:eastAsia="Times New Roman" w:hAnsi="Times New Roman"/>
          <w:sz w:val="22"/>
          <w:szCs w:val="22"/>
          <w:i w:val="1"/>
          <w:iCs w:val="1"/>
          <w:color w:val="auto"/>
        </w:rPr>
        <w:t>Forbes</w:t>
      </w:r>
      <w:r>
        <w:rPr>
          <w:rFonts w:ascii="Times New Roman" w:cs="Times New Roman" w:eastAsia="Times New Roman" w:hAnsi="Times New Roman"/>
          <w:sz w:val="22"/>
          <w:szCs w:val="22"/>
          <w:color w:val="auto"/>
        </w:rPr>
        <w:t xml:space="preserve">; ranking among </w:t>
      </w:r>
      <w:r>
        <w:rPr>
          <w:rFonts w:ascii="Times New Roman" w:cs="Times New Roman" w:eastAsia="Times New Roman" w:hAnsi="Times New Roman"/>
          <w:sz w:val="22"/>
          <w:szCs w:val="22"/>
          <w:i w:val="1"/>
          <w:iCs w:val="1"/>
          <w:color w:val="auto"/>
        </w:rPr>
        <w:t>Forbes’</w:t>
      </w:r>
      <w:r>
        <w:rPr>
          <w:rFonts w:ascii="Times New Roman" w:cs="Times New Roman" w:eastAsia="Times New Roman" w:hAnsi="Times New Roman"/>
          <w:sz w:val="22"/>
          <w:szCs w:val="22"/>
          <w:color w:val="auto"/>
        </w:rPr>
        <w:t xml:space="preserve"> Net Zero Leaders 2025 and again landing on the list of America’s Most Responsible Companies 2026 by Newsweek.</w:t>
      </w:r>
    </w:p>
    <w:p>
      <w:pPr>
        <w:spacing w:after="0" w:line="157" w:lineRule="exact"/>
        <w:rPr>
          <w:sz w:val="20"/>
          <w:szCs w:val="20"/>
          <w:color w:val="auto"/>
        </w:rPr>
      </w:pPr>
    </w:p>
    <w:p>
      <w:pPr>
        <w:ind w:firstLine="648"/>
        <w:spacing w:after="0" w:line="208" w:lineRule="auto"/>
        <w:rPr>
          <w:sz w:val="20"/>
          <w:szCs w:val="20"/>
          <w:color w:val="auto"/>
        </w:rPr>
      </w:pPr>
      <w:r>
        <w:rPr>
          <w:rFonts w:ascii="Times New Roman" w:cs="Times New Roman" w:eastAsia="Times New Roman" w:hAnsi="Times New Roman"/>
          <w:sz w:val="22"/>
          <w:szCs w:val="22"/>
          <w:i w:val="1"/>
          <w:iCs w:val="1"/>
          <w:color w:val="auto"/>
        </w:rPr>
        <w:t>CEO Target Compensation</w:t>
      </w:r>
      <w:r>
        <w:rPr>
          <w:rFonts w:ascii="Times New Roman" w:cs="Times New Roman" w:eastAsia="Times New Roman" w:hAnsi="Times New Roman"/>
          <w:sz w:val="22"/>
          <w:szCs w:val="22"/>
          <w:b w:val="1"/>
          <w:bCs w:val="1"/>
          <w:color w:val="auto"/>
        </w:rPr>
        <w: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Committee uses the 50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percentile of the Peer Group’s target total direct compensation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 a guidepost in determining CEO compensation.</w:t>
      </w:r>
    </w:p>
    <w:p>
      <w:pPr>
        <w:spacing w:after="0" w:line="15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specific components of Mr. Donahue’s 2025 compensation were set as follows:</w:t>
      </w:r>
    </w:p>
    <w:p>
      <w:pPr>
        <w:spacing w:after="0" w:line="213" w:lineRule="exact"/>
        <w:rPr>
          <w:sz w:val="20"/>
          <w:szCs w:val="20"/>
          <w:color w:val="auto"/>
        </w:rPr>
      </w:pPr>
    </w:p>
    <w:tbl>
      <w:tblPr>
        <w:tblLayout w:type="fixed"/>
        <w:tblInd w:w="1150" w:type="dxa"/>
        <w:tblCellMar>
          <w:top w:w="0" w:type="dxa"/>
          <w:left w:w="0" w:type="dxa"/>
          <w:bottom w:w="0" w:type="dxa"/>
          <w:right w:w="0" w:type="dxa"/>
        </w:tblCellMar>
      </w:tblPr>
      <w:tr>
        <w:trPr>
          <w:trHeight w:val="344"/>
        </w:trPr>
        <w:tc>
          <w:tcPr>
            <w:tcW w:w="6020" w:type="dxa"/>
            <w:vAlign w:val="bottom"/>
            <w:tcBorders>
              <w:top w:val="single" w:sz="8" w:color="auto"/>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Base Salary</w:t>
            </w:r>
          </w:p>
        </w:tc>
        <w:tc>
          <w:tcPr>
            <w:tcW w:w="2960" w:type="dxa"/>
            <w:vAlign w:val="bottom"/>
            <w:tcBorders>
              <w:top w:val="single" w:sz="8" w:color="auto"/>
              <w:right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rPr>
              <w:t>$1,450,000</w:t>
            </w:r>
          </w:p>
        </w:tc>
      </w:tr>
      <w:tr>
        <w:trPr>
          <w:trHeight w:val="102"/>
        </w:trPr>
        <w:tc>
          <w:tcPr>
            <w:tcW w:w="6020" w:type="dxa"/>
            <w:vAlign w:val="bottom"/>
            <w:tcBorders>
              <w:left w:val="single" w:sz="8" w:color="auto"/>
              <w:bottom w:val="single" w:sz="8" w:color="auto"/>
              <w:right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r>
      <w:tr>
        <w:trPr>
          <w:trHeight w:val="323"/>
        </w:trPr>
        <w:tc>
          <w:tcPr>
            <w:tcW w:w="6020" w:type="dxa"/>
            <w:vAlign w:val="bottom"/>
            <w:tcBorders>
              <w:left w:val="single" w:sz="8" w:color="auto"/>
              <w:right w:val="single" w:sz="8" w:color="auto"/>
            </w:tcBorders>
            <w:shd w:val="clear" w:color="auto" w:fill="D9D9D9"/>
          </w:tcPr>
          <w:p>
            <w:pPr>
              <w:ind w:left="20"/>
              <w:spacing w:after="0"/>
              <w:rPr>
                <w:sz w:val="20"/>
                <w:szCs w:val="20"/>
                <w:color w:val="auto"/>
              </w:rPr>
            </w:pPr>
            <w:r>
              <w:rPr>
                <w:rFonts w:ascii="Times New Roman" w:cs="Times New Roman" w:eastAsia="Times New Roman" w:hAnsi="Times New Roman"/>
                <w:sz w:val="20"/>
                <w:szCs w:val="20"/>
                <w:color w:val="auto"/>
              </w:rPr>
              <w:t>Target Annual Incentive</w:t>
            </w:r>
          </w:p>
        </w:tc>
        <w:tc>
          <w:tcPr>
            <w:tcW w:w="2960" w:type="dxa"/>
            <w:vAlign w:val="bottom"/>
            <w:tcBorders>
              <w:right w:val="single" w:sz="8" w:color="auto"/>
            </w:tcBorders>
            <w:shd w:val="clear" w:color="auto" w:fill="D9D9D9"/>
          </w:tcPr>
          <w:p>
            <w:pPr>
              <w:jc w:val="right"/>
              <w:ind w:right="661"/>
              <w:spacing w:after="0"/>
              <w:rPr>
                <w:sz w:val="20"/>
                <w:szCs w:val="20"/>
                <w:color w:val="auto"/>
              </w:rPr>
            </w:pPr>
            <w:r>
              <w:rPr>
                <w:rFonts w:ascii="Times New Roman" w:cs="Times New Roman" w:eastAsia="Times New Roman" w:hAnsi="Times New Roman"/>
                <w:sz w:val="20"/>
                <w:szCs w:val="20"/>
                <w:color w:val="auto"/>
              </w:rPr>
              <w:t>2,102,500</w:t>
            </w:r>
          </w:p>
        </w:tc>
      </w:tr>
      <w:tr>
        <w:trPr>
          <w:trHeight w:val="102"/>
        </w:trPr>
        <w:tc>
          <w:tcPr>
            <w:tcW w:w="602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960" w:type="dxa"/>
            <w:vAlign w:val="bottom"/>
            <w:tcBorders>
              <w:bottom w:val="single" w:sz="8" w:color="auto"/>
              <w:right w:val="single" w:sz="8" w:color="auto"/>
            </w:tcBorders>
            <w:shd w:val="clear" w:color="auto" w:fill="D9D9D9"/>
          </w:tcPr>
          <w:p>
            <w:pPr>
              <w:spacing w:after="0"/>
              <w:rPr>
                <w:sz w:val="8"/>
                <w:szCs w:val="8"/>
                <w:color w:val="auto"/>
              </w:rPr>
            </w:pPr>
          </w:p>
        </w:tc>
      </w:tr>
      <w:tr>
        <w:trPr>
          <w:trHeight w:val="323"/>
        </w:trPr>
        <w:tc>
          <w:tcPr>
            <w:tcW w:w="602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20"/>
                <w:szCs w:val="20"/>
                <w:color w:val="auto"/>
              </w:rPr>
              <w:t>Target Long-Term Equity Incentive</w:t>
            </w:r>
          </w:p>
        </w:tc>
        <w:tc>
          <w:tcPr>
            <w:tcW w:w="2960" w:type="dxa"/>
            <w:vAlign w:val="bottom"/>
            <w:tcBorders>
              <w:right w:val="single" w:sz="8" w:color="auto"/>
            </w:tcBorders>
          </w:tcPr>
          <w:p>
            <w:pPr>
              <w:jc w:val="right"/>
              <w:ind w:right="661"/>
              <w:spacing w:after="0"/>
              <w:rPr>
                <w:sz w:val="20"/>
                <w:szCs w:val="20"/>
                <w:color w:val="auto"/>
              </w:rPr>
            </w:pPr>
            <w:r>
              <w:rPr>
                <w:rFonts w:ascii="Times New Roman" w:cs="Times New Roman" w:eastAsia="Times New Roman" w:hAnsi="Times New Roman"/>
                <w:sz w:val="20"/>
                <w:szCs w:val="20"/>
                <w:color w:val="auto"/>
              </w:rPr>
              <w:t>8,627,475</w:t>
            </w:r>
          </w:p>
        </w:tc>
      </w:tr>
      <w:tr>
        <w:trPr>
          <w:trHeight w:val="102"/>
        </w:trPr>
        <w:tc>
          <w:tcPr>
            <w:tcW w:w="6020" w:type="dxa"/>
            <w:vAlign w:val="bottom"/>
            <w:tcBorders>
              <w:left w:val="single" w:sz="8" w:color="auto"/>
              <w:bottom w:val="single" w:sz="8" w:color="auto"/>
              <w:right w:val="single" w:sz="8" w:color="auto"/>
            </w:tcBorders>
          </w:tcPr>
          <w:p>
            <w:pPr>
              <w:spacing w:after="0"/>
              <w:rPr>
                <w:sz w:val="8"/>
                <w:szCs w:val="8"/>
                <w:color w:val="auto"/>
              </w:rPr>
            </w:pPr>
          </w:p>
        </w:tc>
        <w:tc>
          <w:tcPr>
            <w:tcW w:w="2960" w:type="dxa"/>
            <w:vAlign w:val="bottom"/>
            <w:tcBorders>
              <w:bottom w:val="single" w:sz="8" w:color="auto"/>
              <w:right w:val="single" w:sz="8" w:color="auto"/>
            </w:tcBorders>
          </w:tcPr>
          <w:p>
            <w:pPr>
              <w:spacing w:after="0"/>
              <w:rPr>
                <w:sz w:val="8"/>
                <w:szCs w:val="8"/>
                <w:color w:val="auto"/>
              </w:rPr>
            </w:pPr>
          </w:p>
        </w:tc>
      </w:tr>
      <w:tr>
        <w:trPr>
          <w:trHeight w:val="323"/>
        </w:trPr>
        <w:tc>
          <w:tcPr>
            <w:tcW w:w="60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TARGET TOTAL DIRECT COMPENSATION</w:t>
            </w:r>
          </w:p>
        </w:tc>
        <w:tc>
          <w:tcPr>
            <w:tcW w:w="2960" w:type="dxa"/>
            <w:vAlign w:val="bottom"/>
            <w:tcBorders>
              <w:right w:val="single" w:sz="8" w:color="auto"/>
            </w:tcBorders>
            <w:shd w:val="clear" w:color="auto" w:fill="D9D9D9"/>
          </w:tcPr>
          <w:p>
            <w:pPr>
              <w:jc w:val="right"/>
              <w:ind w:right="661"/>
              <w:spacing w:after="0"/>
              <w:rPr>
                <w:sz w:val="20"/>
                <w:szCs w:val="20"/>
                <w:color w:val="auto"/>
              </w:rPr>
            </w:pPr>
            <w:r>
              <w:rPr>
                <w:rFonts w:ascii="Times New Roman" w:cs="Times New Roman" w:eastAsia="Times New Roman" w:hAnsi="Times New Roman"/>
                <w:sz w:val="20"/>
                <w:szCs w:val="20"/>
                <w:color w:val="auto"/>
              </w:rPr>
              <w:t>12,179,975</w:t>
            </w:r>
          </w:p>
        </w:tc>
      </w:tr>
      <w:tr>
        <w:trPr>
          <w:trHeight w:val="102"/>
        </w:trPr>
        <w:tc>
          <w:tcPr>
            <w:tcW w:w="602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2960" w:type="dxa"/>
            <w:vAlign w:val="bottom"/>
            <w:tcBorders>
              <w:bottom w:val="single" w:sz="8" w:color="auto"/>
              <w:right w:val="single" w:sz="8" w:color="auto"/>
            </w:tcBorders>
            <w:shd w:val="clear" w:color="auto" w:fill="D9D9D9"/>
          </w:tcPr>
          <w:p>
            <w:pPr>
              <w:spacing w:after="0"/>
              <w:rPr>
                <w:sz w:val="8"/>
                <w:szCs w:val="8"/>
                <w:color w:val="auto"/>
              </w:rPr>
            </w:pPr>
          </w:p>
        </w:tc>
      </w:tr>
    </w:tbl>
    <w:p>
      <w:pPr>
        <w:spacing w:after="0" w:line="81"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40</w:t>
      </w:r>
    </w:p>
    <w:p>
      <w:pPr>
        <w:sectPr>
          <w:pgSz w:w="11900" w:h="16838" w:orient="portrait"/>
          <w:cols w:equalWidth="0" w:num="1">
            <w:col w:w="11240"/>
          </w:cols>
          <w:pgMar w:left="320" w:top="675" w:right="339" w:bottom="1440" w:gutter="0" w:footer="0" w:header="0"/>
        </w:sectPr>
      </w:pPr>
    </w:p>
    <w:bookmarkStart w:id="43" w:name="page44"/>
    <w:bookmarkEnd w:id="43"/>
    <w:p>
      <w:pPr>
        <w:ind w:firstLine="648"/>
        <w:spacing w:after="0" w:line="258" w:lineRule="auto"/>
        <w:rPr>
          <w:sz w:val="20"/>
          <w:szCs w:val="20"/>
          <w:color w:val="auto"/>
        </w:rPr>
      </w:pPr>
      <w:r>
        <w:rPr>
          <w:rFonts w:ascii="Times New Roman" w:cs="Times New Roman" w:eastAsia="Times New Roman" w:hAnsi="Times New Roman"/>
          <w:sz w:val="22"/>
          <w:szCs w:val="22"/>
          <w:color w:val="auto"/>
        </w:rPr>
        <w:t>In conjunction with the Committee’s emphasis on stock-based compensation, approximately 71% of the CEO’s 2025 target total direct compensation was in the form of Company Common Stock.</w:t>
      </w:r>
    </w:p>
    <w:p>
      <w:pPr>
        <w:spacing w:after="0" w:line="154" w:lineRule="exact"/>
        <w:rPr>
          <w:sz w:val="20"/>
          <w:szCs w:val="20"/>
          <w:color w:val="auto"/>
        </w:rPr>
      </w:pPr>
    </w:p>
    <w:p>
      <w:pPr>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Compensation Strategy for NEOs other than the CEO. </w:t>
      </w:r>
      <w:r>
        <w:rPr>
          <w:rFonts w:ascii="Times New Roman" w:cs="Times New Roman" w:eastAsia="Times New Roman" w:hAnsi="Times New Roman"/>
          <w:sz w:val="22"/>
          <w:szCs w:val="22"/>
          <w:color w:val="auto"/>
        </w:rPr>
        <w:t>For 2025, the Committee generally continued to employ a</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compensation strategy for NEOs (excluding the CEO) based upon market conditions:</w:t>
      </w:r>
    </w:p>
    <w:p>
      <w:pPr>
        <w:spacing w:after="0" w:line="154" w:lineRule="exact"/>
        <w:rPr>
          <w:sz w:val="20"/>
          <w:szCs w:val="20"/>
          <w:color w:val="auto"/>
        </w:rPr>
      </w:pPr>
    </w:p>
    <w:p>
      <w:pPr>
        <w:ind w:left="1040" w:right="20" w:hanging="384"/>
        <w:spacing w:after="0" w:line="258" w:lineRule="auto"/>
        <w:tabs>
          <w:tab w:leader="none" w:pos="10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Pay levels were evaluated relative to the Peer Group as the primary market reference point. In addition, general industry data was reviewed as an additional market reference and to ensure robust competitive data.</w:t>
      </w:r>
    </w:p>
    <w:p>
      <w:pPr>
        <w:spacing w:after="0" w:line="158" w:lineRule="exact"/>
        <w:rPr>
          <w:rFonts w:ascii="Times New Roman" w:cs="Times New Roman" w:eastAsia="Times New Roman" w:hAnsi="Times New Roman"/>
          <w:sz w:val="22"/>
          <w:szCs w:val="22"/>
          <w:color w:val="auto"/>
        </w:rPr>
      </w:pPr>
    </w:p>
    <w:p>
      <w:pPr>
        <w:jc w:val="both"/>
        <w:ind w:left="1040" w:hanging="384"/>
        <w:spacing w:after="0" w:line="204" w:lineRule="auto"/>
        <w:tabs>
          <w:tab w:leader="none" w:pos="1040"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Target total cash compensation and target total direct compensation levels were set towards the middle range of the Peer Group. The Committee used the 50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percentile of the Peer Group’s target total cash compensation and target total direct compensation as a market check in determining compensation. However, the 50</w:t>
      </w:r>
      <w:r>
        <w:rPr>
          <w:rFonts w:ascii="Times New Roman" w:cs="Times New Roman" w:eastAsia="Times New Roman" w:hAnsi="Times New Roman"/>
          <w:sz w:val="35"/>
          <w:szCs w:val="35"/>
          <w:color w:val="auto"/>
          <w:vertAlign w:val="superscript"/>
        </w:rPr>
        <w:t>th</w:t>
      </w:r>
      <w:r>
        <w:rPr>
          <w:rFonts w:ascii="Times New Roman" w:cs="Times New Roman" w:eastAsia="Times New Roman" w:hAnsi="Times New Roman"/>
          <w:sz w:val="22"/>
          <w:szCs w:val="22"/>
          <w:color w:val="auto"/>
        </w:rPr>
        <w:t xml:space="preserve"> percentile is a guidepost and not an absolute target.</w:t>
      </w:r>
    </w:p>
    <w:p>
      <w:pPr>
        <w:spacing w:after="0" w:line="17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Components of Compensation. </w:t>
      </w:r>
      <w:r>
        <w:rPr>
          <w:rFonts w:ascii="Times New Roman" w:cs="Times New Roman" w:eastAsia="Times New Roman" w:hAnsi="Times New Roman"/>
          <w:sz w:val="22"/>
          <w:szCs w:val="22"/>
          <w:color w:val="auto"/>
        </w:rPr>
        <w:t>For 2025, the principal components of compensation for NEOs were base salary, annual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incentive bonus, long-term equity incentives, retirement benefits and perquisites.</w:t>
      </w:r>
    </w:p>
    <w:p>
      <w:pPr>
        <w:spacing w:after="0" w:line="15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b w:val="1"/>
          <w:bCs w:val="1"/>
          <w:color w:val="auto"/>
        </w:rPr>
        <w:t xml:space="preserve">Base Salary. </w:t>
      </w:r>
      <w:r>
        <w:rPr>
          <w:rFonts w:ascii="Times New Roman" w:cs="Times New Roman" w:eastAsia="Times New Roman" w:hAnsi="Times New Roman"/>
          <w:sz w:val="22"/>
          <w:szCs w:val="22"/>
          <w:color w:val="auto"/>
        </w:rPr>
        <w:t>The Company provides NEOs with base salaries to compensate them for services rendered during the year.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Committee recognizes that competitive salaries must be paid in order to attract and retain high-quality executives. Normally, the Committee reviews NEO salaries at the end of each year, with any adjustments to base salary becoming effective on January 1 of the succeeding year. However, in special circumstances, such as a promotion or increased responsibilities, the Committee may act to increase an NEO’s salary during the year.</w:t>
      </w:r>
    </w:p>
    <w:p>
      <w:pPr>
        <w:spacing w:after="0" w:line="177"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2025 Base Salaries</w:t>
      </w:r>
      <w:r>
        <w:rPr>
          <w:rFonts w:ascii="Times New Roman" w:cs="Times New Roman" w:eastAsia="Times New Roman" w:hAnsi="Times New Roman"/>
          <w:sz w:val="22"/>
          <w:szCs w:val="22"/>
          <w:color w:val="auto"/>
        </w:rPr>
        <w:t>. The Committee has determined that base salary levels for the NEOs should be targeted towards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middle range of the Peer Group. Consistent with this approach, the Committee approved increases in the base salaries of the NEOs in order to move them in line with the middle range of the Peer Group. Base salaries for each of the NEOs for 2025 were as set forth in the following table.</w:t>
      </w:r>
    </w:p>
    <w:p>
      <w:pPr>
        <w:spacing w:after="0" w:line="291" w:lineRule="exact"/>
        <w:rPr>
          <w:sz w:val="20"/>
          <w:szCs w:val="20"/>
          <w:color w:val="auto"/>
        </w:rPr>
      </w:pPr>
    </w:p>
    <w:tbl>
      <w:tblPr>
        <w:tblLayout w:type="fixed"/>
        <w:tblInd w:w="1430" w:type="dxa"/>
        <w:tblCellMar>
          <w:top w:w="0" w:type="dxa"/>
          <w:left w:w="0" w:type="dxa"/>
          <w:bottom w:w="0" w:type="dxa"/>
          <w:right w:w="0" w:type="dxa"/>
        </w:tblCellMar>
      </w:tblPr>
      <w:tr>
        <w:trPr>
          <w:trHeight w:val="229"/>
        </w:trPr>
        <w:tc>
          <w:tcPr>
            <w:tcW w:w="3960" w:type="dxa"/>
            <w:vAlign w:val="bottom"/>
            <w:tcBorders>
              <w:top w:val="single" w:sz="8" w:color="auto"/>
              <w:left w:val="single" w:sz="8" w:color="auto"/>
              <w:bottom w:val="single" w:sz="8" w:color="auto"/>
              <w:right w:val="single" w:sz="8" w:color="auto"/>
            </w:tcBorders>
            <w:shd w:val="clear" w:color="auto" w:fill="29650B"/>
          </w:tcPr>
          <w:p>
            <w:pPr>
              <w:ind w:left="1720"/>
              <w:spacing w:after="0" w:line="230" w:lineRule="exact"/>
              <w:rPr>
                <w:sz w:val="20"/>
                <w:szCs w:val="20"/>
                <w:color w:val="auto"/>
              </w:rPr>
            </w:pPr>
            <w:r>
              <w:rPr>
                <w:rFonts w:ascii="Times New Roman" w:cs="Times New Roman" w:eastAsia="Times New Roman" w:hAnsi="Times New Roman"/>
                <w:sz w:val="21"/>
                <w:szCs w:val="21"/>
                <w:b w:val="1"/>
                <w:bCs w:val="1"/>
                <w:color w:val="FFFFFF"/>
              </w:rPr>
              <w:t>Name</w:t>
            </w:r>
          </w:p>
        </w:tc>
        <w:tc>
          <w:tcPr>
            <w:tcW w:w="4460" w:type="dxa"/>
            <w:vAlign w:val="bottom"/>
            <w:tcBorders>
              <w:top w:val="single" w:sz="8" w:color="auto"/>
              <w:bottom w:val="single" w:sz="8" w:color="auto"/>
              <w:right w:val="single" w:sz="8" w:color="auto"/>
            </w:tcBorders>
            <w:shd w:val="clear" w:color="auto" w:fill="29650B"/>
          </w:tcPr>
          <w:p>
            <w:pPr>
              <w:jc w:val="right"/>
              <w:ind w:right="1380"/>
              <w:spacing w:after="0" w:line="230" w:lineRule="exact"/>
              <w:rPr>
                <w:sz w:val="20"/>
                <w:szCs w:val="20"/>
                <w:color w:val="auto"/>
              </w:rPr>
            </w:pPr>
            <w:r>
              <w:rPr>
                <w:rFonts w:ascii="Times New Roman" w:cs="Times New Roman" w:eastAsia="Times New Roman" w:hAnsi="Times New Roman"/>
                <w:sz w:val="21"/>
                <w:szCs w:val="21"/>
                <w:b w:val="1"/>
                <w:bCs w:val="1"/>
                <w:color w:val="FFFFFF"/>
              </w:rPr>
              <w:t>2025 Base Salary</w:t>
            </w:r>
          </w:p>
        </w:tc>
      </w:tr>
      <w:tr>
        <w:trPr>
          <w:trHeight w:val="324"/>
        </w:trPr>
        <w:tc>
          <w:tcPr>
            <w:tcW w:w="39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Timothy Donahue</w:t>
            </w:r>
          </w:p>
        </w:tc>
        <w:tc>
          <w:tcPr>
            <w:tcW w:w="4460" w:type="dxa"/>
            <w:vAlign w:val="bottom"/>
            <w:tcBorders>
              <w:right w:val="single" w:sz="8" w:color="auto"/>
            </w:tcBorders>
          </w:tcPr>
          <w:p>
            <w:pPr>
              <w:jc w:val="right"/>
              <w:ind w:right="1600"/>
              <w:spacing w:after="0"/>
              <w:rPr>
                <w:sz w:val="20"/>
                <w:szCs w:val="20"/>
                <w:color w:val="auto"/>
              </w:rPr>
            </w:pPr>
            <w:r>
              <w:rPr>
                <w:rFonts w:ascii="Times New Roman" w:cs="Times New Roman" w:eastAsia="Times New Roman" w:hAnsi="Times New Roman"/>
                <w:sz w:val="20"/>
                <w:szCs w:val="20"/>
                <w:color w:val="auto"/>
              </w:rPr>
              <w:t>$1,450,000</w:t>
            </w:r>
          </w:p>
        </w:tc>
      </w:tr>
      <w:tr>
        <w:trPr>
          <w:trHeight w:val="102"/>
        </w:trPr>
        <w:tc>
          <w:tcPr>
            <w:tcW w:w="3960" w:type="dxa"/>
            <w:vAlign w:val="bottom"/>
            <w:tcBorders>
              <w:left w:val="single" w:sz="8" w:color="auto"/>
              <w:bottom w:val="single" w:sz="8" w:color="auto"/>
              <w:right w:val="single" w:sz="8" w:color="auto"/>
            </w:tcBorders>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r>
      <w:tr>
        <w:trPr>
          <w:trHeight w:val="324"/>
        </w:trPr>
        <w:tc>
          <w:tcPr>
            <w:tcW w:w="3960" w:type="dxa"/>
            <w:vAlign w:val="bottom"/>
            <w:tcBorders>
              <w:left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Kevin Clothier</w:t>
            </w:r>
          </w:p>
        </w:tc>
        <w:tc>
          <w:tcPr>
            <w:tcW w:w="4460" w:type="dxa"/>
            <w:vAlign w:val="bottom"/>
            <w:tcBorders>
              <w:right w:val="single" w:sz="8" w:color="auto"/>
            </w:tcBorders>
            <w:shd w:val="clear" w:color="auto" w:fill="D9D9D9"/>
          </w:tcPr>
          <w:p>
            <w:pPr>
              <w:jc w:val="right"/>
              <w:ind w:right="1600"/>
              <w:spacing w:after="0"/>
              <w:rPr>
                <w:sz w:val="20"/>
                <w:szCs w:val="20"/>
                <w:color w:val="auto"/>
              </w:rPr>
            </w:pPr>
            <w:r>
              <w:rPr>
                <w:rFonts w:ascii="Times New Roman" w:cs="Times New Roman" w:eastAsia="Times New Roman" w:hAnsi="Times New Roman"/>
                <w:sz w:val="20"/>
                <w:szCs w:val="20"/>
                <w:color w:val="auto"/>
              </w:rPr>
              <w:t>805,000</w:t>
            </w:r>
          </w:p>
        </w:tc>
      </w:tr>
      <w:tr>
        <w:trPr>
          <w:trHeight w:val="102"/>
        </w:trPr>
        <w:tc>
          <w:tcPr>
            <w:tcW w:w="3960" w:type="dxa"/>
            <w:vAlign w:val="bottom"/>
            <w:tcBorders>
              <w:left w:val="single" w:sz="8" w:color="auto"/>
              <w:bottom w:val="single" w:sz="8" w:color="auto"/>
              <w:right w:val="single" w:sz="8" w:color="auto"/>
            </w:tcBorders>
            <w:shd w:val="clear" w:color="auto" w:fill="D9D9D9"/>
          </w:tcPr>
          <w:p>
            <w:pPr>
              <w:spacing w:after="0"/>
              <w:rPr>
                <w:sz w:val="8"/>
                <w:szCs w:val="8"/>
                <w:color w:val="auto"/>
              </w:rPr>
            </w:pPr>
          </w:p>
        </w:tc>
        <w:tc>
          <w:tcPr>
            <w:tcW w:w="4460" w:type="dxa"/>
            <w:vAlign w:val="bottom"/>
            <w:tcBorders>
              <w:bottom w:val="single" w:sz="8" w:color="auto"/>
              <w:right w:val="single" w:sz="8" w:color="auto"/>
            </w:tcBorders>
            <w:shd w:val="clear" w:color="auto" w:fill="D9D9D9"/>
          </w:tcPr>
          <w:p>
            <w:pPr>
              <w:spacing w:after="0"/>
              <w:rPr>
                <w:sz w:val="8"/>
                <w:szCs w:val="8"/>
                <w:color w:val="auto"/>
              </w:rPr>
            </w:pPr>
          </w:p>
        </w:tc>
      </w:tr>
      <w:tr>
        <w:trPr>
          <w:trHeight w:val="323"/>
        </w:trPr>
        <w:tc>
          <w:tcPr>
            <w:tcW w:w="39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0"/>
                <w:szCs w:val="20"/>
                <w:color w:val="auto"/>
              </w:rPr>
              <w:t>Gerard Gifford</w:t>
            </w:r>
          </w:p>
        </w:tc>
        <w:tc>
          <w:tcPr>
            <w:tcW w:w="4460" w:type="dxa"/>
            <w:vAlign w:val="bottom"/>
            <w:tcBorders>
              <w:right w:val="single" w:sz="8" w:color="auto"/>
            </w:tcBorders>
          </w:tcPr>
          <w:p>
            <w:pPr>
              <w:jc w:val="right"/>
              <w:ind w:right="1600"/>
              <w:spacing w:after="0"/>
              <w:rPr>
                <w:sz w:val="20"/>
                <w:szCs w:val="20"/>
                <w:color w:val="auto"/>
              </w:rPr>
            </w:pPr>
            <w:r>
              <w:rPr>
                <w:rFonts w:ascii="Times New Roman" w:cs="Times New Roman" w:eastAsia="Times New Roman" w:hAnsi="Times New Roman"/>
                <w:sz w:val="20"/>
                <w:szCs w:val="20"/>
                <w:color w:val="auto"/>
              </w:rPr>
              <w:t>972,000</w:t>
            </w:r>
          </w:p>
        </w:tc>
      </w:tr>
      <w:tr>
        <w:trPr>
          <w:trHeight w:val="102"/>
        </w:trPr>
        <w:tc>
          <w:tcPr>
            <w:tcW w:w="3960" w:type="dxa"/>
            <w:vAlign w:val="bottom"/>
            <w:tcBorders>
              <w:left w:val="single" w:sz="8" w:color="auto"/>
              <w:bottom w:val="single" w:sz="8" w:color="auto"/>
              <w:right w:val="single" w:sz="8" w:color="auto"/>
            </w:tcBorders>
          </w:tcPr>
          <w:p>
            <w:pPr>
              <w:spacing w:after="0"/>
              <w:rPr>
                <w:sz w:val="8"/>
                <w:szCs w:val="8"/>
                <w:color w:val="auto"/>
              </w:rPr>
            </w:pPr>
          </w:p>
        </w:tc>
        <w:tc>
          <w:tcPr>
            <w:tcW w:w="4460" w:type="dxa"/>
            <w:vAlign w:val="bottom"/>
            <w:tcBorders>
              <w:bottom w:val="single" w:sz="8" w:color="auto"/>
              <w:right w:val="single" w:sz="8" w:color="auto"/>
            </w:tcBorders>
          </w:tcPr>
          <w:p>
            <w:pPr>
              <w:spacing w:after="0"/>
              <w:rPr>
                <w:sz w:val="8"/>
                <w:szCs w:val="8"/>
                <w:color w:val="auto"/>
              </w:rPr>
            </w:pPr>
          </w:p>
        </w:tc>
      </w:tr>
      <w:tr>
        <w:trPr>
          <w:trHeight w:val="493"/>
        </w:trPr>
        <w:tc>
          <w:tcPr>
            <w:tcW w:w="3960" w:type="dxa"/>
            <w:vAlign w:val="bottom"/>
            <w:tcBorders>
              <w:left w:val="single" w:sz="8" w:color="auto"/>
              <w:bottom w:val="single" w:sz="8" w:color="auto"/>
              <w:right w:val="single" w:sz="8" w:color="auto"/>
            </w:tcBorders>
            <w:shd w:val="clear" w:color="auto" w:fill="D9D9D9"/>
          </w:tcPr>
          <w:p>
            <w:pPr>
              <w:spacing w:after="0"/>
              <w:rPr>
                <w:sz w:val="20"/>
                <w:szCs w:val="20"/>
                <w:color w:val="auto"/>
              </w:rPr>
            </w:pPr>
            <w:r>
              <w:rPr>
                <w:rFonts w:ascii="Times New Roman" w:cs="Times New Roman" w:eastAsia="Times New Roman" w:hAnsi="Times New Roman"/>
                <w:sz w:val="20"/>
                <w:szCs w:val="20"/>
                <w:color w:val="auto"/>
              </w:rPr>
              <w:t>Djalma Novaes</w:t>
            </w:r>
            <w:r>
              <w:rPr>
                <w:rFonts w:ascii="Times New Roman" w:cs="Times New Roman" w:eastAsia="Times New Roman" w:hAnsi="Times New Roman"/>
                <w:sz w:val="32"/>
                <w:szCs w:val="32"/>
                <w:color w:val="auto"/>
                <w:vertAlign w:val="superscript"/>
              </w:rPr>
              <w:t>1</w:t>
            </w:r>
          </w:p>
        </w:tc>
        <w:tc>
          <w:tcPr>
            <w:tcW w:w="4460" w:type="dxa"/>
            <w:vAlign w:val="bottom"/>
            <w:tcBorders>
              <w:bottom w:val="single" w:sz="8" w:color="auto"/>
              <w:right w:val="single" w:sz="8" w:color="auto"/>
            </w:tcBorders>
            <w:shd w:val="clear" w:color="auto" w:fill="D9D9D9"/>
          </w:tcPr>
          <w:p>
            <w:pPr>
              <w:jc w:val="right"/>
              <w:ind w:right="1600"/>
              <w:spacing w:after="0"/>
              <w:rPr>
                <w:sz w:val="20"/>
                <w:szCs w:val="20"/>
                <w:color w:val="auto"/>
              </w:rPr>
            </w:pPr>
            <w:r>
              <w:rPr>
                <w:rFonts w:ascii="Times New Roman" w:cs="Times New Roman" w:eastAsia="Times New Roman" w:hAnsi="Times New Roman"/>
                <w:sz w:val="20"/>
                <w:szCs w:val="20"/>
                <w:color w:val="auto"/>
              </w:rPr>
              <w:t>800,000</w:t>
            </w:r>
          </w:p>
        </w:tc>
      </w:tr>
      <w:tr>
        <w:trPr>
          <w:trHeight w:val="339"/>
        </w:trPr>
        <w:tc>
          <w:tcPr>
            <w:tcW w:w="3960" w:type="dxa"/>
            <w:vAlign w:val="bottom"/>
            <w:tcBorders>
              <w:left w:val="single" w:sz="8" w:color="auto"/>
              <w:right w:val="single" w:sz="8" w:color="auto"/>
            </w:tcBorders>
          </w:tcPr>
          <w:p>
            <w:pPr>
              <w:spacing w:after="0"/>
              <w:rPr>
                <w:sz w:val="20"/>
                <w:szCs w:val="20"/>
                <w:color w:val="auto"/>
              </w:rPr>
            </w:pPr>
            <w:r>
              <w:rPr>
                <w:rFonts w:ascii="Times New Roman" w:cs="Times New Roman" w:eastAsia="Times New Roman" w:hAnsi="Times New Roman"/>
                <w:sz w:val="21"/>
                <w:szCs w:val="21"/>
                <w:color w:val="auto"/>
              </w:rPr>
              <w:t>Adam Dickstein</w:t>
            </w:r>
          </w:p>
        </w:tc>
        <w:tc>
          <w:tcPr>
            <w:tcW w:w="4460" w:type="dxa"/>
            <w:vAlign w:val="bottom"/>
            <w:tcBorders>
              <w:right w:val="single" w:sz="8" w:color="auto"/>
            </w:tcBorders>
          </w:tcPr>
          <w:p>
            <w:pPr>
              <w:jc w:val="right"/>
              <w:ind w:right="1600"/>
              <w:spacing w:after="0"/>
              <w:rPr>
                <w:sz w:val="20"/>
                <w:szCs w:val="20"/>
                <w:color w:val="auto"/>
              </w:rPr>
            </w:pPr>
            <w:r>
              <w:rPr>
                <w:rFonts w:ascii="Times New Roman" w:cs="Times New Roman" w:eastAsia="Times New Roman" w:hAnsi="Times New Roman"/>
                <w:sz w:val="21"/>
                <w:szCs w:val="21"/>
                <w:color w:val="auto"/>
              </w:rPr>
              <w:t>675,000</w:t>
            </w:r>
          </w:p>
        </w:tc>
      </w:tr>
      <w:tr>
        <w:trPr>
          <w:trHeight w:val="86"/>
        </w:trPr>
        <w:tc>
          <w:tcPr>
            <w:tcW w:w="3960" w:type="dxa"/>
            <w:vAlign w:val="bottom"/>
            <w:tcBorders>
              <w:left w:val="single" w:sz="8" w:color="auto"/>
              <w:bottom w:val="single" w:sz="8" w:color="auto"/>
              <w:right w:val="single" w:sz="8" w:color="auto"/>
            </w:tcBorders>
          </w:tcPr>
          <w:p>
            <w:pPr>
              <w:spacing w:after="0"/>
              <w:rPr>
                <w:sz w:val="7"/>
                <w:szCs w:val="7"/>
                <w:color w:val="auto"/>
              </w:rPr>
            </w:pPr>
          </w:p>
        </w:tc>
        <w:tc>
          <w:tcPr>
            <w:tcW w:w="4460" w:type="dxa"/>
            <w:vAlign w:val="bottom"/>
            <w:tcBorders>
              <w:bottom w:val="single" w:sz="8" w:color="auto"/>
              <w:right w:val="single" w:sz="8" w:color="auto"/>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7830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firstLine="8"/>
        <w:spacing w:after="0" w:line="189" w:lineRule="auto"/>
        <w:tabs>
          <w:tab w:leader="none" w:pos="185" w:val="left"/>
        </w:tabs>
        <w:numPr>
          <w:ilvl w:val="0"/>
          <w:numId w:val="4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The amount presented for Mr. Novaes is his base salary following his promotion to Executive Vice President and Chief Operating Officer.</w:t>
      </w:r>
    </w:p>
    <w:p>
      <w:pPr>
        <w:spacing w:after="0" w:line="200" w:lineRule="exact"/>
        <w:rPr>
          <w:sz w:val="20"/>
          <w:szCs w:val="20"/>
          <w:color w:val="auto"/>
        </w:rPr>
      </w:pPr>
    </w:p>
    <w:p>
      <w:pPr>
        <w:spacing w:after="0" w:line="20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41</w:t>
      </w:r>
    </w:p>
    <w:p>
      <w:pPr>
        <w:sectPr>
          <w:pgSz w:w="11900" w:h="16838" w:orient="portrait"/>
          <w:cols w:equalWidth="0" w:num="1">
            <w:col w:w="11240"/>
          </w:cols>
          <w:pgMar w:left="320" w:top="639" w:right="339" w:bottom="1440" w:gutter="0" w:footer="0" w:header="0"/>
        </w:sectPr>
      </w:pPr>
    </w:p>
    <w:bookmarkStart w:id="44" w:name="page45"/>
    <w:bookmarkEnd w:id="44"/>
    <w:p>
      <w:pPr>
        <w:jc w:val="both"/>
        <w:ind w:firstLine="51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Annual Incentive Bonus. </w:t>
      </w:r>
      <w:r>
        <w:rPr>
          <w:rFonts w:ascii="Times New Roman" w:cs="Times New Roman" w:eastAsia="Times New Roman" w:hAnsi="Times New Roman"/>
          <w:sz w:val="22"/>
          <w:szCs w:val="22"/>
          <w:color w:val="auto"/>
        </w:rPr>
        <w:t>Annual cash bonuses are included as part of the executive compensation program because,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consistent with our “pay-for-performance” philosophy, the Committee believes that a meaningful portion of each NEO’s compensation should be contingent on success in achieving annual goals that drive the long-term operating performance of the Company. NEOs are eligible for annual cash bonuses under our Economic Profit Incentive Plan (the “EP Plan”). For 2025, our NEOs were eligible to receive annual incentive bonuses under the EP Plan upon the achievement of specified levels of economic profit and modified operating cash flow. The Committee believes the use of economic profit and modified operating cash flow as key performance measures under the EP Plan drives the Company’s long-term operating performance and is closely correlated with long-term increase in shareholder value. The maximum payout under the EP Plan is limited to two times the target bonus, with no excess carried forward into subsequent years.</w:t>
      </w:r>
    </w:p>
    <w:p>
      <w:pPr>
        <w:spacing w:after="0" w:line="174" w:lineRule="exact"/>
        <w:rPr>
          <w:sz w:val="20"/>
          <w:szCs w:val="20"/>
          <w:color w:val="auto"/>
        </w:rPr>
      </w:pPr>
    </w:p>
    <w:p>
      <w:pPr>
        <w:jc w:val="both"/>
        <w:ind w:firstLine="518"/>
        <w:spacing w:after="0" w:line="235" w:lineRule="auto"/>
        <w:rPr>
          <w:sz w:val="20"/>
          <w:szCs w:val="20"/>
          <w:color w:val="auto"/>
        </w:rPr>
      </w:pPr>
      <w:r>
        <w:rPr>
          <w:rFonts w:ascii="Times New Roman" w:cs="Times New Roman" w:eastAsia="Times New Roman" w:hAnsi="Times New Roman"/>
          <w:sz w:val="22"/>
          <w:szCs w:val="22"/>
          <w:i w:val="1"/>
          <w:iCs w:val="1"/>
          <w:color w:val="auto"/>
        </w:rPr>
        <w:t>2025 Bonus Opportunities and Results</w:t>
      </w:r>
      <w:r>
        <w:rPr>
          <w:rFonts w:ascii="Times New Roman" w:cs="Times New Roman" w:eastAsia="Times New Roman" w:hAnsi="Times New Roman"/>
          <w:sz w:val="22"/>
          <w:szCs w:val="22"/>
          <w:color w:val="auto"/>
        </w:rPr>
        <w:t>. For 2025, the Committee assigned each NEO an annual target level under the EP</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Plan together with a maximum annual bonus opportunity as a percentage of each NEO’s base salary. Based upon the Peer Group information provided by Pay Governance and the consideration of NEO performance and internal equity, the Committee determined that the target and maximum bonus opportunities for the NEOs for 2025 should be the same as in 2024, except for Mr. Clothier, whose target bonus was increased from 80% to 90% of base salary, Mr. Novaes, whose target bonus was increased from 80% to 100% in connection with his promotion to Executive Vice President and Chief Operating Officer and Mr. Dickstein, whose target bonus was increased from 70% to 80% of base salary. The 2025 minimum, maximum and target bonus opportunities together with actual bonuses paid to the NEOs were as follows:</w:t>
      </w:r>
    </w:p>
    <w:p>
      <w:pPr>
        <w:spacing w:after="0" w:line="294"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500" w:type="dxa"/>
            <w:vAlign w:val="bottom"/>
            <w:tcBorders>
              <w:top w:val="single" w:sz="8" w:color="auto"/>
              <w:left w:val="single" w:sz="8" w:color="auto"/>
              <w:right w:val="single" w:sz="8" w:color="auto"/>
            </w:tcBorders>
            <w:shd w:val="clear" w:color="auto" w:fill="29650B"/>
          </w:tcPr>
          <w:p>
            <w:pPr>
              <w:spacing w:after="0"/>
              <w:rPr>
                <w:sz w:val="17"/>
                <w:szCs w:val="17"/>
                <w:color w:val="auto"/>
              </w:rPr>
            </w:pPr>
          </w:p>
        </w:tc>
        <w:tc>
          <w:tcPr>
            <w:tcW w:w="1340" w:type="dxa"/>
            <w:vAlign w:val="bottom"/>
            <w:tcBorders>
              <w:top w:val="single" w:sz="8" w:color="auto"/>
              <w:right w:val="single" w:sz="8" w:color="auto"/>
            </w:tcBorders>
            <w:shd w:val="clear" w:color="auto" w:fill="29650B"/>
          </w:tcPr>
          <w:p>
            <w:pPr>
              <w:jc w:val="center"/>
              <w:spacing w:after="0" w:line="202" w:lineRule="exact"/>
              <w:rPr>
                <w:sz w:val="20"/>
                <w:szCs w:val="20"/>
                <w:color w:val="auto"/>
              </w:rPr>
            </w:pPr>
            <w:r>
              <w:rPr>
                <w:rFonts w:ascii="Times New Roman" w:cs="Times New Roman" w:eastAsia="Times New Roman" w:hAnsi="Times New Roman"/>
                <w:sz w:val="22"/>
                <w:szCs w:val="22"/>
                <w:b w:val="1"/>
                <w:bCs w:val="1"/>
                <w:color w:val="FFFFFF"/>
                <w:w w:val="97"/>
              </w:rPr>
              <w:t>Minimum</w:t>
            </w:r>
          </w:p>
        </w:tc>
        <w:tc>
          <w:tcPr>
            <w:tcW w:w="148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Maximum</w:t>
            </w:r>
          </w:p>
        </w:tc>
        <w:tc>
          <w:tcPr>
            <w:tcW w:w="1680" w:type="dxa"/>
            <w:vAlign w:val="bottom"/>
            <w:tcBorders>
              <w:top w:val="single" w:sz="8" w:color="auto"/>
              <w:right w:val="single" w:sz="8" w:color="auto"/>
            </w:tcBorders>
            <w:shd w:val="clear" w:color="auto" w:fill="29650B"/>
          </w:tcPr>
          <w:p>
            <w:pPr>
              <w:spacing w:after="0"/>
              <w:rPr>
                <w:sz w:val="17"/>
                <w:szCs w:val="17"/>
                <w:color w:val="auto"/>
              </w:rPr>
            </w:pPr>
          </w:p>
        </w:tc>
        <w:tc>
          <w:tcPr>
            <w:tcW w:w="2000" w:type="dxa"/>
            <w:vAlign w:val="bottom"/>
            <w:tcBorders>
              <w:top w:val="single" w:sz="8" w:color="auto"/>
              <w:right w:val="single" w:sz="8" w:color="auto"/>
            </w:tcBorders>
            <w:shd w:val="clear" w:color="auto" w:fill="29650B"/>
          </w:tcPr>
          <w:p>
            <w:pPr>
              <w:spacing w:after="0"/>
              <w:rPr>
                <w:sz w:val="17"/>
                <w:szCs w:val="17"/>
                <w:color w:val="auto"/>
              </w:rPr>
            </w:pPr>
          </w:p>
        </w:tc>
        <w:tc>
          <w:tcPr>
            <w:tcW w:w="2240" w:type="dxa"/>
            <w:vAlign w:val="bottom"/>
            <w:tcBorders>
              <w:top w:val="single" w:sz="8" w:color="auto"/>
              <w:right w:val="single" w:sz="8" w:color="auto"/>
            </w:tcBorders>
            <w:shd w:val="clear" w:color="auto" w:fill="29650B"/>
          </w:tcPr>
          <w:p>
            <w:pPr>
              <w:spacing w:after="0"/>
              <w:rPr>
                <w:sz w:val="17"/>
                <w:szCs w:val="17"/>
                <w:color w:val="auto"/>
              </w:rPr>
            </w:pP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shd w:val="clear" w:color="auto" w:fill="29650B"/>
          </w:tcPr>
          <w:p>
            <w:pPr>
              <w:spacing w:after="0"/>
              <w:rPr>
                <w:sz w:val="9"/>
                <w:szCs w:val="9"/>
                <w:color w:val="auto"/>
              </w:rPr>
            </w:pPr>
          </w:p>
        </w:tc>
        <w:tc>
          <w:tcPr>
            <w:tcW w:w="134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9"/>
              </w:rPr>
              <w:t>Bonus as a</w:t>
            </w:r>
          </w:p>
        </w:tc>
        <w:tc>
          <w:tcPr>
            <w:tcW w:w="1480" w:type="dxa"/>
            <w:vAlign w:val="bottom"/>
            <w:tcBorders>
              <w:right w:val="single" w:sz="8" w:color="auto"/>
            </w:tcBorders>
            <w:vMerge w:val="continue"/>
            <w:shd w:val="clear" w:color="auto" w:fill="29650B"/>
          </w:tcPr>
          <w:p>
            <w:pPr>
              <w:spacing w:after="0"/>
              <w:rPr>
                <w:sz w:val="9"/>
                <w:szCs w:val="9"/>
                <w:color w:val="auto"/>
              </w:rPr>
            </w:pPr>
          </w:p>
        </w:tc>
        <w:tc>
          <w:tcPr>
            <w:tcW w:w="168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7"/>
              </w:rPr>
              <w:t>Target Bonus</w:t>
            </w:r>
          </w:p>
        </w:tc>
        <w:tc>
          <w:tcPr>
            <w:tcW w:w="2000" w:type="dxa"/>
            <w:vAlign w:val="bottom"/>
            <w:tcBorders>
              <w:right w:val="single" w:sz="8" w:color="auto"/>
            </w:tcBorders>
            <w:shd w:val="clear" w:color="auto" w:fill="29650B"/>
          </w:tcPr>
          <w:p>
            <w:pPr>
              <w:spacing w:after="0"/>
              <w:rPr>
                <w:sz w:val="9"/>
                <w:szCs w:val="9"/>
                <w:color w:val="auto"/>
              </w:rPr>
            </w:pPr>
          </w:p>
        </w:tc>
        <w:tc>
          <w:tcPr>
            <w:tcW w:w="2240" w:type="dxa"/>
            <w:vAlign w:val="bottom"/>
            <w:tcBorders>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shd w:val="clear" w:color="auto" w:fill="29650B"/>
          </w:tcPr>
          <w:p>
            <w:pPr>
              <w:spacing w:after="0"/>
              <w:rPr>
                <w:sz w:val="10"/>
                <w:szCs w:val="10"/>
                <w:color w:val="auto"/>
              </w:rPr>
            </w:pPr>
          </w:p>
        </w:tc>
        <w:tc>
          <w:tcPr>
            <w:tcW w:w="1340" w:type="dxa"/>
            <w:vAlign w:val="bottom"/>
            <w:tcBorders>
              <w:right w:val="single" w:sz="8" w:color="auto"/>
            </w:tcBorders>
            <w:vMerge w:val="continue"/>
            <w:shd w:val="clear" w:color="auto" w:fill="29650B"/>
          </w:tcPr>
          <w:p>
            <w:pPr>
              <w:spacing w:after="0"/>
              <w:rPr>
                <w:sz w:val="10"/>
                <w:szCs w:val="10"/>
                <w:color w:val="auto"/>
              </w:rPr>
            </w:pPr>
          </w:p>
        </w:tc>
        <w:tc>
          <w:tcPr>
            <w:tcW w:w="148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7"/>
              </w:rPr>
              <w:t>Bonus as a</w:t>
            </w:r>
          </w:p>
        </w:tc>
        <w:tc>
          <w:tcPr>
            <w:tcW w:w="1680" w:type="dxa"/>
            <w:vAlign w:val="bottom"/>
            <w:tcBorders>
              <w:right w:val="single" w:sz="8" w:color="auto"/>
            </w:tcBorders>
            <w:vMerge w:val="continue"/>
            <w:shd w:val="clear" w:color="auto" w:fill="29650B"/>
          </w:tcPr>
          <w:p>
            <w:pPr>
              <w:spacing w:after="0"/>
              <w:rPr>
                <w:sz w:val="10"/>
                <w:szCs w:val="10"/>
                <w:color w:val="auto"/>
              </w:rPr>
            </w:pPr>
          </w:p>
        </w:tc>
        <w:tc>
          <w:tcPr>
            <w:tcW w:w="2000" w:type="dxa"/>
            <w:vAlign w:val="bottom"/>
            <w:tcBorders>
              <w:right w:val="single" w:sz="8" w:color="auto"/>
            </w:tcBorders>
            <w:vMerge w:val="restart"/>
            <w:shd w:val="clear" w:color="auto" w:fill="29650B"/>
          </w:tcPr>
          <w:p>
            <w:pPr>
              <w:jc w:val="right"/>
              <w:ind w:right="612"/>
              <w:spacing w:after="0" w:line="229" w:lineRule="exact"/>
              <w:rPr>
                <w:sz w:val="20"/>
                <w:szCs w:val="20"/>
                <w:color w:val="auto"/>
              </w:rPr>
            </w:pPr>
            <w:r>
              <w:rPr>
                <w:rFonts w:ascii="Times New Roman" w:cs="Times New Roman" w:eastAsia="Times New Roman" w:hAnsi="Times New Roman"/>
                <w:sz w:val="22"/>
                <w:szCs w:val="22"/>
                <w:b w:val="1"/>
                <w:bCs w:val="1"/>
                <w:color w:val="FFFFFF"/>
              </w:rPr>
              <w:t>Target</w:t>
            </w:r>
          </w:p>
        </w:tc>
        <w:tc>
          <w:tcPr>
            <w:tcW w:w="2240" w:type="dxa"/>
            <w:vAlign w:val="bottom"/>
            <w:tcBorders>
              <w:right w:val="single" w:sz="8" w:color="auto"/>
            </w:tcBorders>
            <w:vMerge w:val="restart"/>
            <w:shd w:val="clear" w:color="auto" w:fill="29650B"/>
          </w:tcPr>
          <w:p>
            <w:pPr>
              <w:jc w:val="right"/>
              <w:ind w:right="712"/>
              <w:spacing w:after="0" w:line="229" w:lineRule="exact"/>
              <w:rPr>
                <w:sz w:val="20"/>
                <w:szCs w:val="20"/>
                <w:color w:val="auto"/>
              </w:rPr>
            </w:pPr>
            <w:r>
              <w:rPr>
                <w:rFonts w:ascii="Times New Roman" w:cs="Times New Roman" w:eastAsia="Times New Roman" w:hAnsi="Times New Roman"/>
                <w:sz w:val="22"/>
                <w:szCs w:val="22"/>
                <w:b w:val="1"/>
                <w:bCs w:val="1"/>
                <w:color w:val="FFFFFF"/>
              </w:rPr>
              <w:t>Actual</w:t>
            </w: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shd w:val="clear" w:color="auto" w:fill="29650B"/>
          </w:tcPr>
          <w:p>
            <w:pPr>
              <w:spacing w:after="0"/>
              <w:rPr>
                <w:sz w:val="9"/>
                <w:szCs w:val="9"/>
                <w:color w:val="auto"/>
              </w:rPr>
            </w:pPr>
          </w:p>
        </w:tc>
        <w:tc>
          <w:tcPr>
            <w:tcW w:w="134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6"/>
              </w:rPr>
              <w:t>Percentage</w:t>
            </w:r>
          </w:p>
        </w:tc>
        <w:tc>
          <w:tcPr>
            <w:tcW w:w="1480" w:type="dxa"/>
            <w:vAlign w:val="bottom"/>
            <w:tcBorders>
              <w:right w:val="single" w:sz="8" w:color="auto"/>
            </w:tcBorders>
            <w:vMerge w:val="continue"/>
            <w:shd w:val="clear" w:color="auto" w:fill="29650B"/>
          </w:tcPr>
          <w:p>
            <w:pPr>
              <w:spacing w:after="0"/>
              <w:rPr>
                <w:sz w:val="9"/>
                <w:szCs w:val="9"/>
                <w:color w:val="auto"/>
              </w:rPr>
            </w:pPr>
          </w:p>
        </w:tc>
        <w:tc>
          <w:tcPr>
            <w:tcW w:w="168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7"/>
              </w:rPr>
              <w:t>as a Percentage</w:t>
            </w:r>
          </w:p>
        </w:tc>
        <w:tc>
          <w:tcPr>
            <w:tcW w:w="2000" w:type="dxa"/>
            <w:vAlign w:val="bottom"/>
            <w:tcBorders>
              <w:right w:val="single" w:sz="8" w:color="auto"/>
            </w:tcBorders>
            <w:vMerge w:val="continue"/>
            <w:shd w:val="clear" w:color="auto" w:fill="29650B"/>
          </w:tcPr>
          <w:p>
            <w:pPr>
              <w:spacing w:after="0"/>
              <w:rPr>
                <w:sz w:val="9"/>
                <w:szCs w:val="9"/>
                <w:color w:val="auto"/>
              </w:rPr>
            </w:pPr>
          </w:p>
        </w:tc>
        <w:tc>
          <w:tcPr>
            <w:tcW w:w="224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vMerge w:val="restart"/>
            <w:shd w:val="clear" w:color="auto" w:fill="29650B"/>
          </w:tcPr>
          <w:p>
            <w:pPr>
              <w:ind w:left="980"/>
              <w:spacing w:after="0" w:line="229" w:lineRule="exact"/>
              <w:rPr>
                <w:sz w:val="20"/>
                <w:szCs w:val="20"/>
                <w:color w:val="auto"/>
              </w:rPr>
            </w:pPr>
            <w:r>
              <w:rPr>
                <w:rFonts w:ascii="Times New Roman" w:cs="Times New Roman" w:eastAsia="Times New Roman" w:hAnsi="Times New Roman"/>
                <w:sz w:val="22"/>
                <w:szCs w:val="22"/>
                <w:b w:val="1"/>
                <w:bCs w:val="1"/>
                <w:color w:val="FFFFFF"/>
              </w:rPr>
              <w:t>Name</w:t>
            </w:r>
          </w:p>
        </w:tc>
        <w:tc>
          <w:tcPr>
            <w:tcW w:w="1340" w:type="dxa"/>
            <w:vAlign w:val="bottom"/>
            <w:tcBorders>
              <w:right w:val="single" w:sz="8" w:color="auto"/>
            </w:tcBorders>
            <w:vMerge w:val="continue"/>
            <w:shd w:val="clear" w:color="auto" w:fill="29650B"/>
          </w:tcPr>
          <w:p>
            <w:pPr>
              <w:spacing w:after="0"/>
              <w:rPr>
                <w:sz w:val="10"/>
                <w:szCs w:val="10"/>
                <w:color w:val="auto"/>
              </w:rPr>
            </w:pPr>
          </w:p>
        </w:tc>
        <w:tc>
          <w:tcPr>
            <w:tcW w:w="148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8"/>
              </w:rPr>
              <w:t>Percentage of</w:t>
            </w:r>
          </w:p>
        </w:tc>
        <w:tc>
          <w:tcPr>
            <w:tcW w:w="1680" w:type="dxa"/>
            <w:vAlign w:val="bottom"/>
            <w:tcBorders>
              <w:right w:val="single" w:sz="8" w:color="auto"/>
            </w:tcBorders>
            <w:vMerge w:val="continue"/>
            <w:shd w:val="clear" w:color="auto" w:fill="29650B"/>
          </w:tcPr>
          <w:p>
            <w:pPr>
              <w:spacing w:after="0"/>
              <w:rPr>
                <w:sz w:val="10"/>
                <w:szCs w:val="10"/>
                <w:color w:val="auto"/>
              </w:rPr>
            </w:pPr>
          </w:p>
        </w:tc>
        <w:tc>
          <w:tcPr>
            <w:tcW w:w="2000" w:type="dxa"/>
            <w:vAlign w:val="bottom"/>
            <w:tcBorders>
              <w:right w:val="single" w:sz="8" w:color="auto"/>
            </w:tcBorders>
            <w:vMerge w:val="restart"/>
            <w:shd w:val="clear" w:color="auto" w:fill="29650B"/>
          </w:tcPr>
          <w:p>
            <w:pPr>
              <w:jc w:val="right"/>
              <w:ind w:right="212"/>
              <w:spacing w:after="0" w:line="229" w:lineRule="exact"/>
              <w:rPr>
                <w:sz w:val="20"/>
                <w:szCs w:val="20"/>
                <w:color w:val="auto"/>
              </w:rPr>
            </w:pPr>
            <w:r>
              <w:rPr>
                <w:rFonts w:ascii="Times New Roman" w:cs="Times New Roman" w:eastAsia="Times New Roman" w:hAnsi="Times New Roman"/>
                <w:sz w:val="22"/>
                <w:szCs w:val="22"/>
                <w:b w:val="1"/>
                <w:bCs w:val="1"/>
                <w:color w:val="FFFFFF"/>
              </w:rPr>
              <w:t>Bonus Amount</w:t>
            </w:r>
          </w:p>
        </w:tc>
        <w:tc>
          <w:tcPr>
            <w:tcW w:w="2240" w:type="dxa"/>
            <w:vAlign w:val="bottom"/>
            <w:tcBorders>
              <w:right w:val="single" w:sz="8" w:color="auto"/>
            </w:tcBorders>
            <w:vMerge w:val="restart"/>
            <w:shd w:val="clear" w:color="auto" w:fill="29650B"/>
          </w:tcPr>
          <w:p>
            <w:pPr>
              <w:jc w:val="right"/>
              <w:ind w:right="332"/>
              <w:spacing w:after="0" w:line="229" w:lineRule="exact"/>
              <w:rPr>
                <w:sz w:val="20"/>
                <w:szCs w:val="20"/>
                <w:color w:val="auto"/>
              </w:rPr>
            </w:pPr>
            <w:r>
              <w:rPr>
                <w:rFonts w:ascii="Times New Roman" w:cs="Times New Roman" w:eastAsia="Times New Roman" w:hAnsi="Times New Roman"/>
                <w:sz w:val="22"/>
                <w:szCs w:val="22"/>
                <w:b w:val="1"/>
                <w:bCs w:val="1"/>
                <w:color w:val="FFFFFF"/>
              </w:rPr>
              <w:t>Bonus Amount</w:t>
            </w:r>
          </w:p>
        </w:tc>
        <w:tc>
          <w:tcPr>
            <w:tcW w:w="0" w:type="dxa"/>
            <w:vAlign w:val="bottom"/>
          </w:tcPr>
          <w:p>
            <w:pPr>
              <w:spacing w:after="0"/>
              <w:rPr>
                <w:sz w:val="1"/>
                <w:szCs w:val="1"/>
                <w:color w:val="auto"/>
              </w:rPr>
            </w:pPr>
          </w:p>
        </w:tc>
      </w:tr>
      <w:tr>
        <w:trPr>
          <w:trHeight w:val="108"/>
        </w:trPr>
        <w:tc>
          <w:tcPr>
            <w:tcW w:w="250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134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rPr>
              <w:t>of Base</w:t>
            </w:r>
          </w:p>
        </w:tc>
        <w:tc>
          <w:tcPr>
            <w:tcW w:w="1480" w:type="dxa"/>
            <w:vAlign w:val="bottom"/>
            <w:tcBorders>
              <w:right w:val="single" w:sz="8" w:color="auto"/>
            </w:tcBorders>
            <w:vMerge w:val="continue"/>
            <w:shd w:val="clear" w:color="auto" w:fill="29650B"/>
          </w:tcPr>
          <w:p>
            <w:pPr>
              <w:spacing w:after="0"/>
              <w:rPr>
                <w:sz w:val="9"/>
                <w:szCs w:val="9"/>
                <w:color w:val="auto"/>
              </w:rPr>
            </w:pPr>
          </w:p>
        </w:tc>
        <w:tc>
          <w:tcPr>
            <w:tcW w:w="1680" w:type="dxa"/>
            <w:vAlign w:val="bottom"/>
            <w:tcBorders>
              <w:right w:val="single" w:sz="8" w:color="auto"/>
            </w:tcBorders>
            <w:vMerge w:val="restart"/>
            <w:shd w:val="clear" w:color="auto" w:fill="29650B"/>
          </w:tcPr>
          <w:p>
            <w:pPr>
              <w:jc w:val="center"/>
              <w:spacing w:after="0" w:line="229" w:lineRule="exact"/>
              <w:rPr>
                <w:sz w:val="20"/>
                <w:szCs w:val="20"/>
                <w:color w:val="auto"/>
              </w:rPr>
            </w:pPr>
            <w:r>
              <w:rPr>
                <w:rFonts w:ascii="Times New Roman" w:cs="Times New Roman" w:eastAsia="Times New Roman" w:hAnsi="Times New Roman"/>
                <w:sz w:val="22"/>
                <w:szCs w:val="22"/>
                <w:b w:val="1"/>
                <w:bCs w:val="1"/>
                <w:color w:val="FFFFFF"/>
                <w:w w:val="98"/>
              </w:rPr>
              <w:t>of Base Salary</w:t>
            </w:r>
          </w:p>
        </w:tc>
        <w:tc>
          <w:tcPr>
            <w:tcW w:w="2000" w:type="dxa"/>
            <w:vAlign w:val="bottom"/>
            <w:tcBorders>
              <w:right w:val="single" w:sz="8" w:color="auto"/>
            </w:tcBorders>
            <w:vMerge w:val="continue"/>
            <w:shd w:val="clear" w:color="auto" w:fill="29650B"/>
          </w:tcPr>
          <w:p>
            <w:pPr>
              <w:spacing w:after="0"/>
              <w:rPr>
                <w:sz w:val="9"/>
                <w:szCs w:val="9"/>
                <w:color w:val="auto"/>
              </w:rPr>
            </w:pPr>
          </w:p>
        </w:tc>
        <w:tc>
          <w:tcPr>
            <w:tcW w:w="224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500" w:type="dxa"/>
            <w:vAlign w:val="bottom"/>
            <w:tcBorders>
              <w:left w:val="single" w:sz="8" w:color="auto"/>
              <w:right w:val="single" w:sz="8" w:color="auto"/>
            </w:tcBorders>
            <w:shd w:val="clear" w:color="auto" w:fill="29650B"/>
          </w:tcPr>
          <w:p>
            <w:pPr>
              <w:spacing w:after="0"/>
              <w:rPr>
                <w:sz w:val="10"/>
                <w:szCs w:val="10"/>
                <w:color w:val="auto"/>
              </w:rPr>
            </w:pPr>
          </w:p>
        </w:tc>
        <w:tc>
          <w:tcPr>
            <w:tcW w:w="1340" w:type="dxa"/>
            <w:vAlign w:val="bottom"/>
            <w:tcBorders>
              <w:right w:val="single" w:sz="8" w:color="auto"/>
            </w:tcBorders>
            <w:vMerge w:val="continue"/>
            <w:shd w:val="clear" w:color="auto" w:fill="29650B"/>
          </w:tcPr>
          <w:p>
            <w:pPr>
              <w:spacing w:after="0"/>
              <w:rPr>
                <w:sz w:val="10"/>
                <w:szCs w:val="10"/>
                <w:color w:val="auto"/>
              </w:rPr>
            </w:pPr>
          </w:p>
        </w:tc>
        <w:tc>
          <w:tcPr>
            <w:tcW w:w="14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9"/>
              </w:rPr>
              <w:t>Base Salary</w:t>
            </w:r>
          </w:p>
        </w:tc>
        <w:tc>
          <w:tcPr>
            <w:tcW w:w="1680" w:type="dxa"/>
            <w:vAlign w:val="bottom"/>
            <w:tcBorders>
              <w:right w:val="single" w:sz="8" w:color="auto"/>
            </w:tcBorders>
            <w:vMerge w:val="continue"/>
            <w:shd w:val="clear" w:color="auto" w:fill="29650B"/>
          </w:tcPr>
          <w:p>
            <w:pPr>
              <w:spacing w:after="0"/>
              <w:rPr>
                <w:sz w:val="10"/>
                <w:szCs w:val="10"/>
                <w:color w:val="auto"/>
              </w:rPr>
            </w:pPr>
          </w:p>
        </w:tc>
        <w:tc>
          <w:tcPr>
            <w:tcW w:w="2000" w:type="dxa"/>
            <w:vAlign w:val="bottom"/>
            <w:tcBorders>
              <w:right w:val="single" w:sz="8" w:color="auto"/>
            </w:tcBorders>
            <w:shd w:val="clear" w:color="auto" w:fill="29650B"/>
          </w:tcPr>
          <w:p>
            <w:pPr>
              <w:spacing w:after="0"/>
              <w:rPr>
                <w:sz w:val="10"/>
                <w:szCs w:val="10"/>
                <w:color w:val="auto"/>
              </w:rPr>
            </w:pPr>
          </w:p>
        </w:tc>
        <w:tc>
          <w:tcPr>
            <w:tcW w:w="2240" w:type="dxa"/>
            <w:vAlign w:val="bottom"/>
            <w:tcBorders>
              <w:right w:val="single" w:sz="8" w:color="auto"/>
            </w:tcBorders>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500" w:type="dxa"/>
            <w:vAlign w:val="bottom"/>
            <w:tcBorders>
              <w:left w:val="single" w:sz="8" w:color="auto"/>
              <w:right w:val="single" w:sz="8" w:color="auto"/>
            </w:tcBorders>
            <w:shd w:val="clear" w:color="auto" w:fill="29650B"/>
          </w:tcPr>
          <w:p>
            <w:pPr>
              <w:spacing w:after="0"/>
              <w:rPr>
                <w:sz w:val="14"/>
                <w:szCs w:val="14"/>
                <w:color w:val="auto"/>
              </w:rPr>
            </w:pPr>
          </w:p>
        </w:tc>
        <w:tc>
          <w:tcPr>
            <w:tcW w:w="13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Salary</w:t>
            </w:r>
          </w:p>
        </w:tc>
        <w:tc>
          <w:tcPr>
            <w:tcW w:w="1480" w:type="dxa"/>
            <w:vAlign w:val="bottom"/>
            <w:tcBorders>
              <w:right w:val="single" w:sz="8" w:color="auto"/>
            </w:tcBorders>
            <w:vMerge w:val="continue"/>
            <w:shd w:val="clear" w:color="auto" w:fill="29650B"/>
          </w:tcPr>
          <w:p>
            <w:pPr>
              <w:spacing w:after="0"/>
              <w:rPr>
                <w:sz w:val="14"/>
                <w:szCs w:val="14"/>
                <w:color w:val="auto"/>
              </w:rPr>
            </w:pPr>
          </w:p>
        </w:tc>
        <w:tc>
          <w:tcPr>
            <w:tcW w:w="1680" w:type="dxa"/>
            <w:vAlign w:val="bottom"/>
            <w:tcBorders>
              <w:right w:val="single" w:sz="8" w:color="auto"/>
            </w:tcBorders>
            <w:shd w:val="clear" w:color="auto" w:fill="29650B"/>
          </w:tcPr>
          <w:p>
            <w:pPr>
              <w:spacing w:after="0"/>
              <w:rPr>
                <w:sz w:val="14"/>
                <w:szCs w:val="14"/>
                <w:color w:val="auto"/>
              </w:rPr>
            </w:pPr>
          </w:p>
        </w:tc>
        <w:tc>
          <w:tcPr>
            <w:tcW w:w="2000" w:type="dxa"/>
            <w:vAlign w:val="bottom"/>
            <w:tcBorders>
              <w:right w:val="single" w:sz="8" w:color="auto"/>
            </w:tcBorders>
            <w:shd w:val="clear" w:color="auto" w:fill="29650B"/>
          </w:tcPr>
          <w:p>
            <w:pPr>
              <w:spacing w:after="0"/>
              <w:rPr>
                <w:sz w:val="14"/>
                <w:szCs w:val="14"/>
                <w:color w:val="auto"/>
              </w:rPr>
            </w:pPr>
          </w:p>
        </w:tc>
        <w:tc>
          <w:tcPr>
            <w:tcW w:w="2240" w:type="dxa"/>
            <w:vAlign w:val="bottom"/>
            <w:tcBorders>
              <w:right w:val="single" w:sz="8" w:color="auto"/>
            </w:tcBorders>
            <w:shd w:val="clear" w:color="auto" w:fill="29650B"/>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250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134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1480" w:type="dxa"/>
            <w:vAlign w:val="bottom"/>
            <w:tcBorders>
              <w:bottom w:val="single" w:sz="8" w:color="auto"/>
              <w:right w:val="single" w:sz="8" w:color="auto"/>
            </w:tcBorders>
            <w:shd w:val="clear" w:color="auto" w:fill="29650B"/>
          </w:tcPr>
          <w:p>
            <w:pPr>
              <w:spacing w:after="0"/>
              <w:rPr>
                <w:sz w:val="9"/>
                <w:szCs w:val="9"/>
                <w:color w:val="auto"/>
              </w:rPr>
            </w:pPr>
          </w:p>
        </w:tc>
        <w:tc>
          <w:tcPr>
            <w:tcW w:w="1680" w:type="dxa"/>
            <w:vAlign w:val="bottom"/>
            <w:tcBorders>
              <w:bottom w:val="single" w:sz="8" w:color="auto"/>
              <w:right w:val="single" w:sz="8" w:color="auto"/>
            </w:tcBorders>
            <w:shd w:val="clear" w:color="auto" w:fill="29650B"/>
          </w:tcPr>
          <w:p>
            <w:pPr>
              <w:spacing w:after="0"/>
              <w:rPr>
                <w:sz w:val="9"/>
                <w:szCs w:val="9"/>
                <w:color w:val="auto"/>
              </w:rPr>
            </w:pPr>
          </w:p>
        </w:tc>
        <w:tc>
          <w:tcPr>
            <w:tcW w:w="2000" w:type="dxa"/>
            <w:vAlign w:val="bottom"/>
            <w:tcBorders>
              <w:bottom w:val="single" w:sz="8" w:color="auto"/>
              <w:right w:val="single" w:sz="8" w:color="auto"/>
            </w:tcBorders>
            <w:shd w:val="clear" w:color="auto" w:fill="29650B"/>
          </w:tcPr>
          <w:p>
            <w:pPr>
              <w:spacing w:after="0"/>
              <w:rPr>
                <w:sz w:val="9"/>
                <w:szCs w:val="9"/>
                <w:color w:val="auto"/>
              </w:rPr>
            </w:pPr>
          </w:p>
        </w:tc>
        <w:tc>
          <w:tcPr>
            <w:tcW w:w="224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Timothy Donahue</w:t>
            </w:r>
          </w:p>
        </w:tc>
        <w:tc>
          <w:tcPr>
            <w:tcW w:w="13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5"/>
              </w:rPr>
              <w:t>0%</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290%</w:t>
            </w:r>
          </w:p>
        </w:tc>
        <w:tc>
          <w:tcPr>
            <w:tcW w:w="1680" w:type="dxa"/>
            <w:vAlign w:val="bottom"/>
            <w:tcBorders>
              <w:bottom w:val="single" w:sz="8" w:color="auto"/>
              <w:right w:val="single" w:sz="8" w:color="auto"/>
            </w:tcBorders>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rPr>
              <w:t>145%</w:t>
            </w:r>
          </w:p>
        </w:tc>
        <w:tc>
          <w:tcPr>
            <w:tcW w:w="2000" w:type="dxa"/>
            <w:vAlign w:val="bottom"/>
            <w:tcBorders>
              <w:bottom w:val="single" w:sz="8" w:color="auto"/>
              <w:right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$2,102,500</w:t>
            </w:r>
          </w:p>
        </w:tc>
        <w:tc>
          <w:tcPr>
            <w:tcW w:w="2240" w:type="dxa"/>
            <w:vAlign w:val="bottom"/>
            <w:tcBorders>
              <w:bottom w:val="single" w:sz="8" w:color="auto"/>
              <w:right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$4,205,000</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auto"/>
              <w:right w:val="single" w:sz="8" w:color="auto"/>
            </w:tcBorders>
            <w:shd w:val="clear" w:color="auto" w:fill="D9D9D9"/>
          </w:tcPr>
          <w:p>
            <w:pPr>
              <w:ind w:left="120"/>
              <w:spacing w:after="0" w:line="223" w:lineRule="exact"/>
              <w:rPr>
                <w:sz w:val="20"/>
                <w:szCs w:val="20"/>
                <w:color w:val="auto"/>
              </w:rPr>
            </w:pPr>
            <w:r>
              <w:rPr>
                <w:rFonts w:ascii="Times New Roman" w:cs="Times New Roman" w:eastAsia="Times New Roman" w:hAnsi="Times New Roman"/>
                <w:sz w:val="22"/>
                <w:szCs w:val="22"/>
                <w:color w:val="auto"/>
              </w:rPr>
              <w:t>Kevin Clothier</w:t>
            </w:r>
          </w:p>
        </w:tc>
        <w:tc>
          <w:tcPr>
            <w:tcW w:w="134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Times New Roman" w:cs="Times New Roman" w:eastAsia="Times New Roman" w:hAnsi="Times New Roman"/>
                <w:sz w:val="22"/>
                <w:szCs w:val="22"/>
                <w:color w:val="auto"/>
                <w:w w:val="95"/>
              </w:rPr>
              <w:t>0%</w:t>
            </w:r>
          </w:p>
        </w:tc>
        <w:tc>
          <w:tcPr>
            <w:tcW w:w="1480" w:type="dxa"/>
            <w:vAlign w:val="bottom"/>
            <w:tcBorders>
              <w:bottom w:val="single" w:sz="8" w:color="auto"/>
              <w:right w:val="single" w:sz="8" w:color="auto"/>
            </w:tcBorders>
            <w:shd w:val="clear" w:color="auto" w:fill="D9D9D9"/>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180%</w:t>
            </w:r>
          </w:p>
        </w:tc>
        <w:tc>
          <w:tcPr>
            <w:tcW w:w="1680" w:type="dxa"/>
            <w:vAlign w:val="bottom"/>
            <w:tcBorders>
              <w:bottom w:val="single" w:sz="8" w:color="auto"/>
              <w:right w:val="single" w:sz="8" w:color="auto"/>
            </w:tcBorders>
            <w:shd w:val="clear" w:color="auto" w:fill="D9D9D9"/>
          </w:tcPr>
          <w:p>
            <w:pPr>
              <w:jc w:val="right"/>
              <w:ind w:right="212"/>
              <w:spacing w:after="0" w:line="223" w:lineRule="exact"/>
              <w:rPr>
                <w:sz w:val="20"/>
                <w:szCs w:val="20"/>
                <w:color w:val="auto"/>
              </w:rPr>
            </w:pPr>
            <w:r>
              <w:rPr>
                <w:rFonts w:ascii="Times New Roman" w:cs="Times New Roman" w:eastAsia="Times New Roman" w:hAnsi="Times New Roman"/>
                <w:sz w:val="22"/>
                <w:szCs w:val="22"/>
                <w:color w:val="auto"/>
              </w:rPr>
              <w:t>90%</w:t>
            </w:r>
          </w:p>
        </w:tc>
        <w:tc>
          <w:tcPr>
            <w:tcW w:w="2000" w:type="dxa"/>
            <w:vAlign w:val="bottom"/>
            <w:tcBorders>
              <w:bottom w:val="single" w:sz="8" w:color="auto"/>
              <w:right w:val="single" w:sz="8" w:color="auto"/>
            </w:tcBorders>
            <w:shd w:val="clear" w:color="auto" w:fill="D9D9D9"/>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724,500</w:t>
            </w:r>
          </w:p>
        </w:tc>
        <w:tc>
          <w:tcPr>
            <w:tcW w:w="2240" w:type="dxa"/>
            <w:vAlign w:val="bottom"/>
            <w:tcBorders>
              <w:bottom w:val="single" w:sz="8" w:color="auto"/>
              <w:right w:val="single" w:sz="8" w:color="auto"/>
            </w:tcBorders>
            <w:shd w:val="clear" w:color="auto" w:fill="D9D9D9"/>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1,449,000</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Gerard Gifford</w:t>
            </w:r>
          </w:p>
        </w:tc>
        <w:tc>
          <w:tcPr>
            <w:tcW w:w="13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5"/>
              </w:rPr>
              <w:t>0%</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220%</w:t>
            </w:r>
          </w:p>
        </w:tc>
        <w:tc>
          <w:tcPr>
            <w:tcW w:w="1680" w:type="dxa"/>
            <w:vAlign w:val="bottom"/>
            <w:tcBorders>
              <w:bottom w:val="single" w:sz="8" w:color="auto"/>
              <w:right w:val="single" w:sz="8" w:color="auto"/>
            </w:tcBorders>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rPr>
              <w:t>110%</w:t>
            </w:r>
          </w:p>
        </w:tc>
        <w:tc>
          <w:tcPr>
            <w:tcW w:w="2000" w:type="dxa"/>
            <w:vAlign w:val="bottom"/>
            <w:tcBorders>
              <w:bottom w:val="single" w:sz="8" w:color="auto"/>
              <w:right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1,069,200</w:t>
            </w:r>
          </w:p>
        </w:tc>
        <w:tc>
          <w:tcPr>
            <w:tcW w:w="2240" w:type="dxa"/>
            <w:vAlign w:val="bottom"/>
            <w:tcBorders>
              <w:bottom w:val="single" w:sz="8" w:color="auto"/>
              <w:right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2,138,400</w:t>
            </w:r>
          </w:p>
        </w:tc>
        <w:tc>
          <w:tcPr>
            <w:tcW w:w="0" w:type="dxa"/>
            <w:vAlign w:val="bottom"/>
          </w:tcPr>
          <w:p>
            <w:pPr>
              <w:spacing w:after="0"/>
              <w:rPr>
                <w:sz w:val="1"/>
                <w:szCs w:val="1"/>
                <w:color w:val="auto"/>
              </w:rPr>
            </w:pPr>
          </w:p>
        </w:tc>
      </w:tr>
      <w:tr>
        <w:trPr>
          <w:trHeight w:val="290"/>
        </w:trPr>
        <w:tc>
          <w:tcPr>
            <w:tcW w:w="2500" w:type="dxa"/>
            <w:vAlign w:val="bottom"/>
            <w:tcBorders>
              <w:left w:val="single" w:sz="8" w:color="auto"/>
              <w:bottom w:val="single" w:sz="8" w:color="auto"/>
              <w:right w:val="single" w:sz="8" w:color="auto"/>
            </w:tcBorders>
            <w:shd w:val="clear" w:color="auto" w:fill="D9D9D9"/>
          </w:tcPr>
          <w:p>
            <w:pPr>
              <w:ind w:left="120"/>
              <w:spacing w:after="0" w:line="290" w:lineRule="exact"/>
              <w:rPr>
                <w:sz w:val="20"/>
                <w:szCs w:val="20"/>
                <w:color w:val="auto"/>
              </w:rPr>
            </w:pPr>
            <w:r>
              <w:rPr>
                <w:rFonts w:ascii="Times New Roman" w:cs="Times New Roman" w:eastAsia="Times New Roman" w:hAnsi="Times New Roman"/>
                <w:sz w:val="21"/>
                <w:szCs w:val="21"/>
                <w:color w:val="auto"/>
              </w:rPr>
              <w:t>Djalma Novaes</w:t>
            </w:r>
            <w:r>
              <w:rPr>
                <w:rFonts w:ascii="Times New Roman" w:cs="Times New Roman" w:eastAsia="Times New Roman" w:hAnsi="Times New Roman"/>
                <w:sz w:val="33"/>
                <w:szCs w:val="33"/>
                <w:color w:val="auto"/>
                <w:vertAlign w:val="superscript"/>
              </w:rPr>
              <w:t>1</w:t>
            </w:r>
          </w:p>
        </w:tc>
        <w:tc>
          <w:tcPr>
            <w:tcW w:w="13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5"/>
              </w:rPr>
              <w:t>0%</w:t>
            </w:r>
          </w:p>
        </w:tc>
        <w:tc>
          <w:tcPr>
            <w:tcW w:w="14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c>
          <w:tcPr>
            <w:tcW w:w="1680" w:type="dxa"/>
            <w:vAlign w:val="bottom"/>
            <w:tcBorders>
              <w:bottom w:val="single" w:sz="8" w:color="auto"/>
              <w:right w:val="single" w:sz="8" w:color="auto"/>
            </w:tcBorders>
            <w:shd w:val="clear" w:color="auto" w:fill="D9D9D9"/>
          </w:tcPr>
          <w:p>
            <w:pPr>
              <w:jc w:val="right"/>
              <w:ind w:right="192"/>
              <w:spacing w:after="0"/>
              <w:rPr>
                <w:sz w:val="20"/>
                <w:szCs w:val="20"/>
                <w:color w:val="auto"/>
              </w:rPr>
            </w:pPr>
            <w:r>
              <w:rPr>
                <w:rFonts w:ascii="Times New Roman" w:cs="Times New Roman" w:eastAsia="Times New Roman" w:hAnsi="Times New Roman"/>
                <w:sz w:val="22"/>
                <w:szCs w:val="22"/>
                <w:color w:val="auto"/>
              </w:rPr>
              <w:t>100%</w:t>
            </w:r>
          </w:p>
        </w:tc>
        <w:tc>
          <w:tcPr>
            <w:tcW w:w="2000" w:type="dxa"/>
            <w:vAlign w:val="bottom"/>
            <w:tcBorders>
              <w:bottom w:val="single" w:sz="8" w:color="auto"/>
              <w:right w:val="single" w:sz="8" w:color="auto"/>
            </w:tcBorders>
            <w:shd w:val="clear" w:color="auto" w:fill="D9D9D9"/>
          </w:tcPr>
          <w:p>
            <w:pPr>
              <w:jc w:val="right"/>
              <w:ind w:right="132"/>
              <w:spacing w:after="0"/>
              <w:rPr>
                <w:sz w:val="20"/>
                <w:szCs w:val="20"/>
                <w:color w:val="auto"/>
              </w:rPr>
            </w:pPr>
            <w:r>
              <w:rPr>
                <w:rFonts w:ascii="Times New Roman" w:cs="Times New Roman" w:eastAsia="Times New Roman" w:hAnsi="Times New Roman"/>
                <w:sz w:val="22"/>
                <w:szCs w:val="22"/>
                <w:color w:val="auto"/>
              </w:rPr>
              <w:t>800,000</w:t>
            </w:r>
          </w:p>
        </w:tc>
        <w:tc>
          <w:tcPr>
            <w:tcW w:w="2240" w:type="dxa"/>
            <w:vAlign w:val="bottom"/>
            <w:tcBorders>
              <w:bottom w:val="single" w:sz="8" w:color="auto"/>
              <w:right w:val="single" w:sz="8" w:color="auto"/>
            </w:tcBorders>
            <w:shd w:val="clear" w:color="auto" w:fill="D9D9D9"/>
          </w:tcPr>
          <w:p>
            <w:pPr>
              <w:jc w:val="right"/>
              <w:ind w:right="132"/>
              <w:spacing w:after="0"/>
              <w:rPr>
                <w:sz w:val="20"/>
                <w:szCs w:val="20"/>
                <w:color w:val="auto"/>
              </w:rPr>
            </w:pPr>
            <w:r>
              <w:rPr>
                <w:rFonts w:ascii="Times New Roman" w:cs="Times New Roman" w:eastAsia="Times New Roman" w:hAnsi="Times New Roman"/>
                <w:sz w:val="22"/>
                <w:szCs w:val="22"/>
                <w:color w:val="auto"/>
              </w:rPr>
              <w:t>1,408,000</w:t>
            </w:r>
          </w:p>
        </w:tc>
        <w:tc>
          <w:tcPr>
            <w:tcW w:w="0" w:type="dxa"/>
            <w:vAlign w:val="bottom"/>
          </w:tcPr>
          <w:p>
            <w:pPr>
              <w:spacing w:after="0"/>
              <w:rPr>
                <w:sz w:val="1"/>
                <w:szCs w:val="1"/>
                <w:color w:val="auto"/>
              </w:rPr>
            </w:pPr>
          </w:p>
        </w:tc>
      </w:tr>
      <w:tr>
        <w:trPr>
          <w:trHeight w:val="223"/>
        </w:trPr>
        <w:tc>
          <w:tcPr>
            <w:tcW w:w="250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Adam Dickstein</w:t>
            </w:r>
          </w:p>
        </w:tc>
        <w:tc>
          <w:tcPr>
            <w:tcW w:w="134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5"/>
              </w:rPr>
              <w:t>0%</w:t>
            </w:r>
          </w:p>
        </w:tc>
        <w:tc>
          <w:tcPr>
            <w:tcW w:w="1480" w:type="dxa"/>
            <w:vAlign w:val="bottom"/>
            <w:tcBorders>
              <w:bottom w:val="single" w:sz="8" w:color="auto"/>
              <w:right w:val="single" w:sz="8" w:color="auto"/>
            </w:tcBorders>
          </w:tcPr>
          <w:p>
            <w:pPr>
              <w:jc w:val="center"/>
              <w:spacing w:after="0" w:line="223" w:lineRule="exact"/>
              <w:rPr>
                <w:sz w:val="20"/>
                <w:szCs w:val="20"/>
                <w:color w:val="auto"/>
              </w:rPr>
            </w:pPr>
            <w:r>
              <w:rPr>
                <w:rFonts w:ascii="Times New Roman" w:cs="Times New Roman" w:eastAsia="Times New Roman" w:hAnsi="Times New Roman"/>
                <w:sz w:val="22"/>
                <w:szCs w:val="22"/>
                <w:color w:val="auto"/>
                <w:w w:val="97"/>
              </w:rPr>
              <w:t>160%</w:t>
            </w:r>
          </w:p>
        </w:tc>
        <w:tc>
          <w:tcPr>
            <w:tcW w:w="1680" w:type="dxa"/>
            <w:vAlign w:val="bottom"/>
            <w:tcBorders>
              <w:bottom w:val="single" w:sz="8" w:color="auto"/>
              <w:right w:val="single" w:sz="8" w:color="auto"/>
            </w:tcBorders>
          </w:tcPr>
          <w:p>
            <w:pPr>
              <w:jc w:val="right"/>
              <w:ind w:right="192"/>
              <w:spacing w:after="0" w:line="223" w:lineRule="exact"/>
              <w:rPr>
                <w:sz w:val="20"/>
                <w:szCs w:val="20"/>
                <w:color w:val="auto"/>
              </w:rPr>
            </w:pPr>
            <w:r>
              <w:rPr>
                <w:rFonts w:ascii="Times New Roman" w:cs="Times New Roman" w:eastAsia="Times New Roman" w:hAnsi="Times New Roman"/>
                <w:sz w:val="22"/>
                <w:szCs w:val="22"/>
                <w:color w:val="auto"/>
              </w:rPr>
              <w:t>80%</w:t>
            </w:r>
          </w:p>
        </w:tc>
        <w:tc>
          <w:tcPr>
            <w:tcW w:w="2000" w:type="dxa"/>
            <w:vAlign w:val="bottom"/>
            <w:tcBorders>
              <w:bottom w:val="single" w:sz="8" w:color="auto"/>
              <w:right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540,000</w:t>
            </w:r>
          </w:p>
        </w:tc>
        <w:tc>
          <w:tcPr>
            <w:tcW w:w="2240" w:type="dxa"/>
            <w:vAlign w:val="bottom"/>
            <w:tcBorders>
              <w:bottom w:val="single" w:sz="8" w:color="auto"/>
              <w:right w:val="single" w:sz="8" w:color="auto"/>
            </w:tcBorders>
          </w:tcPr>
          <w:p>
            <w:pPr>
              <w:jc w:val="right"/>
              <w:ind w:right="132"/>
              <w:spacing w:after="0" w:line="223" w:lineRule="exact"/>
              <w:rPr>
                <w:sz w:val="20"/>
                <w:szCs w:val="20"/>
                <w:color w:val="auto"/>
              </w:rPr>
            </w:pPr>
            <w:r>
              <w:rPr>
                <w:rFonts w:ascii="Times New Roman" w:cs="Times New Roman" w:eastAsia="Times New Roman" w:hAnsi="Times New Roman"/>
                <w:sz w:val="22"/>
                <w:szCs w:val="22"/>
                <w:color w:val="auto"/>
              </w:rPr>
              <w:t>1,080,000</w:t>
            </w:r>
          </w:p>
        </w:tc>
        <w:tc>
          <w:tcPr>
            <w:tcW w:w="0" w:type="dxa"/>
            <w:vAlign w:val="bottom"/>
          </w:tcPr>
          <w:p>
            <w:pPr>
              <w:spacing w:after="0"/>
              <w:rPr>
                <w:sz w:val="1"/>
                <w:szCs w:val="1"/>
                <w:color w:val="auto"/>
              </w:rPr>
            </w:pPr>
          </w:p>
        </w:tc>
      </w:tr>
    </w:tbl>
    <w:p>
      <w:pPr>
        <w:spacing w:after="0" w:line="36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i w:val="1"/>
          <w:iCs w:val="1"/>
          <w:color w:val="auto"/>
        </w:rPr>
        <w:t>Performance Measures</w:t>
      </w:r>
      <w:r>
        <w:rPr>
          <w:rFonts w:ascii="Times New Roman" w:cs="Times New Roman" w:eastAsia="Times New Roman" w:hAnsi="Times New Roman"/>
          <w:sz w:val="22"/>
          <w:szCs w:val="22"/>
          <w:color w:val="auto"/>
        </w:rPr>
        <w:t>. Bonus amounts under the EP Plan were based on the following performance measures:</w:t>
      </w:r>
    </w:p>
    <w:p>
      <w:pPr>
        <w:spacing w:after="0" w:line="98" w:lineRule="exact"/>
        <w:rPr>
          <w:sz w:val="20"/>
          <w:szCs w:val="20"/>
          <w:color w:val="auto"/>
        </w:rPr>
      </w:pPr>
    </w:p>
    <w:p>
      <w:pPr>
        <w:ind w:left="1060" w:hanging="404"/>
        <w:spacing w:after="0" w:line="262" w:lineRule="auto"/>
        <w:tabs>
          <w:tab w:leader="none" w:pos="10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economic profit </w:t>
      </w:r>
      <w:r>
        <w:rPr>
          <w:rFonts w:ascii="Times New Roman" w:cs="Times New Roman" w:eastAsia="Times New Roman" w:hAnsi="Times New Roman"/>
          <w:sz w:val="22"/>
          <w:szCs w:val="22"/>
          <w:color w:val="auto"/>
        </w:rPr>
        <w:t>– defined generally as net operating profit after tax less cost of capital employed as adjusted for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certain items, including currency exchange rates and acquisitions/divestitures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17830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44" w:lineRule="exact"/>
        <w:rPr>
          <w:sz w:val="20"/>
          <w:szCs w:val="20"/>
          <w:color w:val="auto"/>
        </w:rPr>
      </w:pPr>
    </w:p>
    <w:p>
      <w:pPr>
        <w:jc w:val="both"/>
        <w:ind w:right="140" w:firstLine="8"/>
        <w:spacing w:after="0" w:line="207" w:lineRule="auto"/>
        <w:tabs>
          <w:tab w:leader="none" w:pos="138" w:val="left"/>
        </w:tabs>
        <w:numPr>
          <w:ilvl w:val="0"/>
          <w:numId w:val="43"/>
        </w:numPr>
        <w:rPr>
          <w:rFonts w:ascii="Times New Roman" w:cs="Times New Roman" w:eastAsia="Times New Roman" w:hAnsi="Times New Roman"/>
          <w:sz w:val="34"/>
          <w:szCs w:val="34"/>
          <w:color w:val="auto"/>
          <w:vertAlign w:val="superscript"/>
        </w:rPr>
      </w:pPr>
      <w:r>
        <w:rPr>
          <w:rFonts w:ascii="Times New Roman" w:cs="Times New Roman" w:eastAsia="Times New Roman" w:hAnsi="Times New Roman"/>
          <w:sz w:val="21"/>
          <w:szCs w:val="21"/>
          <w:color w:val="auto"/>
        </w:rPr>
        <w:t>The data in the first four columns of this chart for Mr. Novaes is for the period following his promotion to Executive Vice President and Chief Operating Officer. His Actual Bonus Amount is a proration for the positions he held (and the applicable bonus percentages) during the year.</w:t>
      </w:r>
    </w:p>
    <w:p>
      <w:pPr>
        <w:spacing w:after="0" w:line="31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42</w:t>
      </w:r>
    </w:p>
    <w:p>
      <w:pPr>
        <w:sectPr>
          <w:pgSz w:w="11900" w:h="16838" w:orient="portrait"/>
          <w:cols w:equalWidth="0" w:num="1">
            <w:col w:w="11240"/>
          </w:cols>
          <w:pgMar w:left="320" w:top="675" w:right="339" w:bottom="1440" w:gutter="0" w:footer="0" w:header="0"/>
        </w:sectPr>
      </w:pPr>
    </w:p>
    <w:bookmarkStart w:id="45" w:name="page46"/>
    <w:bookmarkEnd w:id="45"/>
    <w:p>
      <w:pPr>
        <w:ind w:left="1060" w:hanging="404"/>
        <w:spacing w:after="0" w:line="262" w:lineRule="auto"/>
        <w:tabs>
          <w:tab w:leader="none" w:pos="106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modified operating cash flow </w:t>
      </w:r>
      <w:r>
        <w:rPr>
          <w:rFonts w:ascii="Times New Roman" w:cs="Times New Roman" w:eastAsia="Times New Roman" w:hAnsi="Times New Roman"/>
          <w:sz w:val="22"/>
          <w:szCs w:val="22"/>
          <w:color w:val="auto"/>
        </w:rPr>
        <w:t>– defined generally as earnings before interest, taxes, depreciation and amortization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reduced by capital spending and adjusted for certain items, including changes in year-end trade working capital</w:t>
      </w:r>
    </w:p>
    <w:p>
      <w:pPr>
        <w:spacing w:after="0" w:line="82"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Cost of Capital</w:t>
      </w:r>
      <w:r>
        <w:rPr>
          <w:rFonts w:ascii="Times New Roman" w:cs="Times New Roman" w:eastAsia="Times New Roman" w:hAnsi="Times New Roman"/>
          <w:sz w:val="22"/>
          <w:szCs w:val="22"/>
          <w:color w:val="auto"/>
        </w:rPr>
        <w:t>. For purposes of calculating economic profit under the EP Plan, cost of capital employed (also called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invested capital) was defined as the average capital employed multiplied by the weighted average cost of capital. Capital employed was generally defined as total assets less non-interest bearing liabilities and is adjusted for certain items. The following items were excluded from capital employed: investments, net goodwill and intangibles, pension and post-employment assets and liabilities and deferred tax assets and liabilities. Invested capital may also be adjusted for additional capital employed at the direction of the Company’s corporate office or in accordance with overall corporate objectives. For 2025, the EP Plan used a cost of capital of 9%, which exceeds the Company’s actual cost of capital.</w:t>
      </w:r>
    </w:p>
    <w:p>
      <w:pPr>
        <w:spacing w:after="0" w:line="6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Weighting of Performance Measures</w:t>
      </w:r>
      <w:r>
        <w:rPr>
          <w:rFonts w:ascii="Times New Roman" w:cs="Times New Roman" w:eastAsia="Times New Roman" w:hAnsi="Times New Roman"/>
          <w:sz w:val="22"/>
          <w:szCs w:val="22"/>
          <w:color w:val="auto"/>
        </w:rPr>
        <w:t>. In early 2025, the Committee established target levels of performance for each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 measure. At year-end, the Committee assessed the actual results versus the targets in determining awards. The Committee must approve all awards, and all awards are subject to review and downward discretionary adjustment by the Committee.</w:t>
      </w:r>
    </w:p>
    <w:p>
      <w:pPr>
        <w:spacing w:after="0" w:line="68"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An NEO’s actual bonus amount was determined by: (i) multiplying the NEO’s target bonus amount by the actual percentage earned for each of the two performance measures, (ii) weighting each performance measure in accordance with a pre-specified formula, (iii) adding the results together to determine the overall payout factor and (iv) if applicable, reducing the overall payout to the maximum of 200% of the target bonus amount.</w:t>
      </w:r>
    </w:p>
    <w:p>
      <w:pPr>
        <w:spacing w:after="0" w:line="72"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As the achievement of each of economic profit and modified operating cash flow increases in excess of respective performance targets, the percentage of each NEO’s target bonus payable with respect to such performance measure also increases. In the case of modified operating cash flow, up to 125% of the target bonus amount will be paid, in incremental increases, as the achievement level increases from 100% to 110% of the performance target. Conversely, the percentage of the target bonus amount payable with respect to modified operating cash flow decreases as achievement falls below 100% of the applicable performance target, with no amount being payable for achievement levels at or below the threshold of 80% of the applicable performance target. The modified operating cash flow component of the EP Plan was determined based upon actual performance compared to a budgeted modified operating cash flow amount.</w:t>
      </w:r>
    </w:p>
    <w:p>
      <w:pPr>
        <w:spacing w:after="0" w:line="7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economic profit component of the EP Plan was determined by relating current-year economic profit to prior years economic profit, adjusted for currency fluctuations and divestitures. In the case of economic profit, up to 125% of the target bonus amount will be paid, in incremental increases, as the achievement level increases from 100% to 110% of the performance target. Conversely, the percentage of the target bonus amount payable with respect to economic profit decreases as achievement falls below 100% of the applicable performance target, with no amount being payable for achievement levels at or below the threshold of 80% of the applicable performance target. No portion of the target bonus amount will be paid for economic profit arising from accounting changes or similar non-cash items.</w:t>
      </w:r>
    </w:p>
    <w:p>
      <w:pPr>
        <w:spacing w:after="0" w:line="7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Notwithstanding the ability to earn up to 125% of the target bonus amount under each of the two tests (modified operating cash flow and economic profit), the maximum aggregate bonus opportunity is capped at 200% of the target bonus amount for all NEOs, with no excess carried forward into subsequent years.</w:t>
      </w:r>
    </w:p>
    <w:p>
      <w:pPr>
        <w:spacing w:after="0" w:line="61"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Setting of Target Performance Levels</w:t>
      </w:r>
      <w:r>
        <w:rPr>
          <w:rFonts w:ascii="Times New Roman" w:cs="Times New Roman" w:eastAsia="Times New Roman" w:hAnsi="Times New Roman"/>
          <w:sz w:val="22"/>
          <w:szCs w:val="22"/>
          <w:color w:val="auto"/>
        </w:rPr>
        <w:t>. Generally, the Committee attempts to set the target performance levels so that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relative difficulty of achieving the targets is consistent among the NEOs in any one year and for each NEO from year to year. In making this determination the Committee may consider specific circumstances experienced by the Company in prior years or that the Company expects to face in the coming year. For example,</w:t>
      </w:r>
    </w:p>
    <w:p>
      <w:pPr>
        <w:spacing w:after="0" w:line="68"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43</w:t>
      </w:r>
    </w:p>
    <w:p>
      <w:pPr>
        <w:sectPr>
          <w:pgSz w:w="11900" w:h="16838" w:orient="portrait"/>
          <w:cols w:equalWidth="0" w:num="1">
            <w:col w:w="11240"/>
          </w:cols>
          <w:pgMar w:left="320" w:top="567" w:right="339" w:bottom="1440" w:gutter="0" w:footer="0" w:header="0"/>
        </w:sectPr>
      </w:pPr>
    </w:p>
    <w:bookmarkStart w:id="46" w:name="page47"/>
    <w:bookmarkEnd w:id="46"/>
    <w:p>
      <w:pPr>
        <w:jc w:val="both"/>
        <w:spacing w:after="0" w:line="238" w:lineRule="auto"/>
        <w:rPr>
          <w:sz w:val="20"/>
          <w:szCs w:val="20"/>
          <w:color w:val="auto"/>
        </w:rPr>
      </w:pPr>
      <w:r>
        <w:rPr>
          <w:rFonts w:ascii="Times New Roman" w:cs="Times New Roman" w:eastAsia="Times New Roman" w:hAnsi="Times New Roman"/>
          <w:sz w:val="22"/>
          <w:szCs w:val="22"/>
          <w:color w:val="auto"/>
        </w:rPr>
        <w:t>with respect to modified operating cash flow, targets may be set below prior year actual results due to the forecasted increases in capital investment (property, plant and equipment and working capital) required for the Company’s capacity expansion, forecasted increases in working capital, higher input costs due to price increases by suppliers and variances in average trade working capital. In addition, target performance levels are subject to adjustment for special circumstances such as currency exchange rate fluctuations, acquisitions and divestitures.</w:t>
      </w:r>
    </w:p>
    <w:p>
      <w:pPr>
        <w:spacing w:after="0" w:line="6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economic profit and modified operating cash flow thresholds and targets for 2025 were set at the Company level for the CEO, Chief Financial Officer, Chief Administrative Officer, Chief Operating Officer and General Counsel. The applicable thresholds, targets and actual achievement levels for 2025 are set forth for each NEO in the following table.</w:t>
      </w:r>
    </w:p>
    <w:p>
      <w:pPr>
        <w:spacing w:after="0" w:line="177"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3060" w:type="dxa"/>
            <w:vAlign w:val="bottom"/>
            <w:tcBorders>
              <w:top w:val="single" w:sz="8" w:color="auto"/>
              <w:left w:val="single" w:sz="8" w:color="auto"/>
              <w:right w:val="single" w:sz="8" w:color="auto"/>
            </w:tcBorders>
            <w:shd w:val="clear" w:color="auto" w:fill="29650B"/>
          </w:tcPr>
          <w:p>
            <w:pPr>
              <w:spacing w:after="0"/>
              <w:rPr>
                <w:sz w:val="17"/>
                <w:szCs w:val="17"/>
                <w:color w:val="auto"/>
              </w:rPr>
            </w:pPr>
          </w:p>
        </w:tc>
        <w:tc>
          <w:tcPr>
            <w:tcW w:w="3820" w:type="dxa"/>
            <w:vAlign w:val="bottom"/>
            <w:tcBorders>
              <w:top w:val="single" w:sz="8" w:color="auto"/>
              <w:right w:val="single" w:sz="8" w:color="auto"/>
            </w:tcBorders>
            <w:gridSpan w:val="3"/>
            <w:vMerge w:val="restart"/>
            <w:shd w:val="clear" w:color="auto" w:fill="29650B"/>
          </w:tcPr>
          <w:p>
            <w:pPr>
              <w:jc w:val="right"/>
              <w:ind w:right="472"/>
              <w:spacing w:after="0"/>
              <w:rPr>
                <w:sz w:val="20"/>
                <w:szCs w:val="20"/>
                <w:color w:val="auto"/>
              </w:rPr>
            </w:pPr>
            <w:r>
              <w:rPr>
                <w:rFonts w:ascii="Times New Roman" w:cs="Times New Roman" w:eastAsia="Times New Roman" w:hAnsi="Times New Roman"/>
                <w:sz w:val="22"/>
                <w:szCs w:val="22"/>
                <w:b w:val="1"/>
                <w:bCs w:val="1"/>
                <w:color w:val="FFFFFF"/>
              </w:rPr>
              <w:t>Economic Profit (in millions)</w:t>
            </w:r>
          </w:p>
        </w:tc>
        <w:tc>
          <w:tcPr>
            <w:tcW w:w="4360" w:type="dxa"/>
            <w:vAlign w:val="bottom"/>
            <w:tcBorders>
              <w:top w:val="single" w:sz="8" w:color="auto"/>
              <w:right w:val="single" w:sz="8" w:color="auto"/>
            </w:tcBorders>
            <w:gridSpan w:val="3"/>
            <w:shd w:val="clear" w:color="auto" w:fill="29650B"/>
          </w:tcPr>
          <w:p>
            <w:pPr>
              <w:jc w:val="right"/>
              <w:ind w:right="652"/>
              <w:spacing w:after="0" w:line="202" w:lineRule="exact"/>
              <w:rPr>
                <w:sz w:val="20"/>
                <w:szCs w:val="20"/>
                <w:color w:val="auto"/>
              </w:rPr>
            </w:pPr>
            <w:r>
              <w:rPr>
                <w:rFonts w:ascii="Times New Roman" w:cs="Times New Roman" w:eastAsia="Times New Roman" w:hAnsi="Times New Roman"/>
                <w:sz w:val="22"/>
                <w:szCs w:val="22"/>
                <w:b w:val="1"/>
                <w:bCs w:val="1"/>
                <w:color w:val="FFFFFF"/>
              </w:rPr>
              <w:t>Modified Operating Cash Flow</w:t>
            </w:r>
          </w:p>
        </w:tc>
        <w:tc>
          <w:tcPr>
            <w:tcW w:w="0" w:type="dxa"/>
            <w:vAlign w:val="bottom"/>
          </w:tcPr>
          <w:p>
            <w:pPr>
              <w:spacing w:after="0"/>
              <w:rPr>
                <w:sz w:val="1"/>
                <w:szCs w:val="1"/>
                <w:color w:val="auto"/>
              </w:rPr>
            </w:pPr>
          </w:p>
        </w:tc>
      </w:tr>
      <w:tr>
        <w:trPr>
          <w:trHeight w:val="165"/>
        </w:trPr>
        <w:tc>
          <w:tcPr>
            <w:tcW w:w="3060" w:type="dxa"/>
            <w:vAlign w:val="bottom"/>
            <w:tcBorders>
              <w:left w:val="single" w:sz="8" w:color="auto"/>
              <w:right w:val="single" w:sz="8" w:color="auto"/>
            </w:tcBorders>
            <w:shd w:val="clear" w:color="auto" w:fill="29650B"/>
          </w:tcPr>
          <w:p>
            <w:pPr>
              <w:spacing w:after="0"/>
              <w:rPr>
                <w:sz w:val="14"/>
                <w:szCs w:val="14"/>
                <w:color w:val="auto"/>
              </w:rPr>
            </w:pPr>
          </w:p>
        </w:tc>
        <w:tc>
          <w:tcPr>
            <w:tcW w:w="3820" w:type="dxa"/>
            <w:vAlign w:val="bottom"/>
            <w:tcBorders>
              <w:right w:val="single" w:sz="8" w:color="auto"/>
            </w:tcBorders>
            <w:gridSpan w:val="3"/>
            <w:vMerge w:val="continue"/>
            <w:shd w:val="clear" w:color="auto" w:fill="29650B"/>
          </w:tcPr>
          <w:p>
            <w:pPr>
              <w:spacing w:after="0"/>
              <w:rPr>
                <w:sz w:val="14"/>
                <w:szCs w:val="14"/>
                <w:color w:val="auto"/>
              </w:rPr>
            </w:pPr>
          </w:p>
        </w:tc>
        <w:tc>
          <w:tcPr>
            <w:tcW w:w="1460" w:type="dxa"/>
            <w:vAlign w:val="bottom"/>
            <w:tcBorders>
              <w:right w:val="single" w:sz="8" w:color="29650B"/>
            </w:tcBorders>
            <w:shd w:val="clear" w:color="auto" w:fill="29650B"/>
          </w:tcPr>
          <w:p>
            <w:pPr>
              <w:spacing w:after="0"/>
              <w:rPr>
                <w:sz w:val="14"/>
                <w:szCs w:val="14"/>
                <w:color w:val="auto"/>
              </w:rPr>
            </w:pPr>
          </w:p>
        </w:tc>
        <w:tc>
          <w:tcPr>
            <w:tcW w:w="1680" w:type="dxa"/>
            <w:vAlign w:val="bottom"/>
            <w:tcBorders>
              <w:right w:val="single" w:sz="8" w:color="29650B"/>
            </w:tcBorders>
            <w:vMerge w:val="restart"/>
            <w:shd w:val="clear" w:color="auto" w:fill="29650B"/>
          </w:tcPr>
          <w:p>
            <w:pPr>
              <w:jc w:val="right"/>
              <w:ind w:right="312"/>
              <w:spacing w:after="0"/>
              <w:rPr>
                <w:sz w:val="20"/>
                <w:szCs w:val="20"/>
                <w:color w:val="auto"/>
              </w:rPr>
            </w:pPr>
            <w:r>
              <w:rPr>
                <w:rFonts w:ascii="Times New Roman" w:cs="Times New Roman" w:eastAsia="Times New Roman" w:hAnsi="Times New Roman"/>
                <w:sz w:val="22"/>
                <w:szCs w:val="22"/>
                <w:b w:val="1"/>
                <w:bCs w:val="1"/>
                <w:color w:val="FFFFFF"/>
              </w:rPr>
              <w:t>(in millions)</w:t>
            </w:r>
          </w:p>
        </w:tc>
        <w:tc>
          <w:tcPr>
            <w:tcW w:w="1220" w:type="dxa"/>
            <w:vAlign w:val="bottom"/>
            <w:tcBorders>
              <w:right w:val="single" w:sz="8" w:color="auto"/>
            </w:tcBorders>
            <w:shd w:val="clear" w:color="auto" w:fill="29650B"/>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060" w:type="dxa"/>
            <w:vAlign w:val="bottom"/>
            <w:tcBorders>
              <w:left w:val="single" w:sz="8" w:color="auto"/>
              <w:bottom w:val="single" w:sz="8" w:color="29650B"/>
              <w:right w:val="single" w:sz="8" w:color="auto"/>
            </w:tcBorders>
            <w:vMerge w:val="restart"/>
            <w:shd w:val="clear" w:color="auto" w:fill="29650B"/>
          </w:tcPr>
          <w:p>
            <w:pPr>
              <w:ind w:left="1260"/>
              <w:spacing w:after="0"/>
              <w:rPr>
                <w:sz w:val="20"/>
                <w:szCs w:val="20"/>
                <w:color w:val="auto"/>
              </w:rPr>
            </w:pPr>
            <w:r>
              <w:rPr>
                <w:rFonts w:ascii="Times New Roman" w:cs="Times New Roman" w:eastAsia="Times New Roman" w:hAnsi="Times New Roman"/>
                <w:sz w:val="22"/>
                <w:szCs w:val="22"/>
                <w:b w:val="1"/>
                <w:bCs w:val="1"/>
                <w:color w:val="FFFFFF"/>
              </w:rPr>
              <w:t>Name</w:t>
            </w:r>
          </w:p>
        </w:tc>
        <w:tc>
          <w:tcPr>
            <w:tcW w:w="1360" w:type="dxa"/>
            <w:vAlign w:val="bottom"/>
            <w:tcBorders>
              <w:bottom w:val="single" w:sz="8" w:color="auto"/>
              <w:right w:val="single" w:sz="8" w:color="29650B"/>
            </w:tcBorders>
            <w:shd w:val="clear" w:color="auto" w:fill="29650B"/>
          </w:tcPr>
          <w:p>
            <w:pPr>
              <w:spacing w:after="0"/>
              <w:rPr>
                <w:sz w:val="9"/>
                <w:szCs w:val="9"/>
                <w:color w:val="auto"/>
              </w:rPr>
            </w:pPr>
          </w:p>
        </w:tc>
        <w:tc>
          <w:tcPr>
            <w:tcW w:w="1240" w:type="dxa"/>
            <w:vAlign w:val="bottom"/>
            <w:tcBorders>
              <w:bottom w:val="single" w:sz="8" w:color="auto"/>
              <w:right w:val="single" w:sz="8" w:color="29650B"/>
            </w:tcBorders>
            <w:shd w:val="clear" w:color="auto" w:fill="29650B"/>
          </w:tcPr>
          <w:p>
            <w:pPr>
              <w:spacing w:after="0"/>
              <w:rPr>
                <w:sz w:val="9"/>
                <w:szCs w:val="9"/>
                <w:color w:val="auto"/>
              </w:rPr>
            </w:pPr>
          </w:p>
        </w:tc>
        <w:tc>
          <w:tcPr>
            <w:tcW w:w="1220" w:type="dxa"/>
            <w:vAlign w:val="bottom"/>
            <w:tcBorders>
              <w:bottom w:val="single" w:sz="8" w:color="auto"/>
              <w:right w:val="single" w:sz="8" w:color="auto"/>
            </w:tcBorders>
            <w:shd w:val="clear" w:color="auto" w:fill="29650B"/>
          </w:tcPr>
          <w:p>
            <w:pPr>
              <w:spacing w:after="0"/>
              <w:rPr>
                <w:sz w:val="9"/>
                <w:szCs w:val="9"/>
                <w:color w:val="auto"/>
              </w:rPr>
            </w:pPr>
          </w:p>
        </w:tc>
        <w:tc>
          <w:tcPr>
            <w:tcW w:w="1460" w:type="dxa"/>
            <w:vAlign w:val="bottom"/>
            <w:tcBorders>
              <w:bottom w:val="single" w:sz="8" w:color="auto"/>
              <w:right w:val="single" w:sz="8" w:color="29650B"/>
            </w:tcBorders>
            <w:shd w:val="clear" w:color="auto" w:fill="29650B"/>
          </w:tcPr>
          <w:p>
            <w:pPr>
              <w:spacing w:after="0"/>
              <w:rPr>
                <w:sz w:val="9"/>
                <w:szCs w:val="9"/>
                <w:color w:val="auto"/>
              </w:rPr>
            </w:pPr>
          </w:p>
        </w:tc>
        <w:tc>
          <w:tcPr>
            <w:tcW w:w="1680" w:type="dxa"/>
            <w:vAlign w:val="bottom"/>
            <w:tcBorders>
              <w:bottom w:val="single" w:sz="8" w:color="auto"/>
              <w:right w:val="single" w:sz="8" w:color="29650B"/>
            </w:tcBorders>
            <w:vMerge w:val="continue"/>
            <w:shd w:val="clear" w:color="auto" w:fill="29650B"/>
          </w:tcPr>
          <w:p>
            <w:pPr>
              <w:spacing w:after="0"/>
              <w:rPr>
                <w:sz w:val="9"/>
                <w:szCs w:val="9"/>
                <w:color w:val="auto"/>
              </w:rPr>
            </w:pPr>
          </w:p>
        </w:tc>
        <w:tc>
          <w:tcPr>
            <w:tcW w:w="122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vMerge w:val="continue"/>
            <w:shd w:val="clear" w:color="auto" w:fill="29650B"/>
          </w:tcPr>
          <w:p>
            <w:pPr>
              <w:spacing w:after="0"/>
              <w:rPr>
                <w:sz w:val="19"/>
                <w:szCs w:val="19"/>
                <w:color w:val="auto"/>
              </w:rPr>
            </w:pPr>
          </w:p>
        </w:tc>
        <w:tc>
          <w:tcPr>
            <w:tcW w:w="1360" w:type="dxa"/>
            <w:vAlign w:val="bottom"/>
            <w:tcBorders>
              <w:bottom w:val="single" w:sz="8" w:color="auto"/>
              <w:right w:val="single" w:sz="8" w:color="auto"/>
            </w:tcBorders>
            <w:shd w:val="clear" w:color="auto" w:fill="29650B"/>
          </w:tcPr>
          <w:p>
            <w:pPr>
              <w:jc w:val="right"/>
              <w:ind w:right="112"/>
              <w:spacing w:after="0" w:line="223" w:lineRule="exact"/>
              <w:rPr>
                <w:sz w:val="20"/>
                <w:szCs w:val="20"/>
                <w:color w:val="auto"/>
              </w:rPr>
            </w:pPr>
            <w:r>
              <w:rPr>
                <w:rFonts w:ascii="Times New Roman" w:cs="Times New Roman" w:eastAsia="Times New Roman" w:hAnsi="Times New Roman"/>
                <w:sz w:val="22"/>
                <w:szCs w:val="22"/>
                <w:b w:val="1"/>
                <w:bCs w:val="1"/>
                <w:color w:val="FFFFFF"/>
              </w:rPr>
              <w:t>Threshold</w:t>
            </w:r>
          </w:p>
        </w:tc>
        <w:tc>
          <w:tcPr>
            <w:tcW w:w="1240" w:type="dxa"/>
            <w:vAlign w:val="bottom"/>
            <w:tcBorders>
              <w:bottom w:val="single" w:sz="8" w:color="auto"/>
              <w:right w:val="single" w:sz="8" w:color="auto"/>
            </w:tcBorders>
            <w:shd w:val="clear" w:color="auto" w:fill="29650B"/>
          </w:tcPr>
          <w:p>
            <w:pPr>
              <w:jc w:val="right"/>
              <w:ind w:right="232"/>
              <w:spacing w:after="0" w:line="223" w:lineRule="exact"/>
              <w:rPr>
                <w:sz w:val="20"/>
                <w:szCs w:val="20"/>
                <w:color w:val="auto"/>
              </w:rPr>
            </w:pPr>
            <w:r>
              <w:rPr>
                <w:rFonts w:ascii="Times New Roman" w:cs="Times New Roman" w:eastAsia="Times New Roman" w:hAnsi="Times New Roman"/>
                <w:sz w:val="22"/>
                <w:szCs w:val="22"/>
                <w:b w:val="1"/>
                <w:bCs w:val="1"/>
                <w:color w:val="FFFFFF"/>
              </w:rPr>
              <w:t>Target</w:t>
            </w:r>
          </w:p>
        </w:tc>
        <w:tc>
          <w:tcPr>
            <w:tcW w:w="1220" w:type="dxa"/>
            <w:vAlign w:val="bottom"/>
            <w:tcBorders>
              <w:bottom w:val="single" w:sz="8" w:color="auto"/>
              <w:right w:val="single" w:sz="8" w:color="auto"/>
            </w:tcBorders>
            <w:shd w:val="clear" w:color="auto" w:fill="29650B"/>
          </w:tcPr>
          <w:p>
            <w:pPr>
              <w:jc w:val="right"/>
              <w:ind w:right="212"/>
              <w:spacing w:after="0" w:line="223" w:lineRule="exact"/>
              <w:rPr>
                <w:sz w:val="20"/>
                <w:szCs w:val="20"/>
                <w:color w:val="auto"/>
              </w:rPr>
            </w:pPr>
            <w:r>
              <w:rPr>
                <w:rFonts w:ascii="Times New Roman" w:cs="Times New Roman" w:eastAsia="Times New Roman" w:hAnsi="Times New Roman"/>
                <w:sz w:val="22"/>
                <w:szCs w:val="22"/>
                <w:b w:val="1"/>
                <w:bCs w:val="1"/>
                <w:color w:val="FFFFFF"/>
              </w:rPr>
              <w:t>Actual</w:t>
            </w:r>
          </w:p>
        </w:tc>
        <w:tc>
          <w:tcPr>
            <w:tcW w:w="1460" w:type="dxa"/>
            <w:vAlign w:val="bottom"/>
            <w:tcBorders>
              <w:bottom w:val="single" w:sz="8" w:color="auto"/>
              <w:right w:val="single" w:sz="8" w:color="auto"/>
            </w:tcBorders>
            <w:shd w:val="clear" w:color="auto" w:fill="29650B"/>
          </w:tcPr>
          <w:p>
            <w:pPr>
              <w:jc w:val="right"/>
              <w:ind w:right="152"/>
              <w:spacing w:after="0" w:line="223" w:lineRule="exact"/>
              <w:rPr>
                <w:sz w:val="20"/>
                <w:szCs w:val="20"/>
                <w:color w:val="auto"/>
              </w:rPr>
            </w:pPr>
            <w:r>
              <w:rPr>
                <w:rFonts w:ascii="Times New Roman" w:cs="Times New Roman" w:eastAsia="Times New Roman" w:hAnsi="Times New Roman"/>
                <w:sz w:val="22"/>
                <w:szCs w:val="22"/>
                <w:b w:val="1"/>
                <w:bCs w:val="1"/>
                <w:color w:val="FFFFFF"/>
              </w:rPr>
              <w:t>Threshold</w:t>
            </w:r>
          </w:p>
        </w:tc>
        <w:tc>
          <w:tcPr>
            <w:tcW w:w="1680" w:type="dxa"/>
            <w:vAlign w:val="bottom"/>
            <w:tcBorders>
              <w:bottom w:val="single" w:sz="8" w:color="auto"/>
              <w:right w:val="single" w:sz="8" w:color="auto"/>
            </w:tcBorders>
            <w:shd w:val="clear" w:color="auto" w:fill="29650B"/>
          </w:tcPr>
          <w:p>
            <w:pPr>
              <w:jc w:val="right"/>
              <w:ind w:right="452"/>
              <w:spacing w:after="0" w:line="223" w:lineRule="exact"/>
              <w:rPr>
                <w:sz w:val="20"/>
                <w:szCs w:val="20"/>
                <w:color w:val="auto"/>
              </w:rPr>
            </w:pPr>
            <w:r>
              <w:rPr>
                <w:rFonts w:ascii="Times New Roman" w:cs="Times New Roman" w:eastAsia="Times New Roman" w:hAnsi="Times New Roman"/>
                <w:sz w:val="22"/>
                <w:szCs w:val="22"/>
                <w:b w:val="1"/>
                <w:bCs w:val="1"/>
                <w:color w:val="FFFFFF"/>
              </w:rPr>
              <w:t>Target</w:t>
            </w:r>
          </w:p>
        </w:tc>
        <w:tc>
          <w:tcPr>
            <w:tcW w:w="1220" w:type="dxa"/>
            <w:vAlign w:val="bottom"/>
            <w:tcBorders>
              <w:bottom w:val="single" w:sz="8" w:color="auto"/>
              <w:right w:val="single" w:sz="8" w:color="auto"/>
            </w:tcBorders>
            <w:shd w:val="clear" w:color="auto" w:fill="29650B"/>
          </w:tcPr>
          <w:p>
            <w:pPr>
              <w:jc w:val="right"/>
              <w:ind w:right="212"/>
              <w:spacing w:after="0" w:line="223" w:lineRule="exact"/>
              <w:rPr>
                <w:sz w:val="20"/>
                <w:szCs w:val="20"/>
                <w:color w:val="auto"/>
              </w:rPr>
            </w:pPr>
            <w:r>
              <w:rPr>
                <w:rFonts w:ascii="Times New Roman" w:cs="Times New Roman" w:eastAsia="Times New Roman" w:hAnsi="Times New Roman"/>
                <w:sz w:val="22"/>
                <w:szCs w:val="22"/>
                <w:b w:val="1"/>
                <w:bCs w:val="1"/>
                <w:color w:val="FFFFFF"/>
              </w:rPr>
              <w:t>Actual</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Timothy Donahue</w:t>
            </w:r>
          </w:p>
        </w:tc>
        <w:tc>
          <w:tcPr>
            <w:tcW w:w="136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$483.7</w:t>
            </w:r>
          </w:p>
        </w:tc>
        <w:tc>
          <w:tcPr>
            <w:tcW w:w="124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$604.6</w:t>
            </w:r>
          </w:p>
        </w:tc>
        <w:tc>
          <w:tcPr>
            <w:tcW w:w="122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$736.1</w:t>
            </w:r>
          </w:p>
        </w:tc>
        <w:tc>
          <w:tcPr>
            <w:tcW w:w="146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$1,154.4</w:t>
            </w:r>
          </w:p>
        </w:tc>
        <w:tc>
          <w:tcPr>
            <w:tcW w:w="168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$1,443.0</w:t>
            </w:r>
          </w:p>
        </w:tc>
        <w:tc>
          <w:tcPr>
            <w:tcW w:w="122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$1,757.0</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shd w:val="clear" w:color="auto" w:fill="D9D9D9"/>
          </w:tcPr>
          <w:p>
            <w:pPr>
              <w:ind w:left="120"/>
              <w:spacing w:after="0" w:line="223" w:lineRule="exact"/>
              <w:rPr>
                <w:sz w:val="20"/>
                <w:szCs w:val="20"/>
                <w:color w:val="auto"/>
              </w:rPr>
            </w:pPr>
            <w:r>
              <w:rPr>
                <w:rFonts w:ascii="Times New Roman" w:cs="Times New Roman" w:eastAsia="Times New Roman" w:hAnsi="Times New Roman"/>
                <w:sz w:val="22"/>
                <w:szCs w:val="22"/>
                <w:color w:val="auto"/>
              </w:rPr>
              <w:t>Kevin Clothier</w:t>
            </w:r>
          </w:p>
        </w:tc>
        <w:tc>
          <w:tcPr>
            <w:tcW w:w="1360" w:type="dxa"/>
            <w:vAlign w:val="bottom"/>
            <w:tcBorders>
              <w:bottom w:val="single" w:sz="8" w:color="auto"/>
              <w:right w:val="single" w:sz="8" w:color="auto"/>
            </w:tcBorders>
            <w:shd w:val="clear" w:color="auto" w:fill="D9D9D9"/>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483.7</w:t>
            </w:r>
          </w:p>
        </w:tc>
        <w:tc>
          <w:tcPr>
            <w:tcW w:w="1240" w:type="dxa"/>
            <w:vAlign w:val="bottom"/>
            <w:tcBorders>
              <w:bottom w:val="single" w:sz="8" w:color="auto"/>
              <w:right w:val="single" w:sz="8" w:color="auto"/>
            </w:tcBorders>
            <w:shd w:val="clear" w:color="auto" w:fill="D9D9D9"/>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604.6</w:t>
            </w:r>
          </w:p>
        </w:tc>
        <w:tc>
          <w:tcPr>
            <w:tcW w:w="1220" w:type="dxa"/>
            <w:vAlign w:val="bottom"/>
            <w:tcBorders>
              <w:bottom w:val="single" w:sz="8" w:color="auto"/>
              <w:right w:val="single" w:sz="8" w:color="auto"/>
            </w:tcBorders>
            <w:shd w:val="clear" w:color="auto" w:fill="D9D9D9"/>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736.1</w:t>
            </w:r>
          </w:p>
        </w:tc>
        <w:tc>
          <w:tcPr>
            <w:tcW w:w="1460" w:type="dxa"/>
            <w:vAlign w:val="bottom"/>
            <w:tcBorders>
              <w:bottom w:val="single" w:sz="8" w:color="auto"/>
              <w:right w:val="single" w:sz="8" w:color="auto"/>
            </w:tcBorders>
            <w:shd w:val="clear" w:color="auto" w:fill="D9D9D9"/>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1,154.4</w:t>
            </w:r>
          </w:p>
        </w:tc>
        <w:tc>
          <w:tcPr>
            <w:tcW w:w="1680" w:type="dxa"/>
            <w:vAlign w:val="bottom"/>
            <w:tcBorders>
              <w:bottom w:val="single" w:sz="8" w:color="auto"/>
              <w:right w:val="single" w:sz="8" w:color="auto"/>
            </w:tcBorders>
            <w:shd w:val="clear" w:color="auto" w:fill="D9D9D9"/>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1,443.0</w:t>
            </w:r>
          </w:p>
        </w:tc>
        <w:tc>
          <w:tcPr>
            <w:tcW w:w="1220" w:type="dxa"/>
            <w:vAlign w:val="bottom"/>
            <w:tcBorders>
              <w:bottom w:val="single" w:sz="8" w:color="auto"/>
              <w:right w:val="single" w:sz="8" w:color="auto"/>
            </w:tcBorders>
            <w:shd w:val="clear" w:color="auto" w:fill="D9D9D9"/>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1,757.0</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Gerard Gifford</w:t>
            </w:r>
          </w:p>
        </w:tc>
        <w:tc>
          <w:tcPr>
            <w:tcW w:w="136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483.7</w:t>
            </w:r>
          </w:p>
        </w:tc>
        <w:tc>
          <w:tcPr>
            <w:tcW w:w="124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604.6</w:t>
            </w:r>
          </w:p>
        </w:tc>
        <w:tc>
          <w:tcPr>
            <w:tcW w:w="122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736.1</w:t>
            </w:r>
          </w:p>
        </w:tc>
        <w:tc>
          <w:tcPr>
            <w:tcW w:w="146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1,154.4</w:t>
            </w:r>
          </w:p>
        </w:tc>
        <w:tc>
          <w:tcPr>
            <w:tcW w:w="168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1,443.0</w:t>
            </w:r>
          </w:p>
        </w:tc>
        <w:tc>
          <w:tcPr>
            <w:tcW w:w="122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1,757.0</w:t>
            </w:r>
          </w:p>
        </w:tc>
        <w:tc>
          <w:tcPr>
            <w:tcW w:w="0" w:type="dxa"/>
            <w:vAlign w:val="bottom"/>
          </w:tcPr>
          <w:p>
            <w:pPr>
              <w:spacing w:after="0"/>
              <w:rPr>
                <w:sz w:val="1"/>
                <w:szCs w:val="1"/>
                <w:color w:val="auto"/>
              </w:rPr>
            </w:pPr>
          </w:p>
        </w:tc>
      </w:tr>
      <w:tr>
        <w:trPr>
          <w:trHeight w:val="291"/>
        </w:trPr>
        <w:tc>
          <w:tcPr>
            <w:tcW w:w="3060" w:type="dxa"/>
            <w:vAlign w:val="bottom"/>
            <w:tcBorders>
              <w:left w:val="single" w:sz="8" w:color="auto"/>
              <w:bottom w:val="single" w:sz="8" w:color="auto"/>
              <w:right w:val="single" w:sz="8" w:color="auto"/>
            </w:tcBorders>
            <w:shd w:val="clear" w:color="auto" w:fill="D9D9D9"/>
          </w:tcPr>
          <w:p>
            <w:pPr>
              <w:ind w:left="120"/>
              <w:spacing w:after="0" w:line="290" w:lineRule="exact"/>
              <w:rPr>
                <w:sz w:val="20"/>
                <w:szCs w:val="20"/>
                <w:color w:val="auto"/>
              </w:rPr>
            </w:pPr>
            <w:r>
              <w:rPr>
                <w:rFonts w:ascii="Times New Roman" w:cs="Times New Roman" w:eastAsia="Times New Roman" w:hAnsi="Times New Roman"/>
                <w:sz w:val="21"/>
                <w:szCs w:val="21"/>
                <w:color w:val="auto"/>
              </w:rPr>
              <w:t>Djalma Novaes</w:t>
            </w:r>
            <w:r>
              <w:rPr>
                <w:rFonts w:ascii="Times New Roman" w:cs="Times New Roman" w:eastAsia="Times New Roman" w:hAnsi="Times New Roman"/>
                <w:sz w:val="33"/>
                <w:szCs w:val="33"/>
                <w:color w:val="auto"/>
                <w:vertAlign w:val="superscript"/>
              </w:rPr>
              <w:t>1</w:t>
            </w:r>
          </w:p>
        </w:tc>
        <w:tc>
          <w:tcPr>
            <w:tcW w:w="1360" w:type="dxa"/>
            <w:vAlign w:val="bottom"/>
            <w:tcBorders>
              <w:bottom w:val="single" w:sz="8" w:color="auto"/>
              <w:right w:val="single" w:sz="8" w:color="auto"/>
            </w:tcBorders>
            <w:shd w:val="clear" w:color="auto" w:fill="D9D9D9"/>
          </w:tcPr>
          <w:p>
            <w:pPr>
              <w:jc w:val="right"/>
              <w:ind w:right="12"/>
              <w:spacing w:after="0"/>
              <w:rPr>
                <w:sz w:val="20"/>
                <w:szCs w:val="20"/>
                <w:color w:val="auto"/>
              </w:rPr>
            </w:pPr>
            <w:r>
              <w:rPr>
                <w:rFonts w:ascii="Times New Roman" w:cs="Times New Roman" w:eastAsia="Times New Roman" w:hAnsi="Times New Roman"/>
                <w:sz w:val="22"/>
                <w:szCs w:val="22"/>
                <w:color w:val="auto"/>
              </w:rPr>
              <w:t>483.7</w:t>
            </w:r>
          </w:p>
        </w:tc>
        <w:tc>
          <w:tcPr>
            <w:tcW w:w="1240" w:type="dxa"/>
            <w:vAlign w:val="bottom"/>
            <w:tcBorders>
              <w:bottom w:val="single" w:sz="8" w:color="auto"/>
              <w:right w:val="single" w:sz="8" w:color="auto"/>
            </w:tcBorders>
            <w:shd w:val="clear" w:color="auto" w:fill="D9D9D9"/>
          </w:tcPr>
          <w:p>
            <w:pPr>
              <w:jc w:val="right"/>
              <w:ind w:right="12"/>
              <w:spacing w:after="0"/>
              <w:rPr>
                <w:sz w:val="20"/>
                <w:szCs w:val="20"/>
                <w:color w:val="auto"/>
              </w:rPr>
            </w:pPr>
            <w:r>
              <w:rPr>
                <w:rFonts w:ascii="Times New Roman" w:cs="Times New Roman" w:eastAsia="Times New Roman" w:hAnsi="Times New Roman"/>
                <w:sz w:val="22"/>
                <w:szCs w:val="22"/>
                <w:color w:val="auto"/>
              </w:rPr>
              <w:t>604.6</w:t>
            </w:r>
          </w:p>
        </w:tc>
        <w:tc>
          <w:tcPr>
            <w:tcW w:w="1220" w:type="dxa"/>
            <w:vAlign w:val="bottom"/>
            <w:tcBorders>
              <w:bottom w:val="single" w:sz="8" w:color="auto"/>
              <w:right w:val="single" w:sz="8" w:color="auto"/>
            </w:tcBorders>
            <w:shd w:val="clear" w:color="auto" w:fill="D9D9D9"/>
          </w:tcPr>
          <w:p>
            <w:pPr>
              <w:jc w:val="right"/>
              <w:ind w:right="12"/>
              <w:spacing w:after="0"/>
              <w:rPr>
                <w:sz w:val="20"/>
                <w:szCs w:val="20"/>
                <w:color w:val="auto"/>
              </w:rPr>
            </w:pPr>
            <w:r>
              <w:rPr>
                <w:rFonts w:ascii="Times New Roman" w:cs="Times New Roman" w:eastAsia="Times New Roman" w:hAnsi="Times New Roman"/>
                <w:sz w:val="22"/>
                <w:szCs w:val="22"/>
                <w:color w:val="auto"/>
              </w:rPr>
              <w:t>736.1</w:t>
            </w:r>
          </w:p>
        </w:tc>
        <w:tc>
          <w:tcPr>
            <w:tcW w:w="1460" w:type="dxa"/>
            <w:vAlign w:val="bottom"/>
            <w:tcBorders>
              <w:bottom w:val="single" w:sz="8" w:color="auto"/>
              <w:right w:val="single" w:sz="8" w:color="auto"/>
            </w:tcBorders>
            <w:shd w:val="clear" w:color="auto" w:fill="D9D9D9"/>
          </w:tcPr>
          <w:p>
            <w:pPr>
              <w:jc w:val="right"/>
              <w:ind w:right="12"/>
              <w:spacing w:after="0"/>
              <w:rPr>
                <w:sz w:val="20"/>
                <w:szCs w:val="20"/>
                <w:color w:val="auto"/>
              </w:rPr>
            </w:pPr>
            <w:r>
              <w:rPr>
                <w:rFonts w:ascii="Times New Roman" w:cs="Times New Roman" w:eastAsia="Times New Roman" w:hAnsi="Times New Roman"/>
                <w:sz w:val="22"/>
                <w:szCs w:val="22"/>
                <w:color w:val="auto"/>
              </w:rPr>
              <w:t>1,154.4</w:t>
            </w:r>
          </w:p>
        </w:tc>
        <w:tc>
          <w:tcPr>
            <w:tcW w:w="1680" w:type="dxa"/>
            <w:vAlign w:val="bottom"/>
            <w:tcBorders>
              <w:bottom w:val="single" w:sz="8" w:color="auto"/>
              <w:right w:val="single" w:sz="8" w:color="auto"/>
            </w:tcBorders>
            <w:shd w:val="clear" w:color="auto" w:fill="D9D9D9"/>
          </w:tcPr>
          <w:p>
            <w:pPr>
              <w:jc w:val="right"/>
              <w:ind w:right="12"/>
              <w:spacing w:after="0"/>
              <w:rPr>
                <w:sz w:val="20"/>
                <w:szCs w:val="20"/>
                <w:color w:val="auto"/>
              </w:rPr>
            </w:pPr>
            <w:r>
              <w:rPr>
                <w:rFonts w:ascii="Times New Roman" w:cs="Times New Roman" w:eastAsia="Times New Roman" w:hAnsi="Times New Roman"/>
                <w:sz w:val="22"/>
                <w:szCs w:val="22"/>
                <w:color w:val="auto"/>
              </w:rPr>
              <w:t>1,443.0</w:t>
            </w:r>
          </w:p>
        </w:tc>
        <w:tc>
          <w:tcPr>
            <w:tcW w:w="1220" w:type="dxa"/>
            <w:vAlign w:val="bottom"/>
            <w:tcBorders>
              <w:bottom w:val="single" w:sz="8" w:color="auto"/>
              <w:right w:val="single" w:sz="8" w:color="auto"/>
            </w:tcBorders>
            <w:shd w:val="clear" w:color="auto" w:fill="D9D9D9"/>
          </w:tcPr>
          <w:p>
            <w:pPr>
              <w:jc w:val="right"/>
              <w:ind w:right="12"/>
              <w:spacing w:after="0"/>
              <w:rPr>
                <w:sz w:val="20"/>
                <w:szCs w:val="20"/>
                <w:color w:val="auto"/>
              </w:rPr>
            </w:pPr>
            <w:r>
              <w:rPr>
                <w:rFonts w:ascii="Times New Roman" w:cs="Times New Roman" w:eastAsia="Times New Roman" w:hAnsi="Times New Roman"/>
                <w:sz w:val="22"/>
                <w:szCs w:val="22"/>
                <w:color w:val="auto"/>
              </w:rPr>
              <w:t>1,757.0</w:t>
            </w:r>
          </w:p>
        </w:tc>
        <w:tc>
          <w:tcPr>
            <w:tcW w:w="0" w:type="dxa"/>
            <w:vAlign w:val="bottom"/>
          </w:tcPr>
          <w:p>
            <w:pPr>
              <w:spacing w:after="0"/>
              <w:rPr>
                <w:sz w:val="1"/>
                <w:szCs w:val="1"/>
                <w:color w:val="auto"/>
              </w:rPr>
            </w:pPr>
          </w:p>
        </w:tc>
      </w:tr>
      <w:tr>
        <w:trPr>
          <w:trHeight w:val="223"/>
        </w:trPr>
        <w:tc>
          <w:tcPr>
            <w:tcW w:w="3060" w:type="dxa"/>
            <w:vAlign w:val="bottom"/>
            <w:tcBorders>
              <w:left w:val="single" w:sz="8" w:color="auto"/>
              <w:bottom w:val="single" w:sz="8" w:color="auto"/>
              <w:right w:val="single" w:sz="8" w:color="auto"/>
            </w:tcBorders>
          </w:tcPr>
          <w:p>
            <w:pPr>
              <w:ind w:left="120"/>
              <w:spacing w:after="0" w:line="223" w:lineRule="exact"/>
              <w:rPr>
                <w:sz w:val="20"/>
                <w:szCs w:val="20"/>
                <w:color w:val="auto"/>
              </w:rPr>
            </w:pPr>
            <w:r>
              <w:rPr>
                <w:rFonts w:ascii="Times New Roman" w:cs="Times New Roman" w:eastAsia="Times New Roman" w:hAnsi="Times New Roman"/>
                <w:sz w:val="22"/>
                <w:szCs w:val="22"/>
                <w:color w:val="auto"/>
              </w:rPr>
              <w:t>Adam Dickstein</w:t>
            </w:r>
          </w:p>
        </w:tc>
        <w:tc>
          <w:tcPr>
            <w:tcW w:w="136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483.7</w:t>
            </w:r>
          </w:p>
        </w:tc>
        <w:tc>
          <w:tcPr>
            <w:tcW w:w="124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604.6</w:t>
            </w:r>
          </w:p>
        </w:tc>
        <w:tc>
          <w:tcPr>
            <w:tcW w:w="122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736.1</w:t>
            </w:r>
          </w:p>
        </w:tc>
        <w:tc>
          <w:tcPr>
            <w:tcW w:w="146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1,154.4</w:t>
            </w:r>
          </w:p>
        </w:tc>
        <w:tc>
          <w:tcPr>
            <w:tcW w:w="168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1,443.0</w:t>
            </w:r>
          </w:p>
        </w:tc>
        <w:tc>
          <w:tcPr>
            <w:tcW w:w="1220" w:type="dxa"/>
            <w:vAlign w:val="bottom"/>
            <w:tcBorders>
              <w:bottom w:val="single" w:sz="8" w:color="auto"/>
              <w:right w:val="single" w:sz="8" w:color="auto"/>
            </w:tcBorders>
          </w:tcPr>
          <w:p>
            <w:pPr>
              <w:jc w:val="right"/>
              <w:ind w:right="12"/>
              <w:spacing w:after="0" w:line="223" w:lineRule="exact"/>
              <w:rPr>
                <w:sz w:val="20"/>
                <w:szCs w:val="20"/>
                <w:color w:val="auto"/>
              </w:rPr>
            </w:pPr>
            <w:r>
              <w:rPr>
                <w:rFonts w:ascii="Times New Roman" w:cs="Times New Roman" w:eastAsia="Times New Roman" w:hAnsi="Times New Roman"/>
                <w:sz w:val="22"/>
                <w:szCs w:val="22"/>
                <w:color w:val="auto"/>
              </w:rPr>
              <w:t>1,757.0</w:t>
            </w:r>
          </w:p>
        </w:tc>
        <w:tc>
          <w:tcPr>
            <w:tcW w:w="0" w:type="dxa"/>
            <w:vAlign w:val="bottom"/>
          </w:tcPr>
          <w:p>
            <w:pPr>
              <w:spacing w:after="0"/>
              <w:rPr>
                <w:sz w:val="1"/>
                <w:szCs w:val="1"/>
                <w:color w:val="auto"/>
              </w:rPr>
            </w:pPr>
          </w:p>
        </w:tc>
      </w:tr>
    </w:tbl>
    <w:p>
      <w:pPr>
        <w:spacing w:after="0" w:line="225"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i w:val="1"/>
          <w:iCs w:val="1"/>
          <w:color w:val="auto"/>
        </w:rPr>
        <w:t>2025 Bonus Calculations</w:t>
      </w:r>
      <w:r>
        <w:rPr>
          <w:rFonts w:ascii="Times New Roman" w:cs="Times New Roman" w:eastAsia="Times New Roman" w:hAnsi="Times New Roman"/>
          <w:sz w:val="22"/>
          <w:szCs w:val="22"/>
          <w:color w:val="auto"/>
        </w:rPr>
        <w:t>. All NEOs received bonuses under the EP Plan equal to 200% of their respective target bonus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amounts, of which 125% was attributable to modified operating cash flow and 125% to economic profit, reduced to a total bonus of 200% of target.</w:t>
      </w:r>
    </w:p>
    <w:p>
      <w:pPr>
        <w:spacing w:after="0" w:line="59"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b w:val="1"/>
          <w:bCs w:val="1"/>
          <w:color w:val="auto"/>
        </w:rPr>
        <w:t xml:space="preserve">Long-Term Equity Incentives. </w:t>
      </w:r>
      <w:r>
        <w:rPr>
          <w:rFonts w:ascii="Times New Roman" w:cs="Times New Roman" w:eastAsia="Times New Roman" w:hAnsi="Times New Roman"/>
          <w:sz w:val="22"/>
          <w:szCs w:val="22"/>
          <w:color w:val="auto"/>
        </w:rPr>
        <w:t>The Committee believes that equity-based incentives, delivered through annual grants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time-based restricted stock and performance-based restricted stock, are an important link between executive and shareholder interests. Because the Committee believes that a significant portion of the benefits realized from long-term equity-based incentive grants should require continuous improvement in value created for Shareholders, approximately two-thirds of the targeted value of stock awards to NEOs is performance-based. In the 2025 grants, the Company used relative total shareholder return (“TSR”) and return on invested capital (“ROIC”) as the two performance metrics for purposes of vesting performance-based shares. The Committee believes that the use of TSR and ROIC aligns the long-term incentive plan with the Company’s long-term objectives and with current peer practices. Although the Committee may vary the size of annual grants based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17830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78" w:lineRule="exact"/>
        <w:rPr>
          <w:sz w:val="20"/>
          <w:szCs w:val="20"/>
          <w:color w:val="auto"/>
        </w:rPr>
      </w:pPr>
    </w:p>
    <w:p>
      <w:pPr>
        <w:jc w:val="both"/>
        <w:ind w:firstLine="8"/>
        <w:spacing w:after="0" w:line="216" w:lineRule="auto"/>
        <w:tabs>
          <w:tab w:leader="none" w:pos="185" w:val="left"/>
        </w:tabs>
        <w:numPr>
          <w:ilvl w:val="0"/>
          <w:numId w:val="45"/>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Mr. Novaes’ bonus calculation when he served as President – Americas Division included division-level targets. He was promoted to Executive Vice President and Chief Operating Officer on July 1, 2025. The economic profit and modified operating cash flow thresholds and targets shown above apply after his promotion date. Prior to his promotion, while Mr. Novaes held the position of President – Americas Division, the following division-level metrics applied: for economic profit, the threshold was $275.2 million, and the target was $344.0 million; and for modified operating cash flow, the threshold was $803.2 million, and the target was $1,004.0 million. Mr. Novaes’ final bonus for 2025 was determined based on a proration of the actual achievement of applicable performance levels during the time he held the two positions in 2025.</w:t>
      </w:r>
    </w:p>
    <w:p>
      <w:pPr>
        <w:spacing w:after="0" w:line="3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44</w:t>
      </w:r>
    </w:p>
    <w:p>
      <w:pPr>
        <w:sectPr>
          <w:pgSz w:w="11900" w:h="16838" w:orient="portrait"/>
          <w:cols w:equalWidth="0" w:num="1">
            <w:col w:w="11240"/>
          </w:cols>
          <w:pgMar w:left="320" w:top="571" w:right="339" w:bottom="1440" w:gutter="0" w:footer="0" w:header="0"/>
        </w:sectPr>
      </w:pPr>
    </w:p>
    <w:bookmarkStart w:id="47" w:name="page48"/>
    <w:bookmarkEnd w:id="47"/>
    <w:p>
      <w:pPr>
        <w:jc w:val="both"/>
        <w:spacing w:after="0" w:line="239" w:lineRule="auto"/>
        <w:rPr>
          <w:sz w:val="20"/>
          <w:szCs w:val="20"/>
          <w:color w:val="auto"/>
        </w:rPr>
      </w:pPr>
      <w:r>
        <w:rPr>
          <w:rFonts w:ascii="Times New Roman" w:cs="Times New Roman" w:eastAsia="Times New Roman" w:hAnsi="Times New Roman"/>
          <w:sz w:val="22"/>
          <w:szCs w:val="22"/>
          <w:color w:val="auto"/>
        </w:rPr>
        <w:t>the Company’s and executive’s performance, the total annual equity award granted to each NEO is generally determined based upon the difference between the total direct compensation target established by the Committee, using the competitive market benchmarking and internal factors described above, and the sum of the NEO’s base salary and target annual incentive bonus. See “Compensation Strategy for CEO” and “Compensation Strategy for NEOs other than the CEO.”</w:t>
      </w:r>
    </w:p>
    <w:p>
      <w:pPr>
        <w:spacing w:after="0" w:line="7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Equity awards to NEOs are generally made by the Committee each year in the form of restricted stock as part of the normal annual compensation review cycle. The awards for a particular year generally occur in January or February. In addition, the Committee may approve equity awards for newly hired executives or in recognition of an executive’s promotion or expansion of responsibilities. Mr. Novaes received a mid-year award in 2025 in connection with his promotion to Executive Vice President and Chief Operating Officer.</w:t>
      </w:r>
    </w:p>
    <w:p>
      <w:pPr>
        <w:spacing w:after="0" w:line="6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Committee approved the following award structure for 2025:</w:t>
      </w:r>
    </w:p>
    <w:p>
      <w:pPr>
        <w:spacing w:after="0" w:line="94" w:lineRule="exact"/>
        <w:rPr>
          <w:sz w:val="20"/>
          <w:szCs w:val="20"/>
          <w:color w:val="auto"/>
        </w:rPr>
      </w:pPr>
    </w:p>
    <w:p>
      <w:pPr>
        <w:jc w:val="both"/>
        <w:ind w:left="1040" w:hanging="384"/>
        <w:spacing w:after="0" w:line="246" w:lineRule="auto"/>
        <w:tabs>
          <w:tab w:leader="none" w:pos="10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Target Award Levels</w:t>
      </w:r>
      <w:r>
        <w:rPr>
          <w:rFonts w:ascii="Times New Roman" w:cs="Times New Roman" w:eastAsia="Times New Roman" w:hAnsi="Times New Roman"/>
          <w:sz w:val="22"/>
          <w:szCs w:val="22"/>
          <w:color w:val="auto"/>
        </w:rPr>
        <w:t>. Award levels were generally set to deliver target total direct compensation (sum of base salary,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annual and long-term equity incentives) in the middle range of the Peer Group after taking into account the competitive positioning of the executives’ target total cash compensation.</w:t>
      </w:r>
    </w:p>
    <w:p>
      <w:pPr>
        <w:spacing w:after="0" w:line="59" w:lineRule="exact"/>
        <w:rPr>
          <w:rFonts w:ascii="Times New Roman" w:cs="Times New Roman" w:eastAsia="Times New Roman" w:hAnsi="Times New Roman"/>
          <w:sz w:val="22"/>
          <w:szCs w:val="22"/>
          <w:color w:val="auto"/>
        </w:rPr>
      </w:pPr>
    </w:p>
    <w:p>
      <w:pPr>
        <w:jc w:val="both"/>
        <w:ind w:left="1040" w:hanging="384"/>
        <w:spacing w:after="0" w:line="234" w:lineRule="auto"/>
        <w:tabs>
          <w:tab w:leader="none" w:pos="104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Performance-Based Restricted Stock</w:t>
      </w:r>
      <w:r>
        <w:rPr>
          <w:rFonts w:ascii="Times New Roman" w:cs="Times New Roman" w:eastAsia="Times New Roman" w:hAnsi="Times New Roman"/>
          <w:sz w:val="22"/>
          <w:szCs w:val="22"/>
          <w:color w:val="auto"/>
        </w:rPr>
        <w:t>. Approximately two-thirds of an NEO’s targeted long-term equity incentive was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delivered in performance-based restricted stock, approximately half of which may be earned based on the Company’s TSR relative to a published index of industry peers over a three-year performance period and approximately half of which may be earned based on ROIC over the same three-year performance period relative to the Company’s projected three-year average of return on invested capital. A target number of shares was established for 2025 for each NEO, as set forth in the “Grants of Plan-Based Awards” table in the Executive Compensation section below. Actual vesting of performance-based share awards generally will not occur until the third anniversary of the grant date, if at all. The Committee believes that, in addition to linking a substantial portion of an NEO’s compensation to the long-term performance of the Company, the three-year vesting structure provides a strong retention element because an NEO terminating employment (other than for death or disability or, with Committee approval, retirement) will forfeit unvested awards.</w:t>
      </w:r>
    </w:p>
    <w:p>
      <w:pPr>
        <w:spacing w:after="0" w:line="67" w:lineRule="exact"/>
        <w:rPr>
          <w:rFonts w:ascii="Times New Roman" w:cs="Times New Roman" w:eastAsia="Times New Roman" w:hAnsi="Times New Roman"/>
          <w:sz w:val="22"/>
          <w:szCs w:val="22"/>
          <w:color w:val="auto"/>
        </w:rPr>
      </w:pPr>
    </w:p>
    <w:p>
      <w:pPr>
        <w:jc w:val="both"/>
        <w:ind w:left="1040" w:hanging="384"/>
        <w:spacing w:after="0" w:line="263" w:lineRule="auto"/>
        <w:tabs>
          <w:tab w:leader="none" w:pos="1040" w:val="left"/>
        </w:tabs>
        <w:numPr>
          <w:ilvl w:val="0"/>
          <w:numId w:val="4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i w:val="1"/>
          <w:iCs w:val="1"/>
          <w:color w:val="auto"/>
        </w:rPr>
        <w:t>Time-Based Restricted Stock</w:t>
      </w:r>
      <w:r>
        <w:rPr>
          <w:rFonts w:ascii="Times New Roman" w:cs="Times New Roman" w:eastAsia="Times New Roman" w:hAnsi="Times New Roman"/>
          <w:sz w:val="21"/>
          <w:szCs w:val="21"/>
          <w:color w:val="auto"/>
        </w:rPr>
        <w:t>. Approximately one-third of an NEO’s targeted long-term equity incentive was delivered</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in time-based restricted stock that vests in equal annual installments over three years from the date of the award in the amounts set forth in the “Grants of Plan-Based Awards” table in the Executive Compensation section below.</w:t>
      </w:r>
    </w:p>
    <w:p>
      <w:pPr>
        <w:spacing w:after="0" w:line="43"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Industry Peer Index Composition</w:t>
      </w:r>
      <w:r>
        <w:rPr>
          <w:rFonts w:ascii="Times New Roman" w:cs="Times New Roman" w:eastAsia="Times New Roman" w:hAnsi="Times New Roman"/>
          <w:sz w:val="22"/>
          <w:szCs w:val="22"/>
          <w:color w:val="auto"/>
        </w:rPr>
        <w:t>. The Committee believes that for purposes of comparing TSR it is appropriate to utilize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 recognized publicly available index of container and packaging industry companies as the peer group. As a result, with respect to determining TSR for 2025 grants, the Committee used the Dow Jones U.S. Containers &amp; Packaging Index, comprised of the Company and the following other companies as of the grant date:</w:t>
      </w:r>
    </w:p>
    <w:p>
      <w:pPr>
        <w:spacing w:after="0" w:line="17" w:lineRule="exact"/>
        <w:rPr>
          <w:sz w:val="20"/>
          <w:szCs w:val="20"/>
          <w:color w:val="auto"/>
        </w:rPr>
      </w:pPr>
    </w:p>
    <w:tbl>
      <w:tblPr>
        <w:tblLayout w:type="fixed"/>
        <w:tblInd w:w="1500" w:type="dxa"/>
        <w:tblCellMar>
          <w:top w:w="0" w:type="dxa"/>
          <w:left w:w="0" w:type="dxa"/>
          <w:bottom w:w="0" w:type="dxa"/>
          <w:right w:w="0" w:type="dxa"/>
        </w:tblCellMar>
      </w:tblPr>
      <w:tr>
        <w:trPr>
          <w:trHeight w:val="253"/>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Amcor</w:t>
            </w:r>
          </w:p>
        </w:tc>
        <w:tc>
          <w:tcPr>
            <w:tcW w:w="404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International Paper</w:t>
            </w:r>
          </w:p>
        </w:tc>
      </w:tr>
      <w:tr>
        <w:trPr>
          <w:trHeight w:val="243"/>
        </w:trPr>
        <w:tc>
          <w:tcPr>
            <w:tcW w:w="2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AptarGroup</w:t>
            </w:r>
          </w:p>
        </w:tc>
        <w:tc>
          <w:tcPr>
            <w:tcW w:w="404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Packaging Corporation of America</w:t>
            </w:r>
          </w:p>
        </w:tc>
      </w:tr>
      <w:tr>
        <w:trPr>
          <w:trHeight w:val="243"/>
        </w:trPr>
        <w:tc>
          <w:tcPr>
            <w:tcW w:w="2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Avery Dennison Corporation</w:t>
            </w:r>
          </w:p>
        </w:tc>
        <w:tc>
          <w:tcPr>
            <w:tcW w:w="404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Sealed Air Corporation</w:t>
            </w:r>
          </w:p>
        </w:tc>
      </w:tr>
      <w:tr>
        <w:trPr>
          <w:trHeight w:val="243"/>
        </w:trPr>
        <w:tc>
          <w:tcPr>
            <w:tcW w:w="27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Ball Corporation</w:t>
            </w:r>
          </w:p>
        </w:tc>
        <w:tc>
          <w:tcPr>
            <w:tcW w:w="404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Silgan Holdings</w:t>
            </w:r>
          </w:p>
        </w:tc>
      </w:tr>
      <w:tr>
        <w:trPr>
          <w:trHeight w:val="283"/>
        </w:trPr>
        <w:tc>
          <w:tcPr>
            <w:tcW w:w="2720" w:type="dxa"/>
            <w:vAlign w:val="bottom"/>
          </w:tcPr>
          <w:p>
            <w:pPr>
              <w:spacing w:after="0" w:line="283" w:lineRule="exact"/>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Berry Global Group</w:t>
            </w:r>
            <w:r>
              <w:rPr>
                <w:rFonts w:ascii="Times New Roman" w:cs="Times New Roman" w:eastAsia="Times New Roman" w:hAnsi="Times New Roman"/>
                <w:sz w:val="32"/>
                <w:szCs w:val="32"/>
                <w:color w:val="auto"/>
                <w:vertAlign w:val="superscript"/>
              </w:rPr>
              <w:t>1</w:t>
            </w:r>
          </w:p>
        </w:tc>
        <w:tc>
          <w:tcPr>
            <w:tcW w:w="404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Smurfit Westrock</w:t>
            </w:r>
          </w:p>
        </w:tc>
      </w:tr>
      <w:tr>
        <w:trPr>
          <w:trHeight w:val="282"/>
        </w:trPr>
        <w:tc>
          <w:tcPr>
            <w:tcW w:w="2720" w:type="dxa"/>
            <w:vAlign w:val="bottom"/>
          </w:tcPr>
          <w:p>
            <w:pPr>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Graphic Packaging</w:t>
            </w:r>
          </w:p>
        </w:tc>
        <w:tc>
          <w:tcPr>
            <w:tcW w:w="404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19"/>
                <w:szCs w:val="19"/>
                <w:color w:val="auto"/>
              </w:rPr>
              <w:t>Sonoco Products Company</w:t>
            </w:r>
          </w:p>
        </w:tc>
      </w:tr>
      <w:tr>
        <w:trPr>
          <w:trHeight w:val="297"/>
        </w:trPr>
        <w:tc>
          <w:tcPr>
            <w:tcW w:w="2720" w:type="dxa"/>
            <w:vAlign w:val="bottom"/>
          </w:tcPr>
          <w:p>
            <w:pPr>
              <w:spacing w:after="0"/>
              <w:rPr>
                <w:sz w:val="24"/>
                <w:szCs w:val="24"/>
                <w:color w:val="auto"/>
              </w:rPr>
            </w:pPr>
          </w:p>
        </w:tc>
        <w:tc>
          <w:tcPr>
            <w:tcW w:w="40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____________________</w:t>
            </w:r>
          </w:p>
        </w:tc>
      </w:tr>
    </w:tbl>
    <w:p>
      <w:pPr>
        <w:ind w:left="780" w:hanging="124"/>
        <w:spacing w:after="0"/>
        <w:tabs>
          <w:tab w:leader="none" w:pos="780" w:val="left"/>
        </w:tabs>
        <w:numPr>
          <w:ilvl w:val="0"/>
          <w:numId w:val="47"/>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18"/>
          <w:szCs w:val="18"/>
          <w:color w:val="auto"/>
        </w:rPr>
        <w:t>Berry Global was acquired by Amcor in April 2025. It will not be used in the vesting calculation.</w:t>
      </w:r>
    </w:p>
    <w:p>
      <w:pPr>
        <w:spacing w:after="0" w:line="200" w:lineRule="exact"/>
        <w:rPr>
          <w:sz w:val="20"/>
          <w:szCs w:val="20"/>
          <w:color w:val="auto"/>
        </w:rPr>
      </w:pPr>
    </w:p>
    <w:p>
      <w:pPr>
        <w:spacing w:after="0" w:line="20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45</w:t>
      </w:r>
    </w:p>
    <w:p>
      <w:pPr>
        <w:sectPr>
          <w:pgSz w:w="11900" w:h="16838" w:orient="portrait"/>
          <w:cols w:equalWidth="0" w:num="1">
            <w:col w:w="11240"/>
          </w:cols>
          <w:pgMar w:left="320" w:top="571" w:right="339" w:bottom="1440" w:gutter="0" w:footer="0" w:header="0"/>
        </w:sectPr>
      </w:pPr>
    </w:p>
    <w:bookmarkStart w:id="48" w:name="page49"/>
    <w:bookmarkEnd w:id="48"/>
    <w:p>
      <w:pPr>
        <w:jc w:val="both"/>
        <w:ind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Performance Vesting Schedule for TSR-Based Awards</w:t>
      </w:r>
      <w:r>
        <w:rPr>
          <w:rFonts w:ascii="Times New Roman" w:cs="Times New Roman" w:eastAsia="Times New Roman" w:hAnsi="Times New Roman"/>
          <w:sz w:val="22"/>
          <w:szCs w:val="22"/>
          <w:color w:val="auto"/>
        </w:rPr>
        <w:t>. The Committee determined that, for the portion of performance-based shares vesting on the basis of TSR, such shares would vest based on the following schedule.</w:t>
      </w:r>
    </w:p>
    <w:p>
      <w:pPr>
        <w:spacing w:after="0" w:line="377" w:lineRule="exact"/>
        <w:rPr>
          <w:sz w:val="20"/>
          <w:szCs w:val="20"/>
          <w:color w:val="auto"/>
        </w:rPr>
      </w:pPr>
    </w:p>
    <w:tbl>
      <w:tblPr>
        <w:tblLayout w:type="fixed"/>
        <w:tblInd w:w="1430" w:type="dxa"/>
        <w:tblCellMar>
          <w:top w:w="0" w:type="dxa"/>
          <w:left w:w="0" w:type="dxa"/>
          <w:bottom w:w="0" w:type="dxa"/>
          <w:right w:w="0" w:type="dxa"/>
        </w:tblCellMar>
      </w:tblPr>
      <w:tr>
        <w:trPr>
          <w:trHeight w:val="225"/>
        </w:trPr>
        <w:tc>
          <w:tcPr>
            <w:tcW w:w="3540" w:type="dxa"/>
            <w:vAlign w:val="bottom"/>
            <w:tcBorders>
              <w:top w:val="single" w:sz="8" w:color="auto"/>
              <w:left w:val="single" w:sz="8" w:color="auto"/>
              <w:right w:val="single" w:sz="8" w:color="auto"/>
            </w:tcBorders>
            <w:shd w:val="clear" w:color="auto" w:fill="29650B"/>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FFFFFF"/>
                <w:w w:val="97"/>
              </w:rPr>
              <w:t>TSR Percentile Ranking</w:t>
            </w:r>
          </w:p>
        </w:tc>
        <w:tc>
          <w:tcPr>
            <w:tcW w:w="4880" w:type="dxa"/>
            <w:vAlign w:val="bottom"/>
            <w:tcBorders>
              <w:top w:val="single" w:sz="8" w:color="auto"/>
              <w:right w:val="single" w:sz="8" w:color="auto"/>
            </w:tcBorders>
            <w:vMerge w:val="restart"/>
            <w:shd w:val="clear" w:color="auto" w:fill="29650B"/>
          </w:tcPr>
          <w:p>
            <w:pPr>
              <w:ind w:left="1100"/>
              <w:spacing w:after="0"/>
              <w:rPr>
                <w:sz w:val="20"/>
                <w:szCs w:val="20"/>
                <w:color w:val="auto"/>
              </w:rPr>
            </w:pPr>
            <w:r>
              <w:rPr>
                <w:rFonts w:ascii="Times New Roman" w:cs="Times New Roman" w:eastAsia="Times New Roman" w:hAnsi="Times New Roman"/>
                <w:sz w:val="22"/>
                <w:szCs w:val="22"/>
                <w:b w:val="1"/>
                <w:bCs w:val="1"/>
                <w:color w:val="FFFFFF"/>
              </w:rPr>
              <w:t>Percentage of Shares Vesting</w:t>
            </w:r>
          </w:p>
        </w:tc>
        <w:tc>
          <w:tcPr>
            <w:tcW w:w="0" w:type="dxa"/>
            <w:vAlign w:val="bottom"/>
          </w:tcPr>
          <w:p>
            <w:pPr>
              <w:spacing w:after="0"/>
              <w:rPr>
                <w:sz w:val="1"/>
                <w:szCs w:val="1"/>
                <w:color w:val="auto"/>
              </w:rPr>
            </w:pPr>
          </w:p>
        </w:tc>
      </w:tr>
      <w:tr>
        <w:trPr>
          <w:trHeight w:val="165"/>
        </w:trPr>
        <w:tc>
          <w:tcPr>
            <w:tcW w:w="3540" w:type="dxa"/>
            <w:vAlign w:val="bottom"/>
            <w:tcBorders>
              <w:left w:val="single" w:sz="8" w:color="auto"/>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7"/>
              </w:rPr>
              <w:t>Versus Peers</w:t>
            </w:r>
          </w:p>
        </w:tc>
        <w:tc>
          <w:tcPr>
            <w:tcW w:w="4880" w:type="dxa"/>
            <w:vAlign w:val="bottom"/>
            <w:tcBorders>
              <w:right w:val="single" w:sz="8" w:color="auto"/>
            </w:tcBorders>
            <w:vMerge w:val="continue"/>
            <w:shd w:val="clear" w:color="auto" w:fill="29650B"/>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3540" w:type="dxa"/>
            <w:vAlign w:val="bottom"/>
            <w:tcBorders>
              <w:left w:val="single" w:sz="8" w:color="auto"/>
              <w:bottom w:val="single" w:sz="8" w:color="auto"/>
              <w:right w:val="single" w:sz="8" w:color="auto"/>
            </w:tcBorders>
            <w:vMerge w:val="continue"/>
            <w:shd w:val="clear" w:color="auto" w:fill="29650B"/>
          </w:tcPr>
          <w:p>
            <w:pPr>
              <w:spacing w:after="0"/>
              <w:rPr>
                <w:sz w:val="9"/>
                <w:szCs w:val="9"/>
                <w:color w:val="auto"/>
              </w:rPr>
            </w:pPr>
          </w:p>
        </w:tc>
        <w:tc>
          <w:tcPr>
            <w:tcW w:w="488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3540" w:type="dxa"/>
            <w:vAlign w:val="bottom"/>
            <w:tcBorders>
              <w:left w:val="single" w:sz="8" w:color="auto"/>
              <w:bottom w:val="single" w:sz="8" w:color="auto"/>
              <w:right w:val="single" w:sz="8" w:color="auto"/>
            </w:tcBorders>
          </w:tcPr>
          <w:p>
            <w:pPr>
              <w:jc w:val="center"/>
              <w:spacing w:after="0" w:line="290" w:lineRule="exact"/>
              <w:rPr>
                <w:sz w:val="20"/>
                <w:szCs w:val="20"/>
                <w:color w:val="auto"/>
              </w:rPr>
            </w:pPr>
            <w:r>
              <w:rPr>
                <w:rFonts w:ascii="Times New Roman" w:cs="Times New Roman" w:eastAsia="Times New Roman" w:hAnsi="Times New Roman"/>
                <w:sz w:val="21"/>
                <w:szCs w:val="21"/>
                <w:color w:val="auto"/>
                <w:w w:val="99"/>
              </w:rPr>
              <w:t>90</w:t>
            </w:r>
            <w:r>
              <w:rPr>
                <w:rFonts w:ascii="Times New Roman" w:cs="Times New Roman" w:eastAsia="Times New Roman" w:hAnsi="Times New Roman"/>
                <w:sz w:val="33"/>
                <w:szCs w:val="33"/>
                <w:color w:val="auto"/>
                <w:w w:val="99"/>
                <w:vertAlign w:val="superscript"/>
              </w:rPr>
              <w:t>th</w:t>
            </w:r>
            <w:r>
              <w:rPr>
                <w:rFonts w:ascii="Times New Roman" w:cs="Times New Roman" w:eastAsia="Times New Roman" w:hAnsi="Times New Roman"/>
                <w:sz w:val="21"/>
                <w:szCs w:val="21"/>
                <w:color w:val="auto"/>
                <w:w w:val="99"/>
              </w:rPr>
              <w:t xml:space="preserve"> or Above</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200%</w:t>
            </w:r>
          </w:p>
        </w:tc>
        <w:tc>
          <w:tcPr>
            <w:tcW w:w="0" w:type="dxa"/>
            <w:vAlign w:val="bottom"/>
          </w:tcPr>
          <w:p>
            <w:pPr>
              <w:spacing w:after="0"/>
              <w:rPr>
                <w:sz w:val="1"/>
                <w:szCs w:val="1"/>
                <w:color w:val="auto"/>
              </w:rPr>
            </w:pPr>
          </w:p>
        </w:tc>
      </w:tr>
      <w:tr>
        <w:trPr>
          <w:trHeight w:val="291"/>
        </w:trPr>
        <w:tc>
          <w:tcPr>
            <w:tcW w:w="3540" w:type="dxa"/>
            <w:vAlign w:val="bottom"/>
            <w:tcBorders>
              <w:left w:val="single" w:sz="8" w:color="auto"/>
              <w:bottom w:val="single" w:sz="8" w:color="auto"/>
              <w:right w:val="single" w:sz="8" w:color="auto"/>
            </w:tcBorders>
            <w:shd w:val="clear" w:color="auto" w:fill="D9D9D9"/>
          </w:tcPr>
          <w:p>
            <w:pPr>
              <w:jc w:val="center"/>
              <w:spacing w:after="0" w:line="290" w:lineRule="exact"/>
              <w:rPr>
                <w:sz w:val="20"/>
                <w:szCs w:val="20"/>
                <w:color w:val="auto"/>
              </w:rPr>
            </w:pPr>
            <w:r>
              <w:rPr>
                <w:rFonts w:ascii="Times New Roman" w:cs="Times New Roman" w:eastAsia="Times New Roman" w:hAnsi="Times New Roman"/>
                <w:sz w:val="21"/>
                <w:szCs w:val="21"/>
                <w:color w:val="auto"/>
                <w:w w:val="96"/>
              </w:rPr>
              <w:t>75</w:t>
            </w:r>
            <w:r>
              <w:rPr>
                <w:rFonts w:ascii="Times New Roman" w:cs="Times New Roman" w:eastAsia="Times New Roman" w:hAnsi="Times New Roman"/>
                <w:sz w:val="33"/>
                <w:szCs w:val="33"/>
                <w:color w:val="auto"/>
                <w:w w:val="96"/>
                <w:vertAlign w:val="superscript"/>
              </w:rPr>
              <w:t>th</w:t>
            </w:r>
            <w:r>
              <w:rPr>
                <w:rFonts w:ascii="Times New Roman" w:cs="Times New Roman" w:eastAsia="Times New Roman" w:hAnsi="Times New Roman"/>
                <w:sz w:val="21"/>
                <w:szCs w:val="21"/>
                <w:color w:val="auto"/>
                <w:w w:val="96"/>
              </w:rPr>
              <w:t xml:space="preserve"> – 89</w:t>
            </w:r>
            <w:r>
              <w:rPr>
                <w:rFonts w:ascii="Times New Roman" w:cs="Times New Roman" w:eastAsia="Times New Roman" w:hAnsi="Times New Roman"/>
                <w:sz w:val="33"/>
                <w:szCs w:val="33"/>
                <w:color w:val="auto"/>
                <w:w w:val="96"/>
                <w:vertAlign w:val="superscript"/>
              </w:rPr>
              <w:t>th</w:t>
            </w:r>
          </w:p>
        </w:tc>
        <w:tc>
          <w:tcPr>
            <w:tcW w:w="4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8"/>
              </w:rPr>
              <w:t>150-199%</w:t>
            </w:r>
          </w:p>
        </w:tc>
        <w:tc>
          <w:tcPr>
            <w:tcW w:w="0" w:type="dxa"/>
            <w:vAlign w:val="bottom"/>
          </w:tcPr>
          <w:p>
            <w:pPr>
              <w:spacing w:after="0"/>
              <w:rPr>
                <w:sz w:val="1"/>
                <w:szCs w:val="1"/>
                <w:color w:val="auto"/>
              </w:rPr>
            </w:pPr>
          </w:p>
        </w:tc>
      </w:tr>
      <w:tr>
        <w:trPr>
          <w:trHeight w:val="290"/>
        </w:trPr>
        <w:tc>
          <w:tcPr>
            <w:tcW w:w="3540" w:type="dxa"/>
            <w:vAlign w:val="bottom"/>
            <w:tcBorders>
              <w:left w:val="single" w:sz="8" w:color="auto"/>
              <w:bottom w:val="single" w:sz="8" w:color="auto"/>
              <w:right w:val="single" w:sz="8" w:color="auto"/>
            </w:tcBorders>
          </w:tcPr>
          <w:p>
            <w:pPr>
              <w:jc w:val="center"/>
              <w:spacing w:after="0" w:line="290" w:lineRule="exact"/>
              <w:rPr>
                <w:sz w:val="20"/>
                <w:szCs w:val="20"/>
                <w:color w:val="auto"/>
              </w:rPr>
            </w:pPr>
            <w:r>
              <w:rPr>
                <w:rFonts w:ascii="Times New Roman" w:cs="Times New Roman" w:eastAsia="Times New Roman" w:hAnsi="Times New Roman"/>
                <w:sz w:val="21"/>
                <w:szCs w:val="21"/>
                <w:color w:val="auto"/>
                <w:w w:val="96"/>
              </w:rPr>
              <w:t>50</w:t>
            </w:r>
            <w:r>
              <w:rPr>
                <w:rFonts w:ascii="Times New Roman" w:cs="Times New Roman" w:eastAsia="Times New Roman" w:hAnsi="Times New Roman"/>
                <w:sz w:val="33"/>
                <w:szCs w:val="33"/>
                <w:color w:val="auto"/>
                <w:w w:val="96"/>
                <w:vertAlign w:val="superscript"/>
              </w:rPr>
              <w:t>th</w:t>
            </w:r>
            <w:r>
              <w:rPr>
                <w:rFonts w:ascii="Times New Roman" w:cs="Times New Roman" w:eastAsia="Times New Roman" w:hAnsi="Times New Roman"/>
                <w:sz w:val="21"/>
                <w:szCs w:val="21"/>
                <w:color w:val="auto"/>
                <w:w w:val="96"/>
              </w:rPr>
              <w:t xml:space="preserve"> – 74</w:t>
            </w:r>
            <w:r>
              <w:rPr>
                <w:rFonts w:ascii="Times New Roman" w:cs="Times New Roman" w:eastAsia="Times New Roman" w:hAnsi="Times New Roman"/>
                <w:sz w:val="33"/>
                <w:szCs w:val="33"/>
                <w:color w:val="auto"/>
                <w:w w:val="96"/>
                <w:vertAlign w:val="superscript"/>
              </w:rPr>
              <w:t>th</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8"/>
              </w:rPr>
              <w:t>100-149%</w:t>
            </w:r>
          </w:p>
        </w:tc>
        <w:tc>
          <w:tcPr>
            <w:tcW w:w="0" w:type="dxa"/>
            <w:vAlign w:val="bottom"/>
          </w:tcPr>
          <w:p>
            <w:pPr>
              <w:spacing w:after="0"/>
              <w:rPr>
                <w:sz w:val="1"/>
                <w:szCs w:val="1"/>
                <w:color w:val="auto"/>
              </w:rPr>
            </w:pPr>
          </w:p>
        </w:tc>
      </w:tr>
      <w:tr>
        <w:trPr>
          <w:trHeight w:val="291"/>
        </w:trPr>
        <w:tc>
          <w:tcPr>
            <w:tcW w:w="3540" w:type="dxa"/>
            <w:vAlign w:val="bottom"/>
            <w:tcBorders>
              <w:left w:val="single" w:sz="8" w:color="auto"/>
              <w:bottom w:val="single" w:sz="8" w:color="auto"/>
              <w:right w:val="single" w:sz="8" w:color="auto"/>
            </w:tcBorders>
            <w:shd w:val="clear" w:color="auto" w:fill="D9D9D9"/>
          </w:tcPr>
          <w:p>
            <w:pPr>
              <w:jc w:val="center"/>
              <w:spacing w:after="0" w:line="290" w:lineRule="exact"/>
              <w:rPr>
                <w:sz w:val="20"/>
                <w:szCs w:val="20"/>
                <w:color w:val="auto"/>
              </w:rPr>
            </w:pPr>
            <w:r>
              <w:rPr>
                <w:rFonts w:ascii="Times New Roman" w:cs="Times New Roman" w:eastAsia="Times New Roman" w:hAnsi="Times New Roman"/>
                <w:sz w:val="21"/>
                <w:szCs w:val="21"/>
                <w:color w:val="auto"/>
                <w:w w:val="96"/>
              </w:rPr>
              <w:t>40</w:t>
            </w:r>
            <w:r>
              <w:rPr>
                <w:rFonts w:ascii="Times New Roman" w:cs="Times New Roman" w:eastAsia="Times New Roman" w:hAnsi="Times New Roman"/>
                <w:sz w:val="33"/>
                <w:szCs w:val="33"/>
                <w:color w:val="auto"/>
                <w:w w:val="96"/>
                <w:vertAlign w:val="superscript"/>
              </w:rPr>
              <w:t>th</w:t>
            </w:r>
            <w:r>
              <w:rPr>
                <w:rFonts w:ascii="Times New Roman" w:cs="Times New Roman" w:eastAsia="Times New Roman" w:hAnsi="Times New Roman"/>
                <w:sz w:val="21"/>
                <w:szCs w:val="21"/>
                <w:color w:val="auto"/>
                <w:w w:val="96"/>
              </w:rPr>
              <w:t xml:space="preserve"> – 49</w:t>
            </w:r>
            <w:r>
              <w:rPr>
                <w:rFonts w:ascii="Times New Roman" w:cs="Times New Roman" w:eastAsia="Times New Roman" w:hAnsi="Times New Roman"/>
                <w:sz w:val="33"/>
                <w:szCs w:val="33"/>
                <w:color w:val="auto"/>
                <w:w w:val="96"/>
                <w:vertAlign w:val="superscript"/>
              </w:rPr>
              <w:t>th</w:t>
            </w:r>
          </w:p>
        </w:tc>
        <w:tc>
          <w:tcPr>
            <w:tcW w:w="4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7"/>
              </w:rPr>
              <w:t>50-99%</w:t>
            </w:r>
          </w:p>
        </w:tc>
        <w:tc>
          <w:tcPr>
            <w:tcW w:w="0" w:type="dxa"/>
            <w:vAlign w:val="bottom"/>
          </w:tcPr>
          <w:p>
            <w:pPr>
              <w:spacing w:after="0"/>
              <w:rPr>
                <w:sz w:val="1"/>
                <w:szCs w:val="1"/>
                <w:color w:val="auto"/>
              </w:rPr>
            </w:pPr>
          </w:p>
        </w:tc>
      </w:tr>
      <w:tr>
        <w:trPr>
          <w:trHeight w:val="290"/>
        </w:trPr>
        <w:tc>
          <w:tcPr>
            <w:tcW w:w="3540" w:type="dxa"/>
            <w:vAlign w:val="bottom"/>
            <w:tcBorders>
              <w:left w:val="single" w:sz="8" w:color="auto"/>
              <w:bottom w:val="single" w:sz="8" w:color="auto"/>
              <w:right w:val="single" w:sz="8" w:color="auto"/>
            </w:tcBorders>
          </w:tcPr>
          <w:p>
            <w:pPr>
              <w:jc w:val="center"/>
              <w:spacing w:after="0" w:line="290" w:lineRule="exact"/>
              <w:rPr>
                <w:sz w:val="20"/>
                <w:szCs w:val="20"/>
                <w:color w:val="auto"/>
              </w:rPr>
            </w:pPr>
            <w:r>
              <w:rPr>
                <w:rFonts w:ascii="Times New Roman" w:cs="Times New Roman" w:eastAsia="Times New Roman" w:hAnsi="Times New Roman"/>
                <w:sz w:val="21"/>
                <w:szCs w:val="21"/>
                <w:color w:val="auto"/>
                <w:w w:val="96"/>
              </w:rPr>
              <w:t>25</w:t>
            </w:r>
            <w:r>
              <w:rPr>
                <w:rFonts w:ascii="Times New Roman" w:cs="Times New Roman" w:eastAsia="Times New Roman" w:hAnsi="Times New Roman"/>
                <w:sz w:val="33"/>
                <w:szCs w:val="33"/>
                <w:color w:val="auto"/>
                <w:w w:val="96"/>
                <w:vertAlign w:val="superscript"/>
              </w:rPr>
              <w:t>th</w:t>
            </w:r>
            <w:r>
              <w:rPr>
                <w:rFonts w:ascii="Times New Roman" w:cs="Times New Roman" w:eastAsia="Times New Roman" w:hAnsi="Times New Roman"/>
                <w:sz w:val="21"/>
                <w:szCs w:val="21"/>
                <w:color w:val="auto"/>
                <w:w w:val="96"/>
              </w:rPr>
              <w:t xml:space="preserve"> – 39</w:t>
            </w:r>
            <w:r>
              <w:rPr>
                <w:rFonts w:ascii="Times New Roman" w:cs="Times New Roman" w:eastAsia="Times New Roman" w:hAnsi="Times New Roman"/>
                <w:sz w:val="33"/>
                <w:szCs w:val="33"/>
                <w:color w:val="auto"/>
                <w:w w:val="96"/>
                <w:vertAlign w:val="superscript"/>
              </w:rPr>
              <w:t>th</w:t>
            </w:r>
          </w:p>
        </w:tc>
        <w:tc>
          <w:tcPr>
            <w:tcW w:w="4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2"/>
                <w:szCs w:val="22"/>
                <w:color w:val="auto"/>
                <w:w w:val="97"/>
              </w:rPr>
              <w:t>25-49%</w:t>
            </w:r>
          </w:p>
        </w:tc>
        <w:tc>
          <w:tcPr>
            <w:tcW w:w="0" w:type="dxa"/>
            <w:vAlign w:val="bottom"/>
          </w:tcPr>
          <w:p>
            <w:pPr>
              <w:spacing w:after="0"/>
              <w:rPr>
                <w:sz w:val="1"/>
                <w:szCs w:val="1"/>
                <w:color w:val="auto"/>
              </w:rPr>
            </w:pPr>
          </w:p>
        </w:tc>
      </w:tr>
      <w:tr>
        <w:trPr>
          <w:trHeight w:val="291"/>
        </w:trPr>
        <w:tc>
          <w:tcPr>
            <w:tcW w:w="3540" w:type="dxa"/>
            <w:vAlign w:val="bottom"/>
            <w:tcBorders>
              <w:left w:val="single" w:sz="8" w:color="auto"/>
              <w:bottom w:val="single" w:sz="8" w:color="auto"/>
              <w:right w:val="single" w:sz="8" w:color="auto"/>
            </w:tcBorders>
            <w:shd w:val="clear" w:color="auto" w:fill="D9D9D9"/>
          </w:tcPr>
          <w:p>
            <w:pPr>
              <w:jc w:val="center"/>
              <w:spacing w:after="0" w:line="290" w:lineRule="exact"/>
              <w:rPr>
                <w:sz w:val="20"/>
                <w:szCs w:val="20"/>
                <w:color w:val="auto"/>
              </w:rPr>
            </w:pPr>
            <w:r>
              <w:rPr>
                <w:rFonts w:ascii="Times New Roman" w:cs="Times New Roman" w:eastAsia="Times New Roman" w:hAnsi="Times New Roman"/>
                <w:sz w:val="21"/>
                <w:szCs w:val="21"/>
                <w:color w:val="auto"/>
                <w:w w:val="99"/>
              </w:rPr>
              <w:t>Below 25</w:t>
            </w:r>
            <w:r>
              <w:rPr>
                <w:rFonts w:ascii="Times New Roman" w:cs="Times New Roman" w:eastAsia="Times New Roman" w:hAnsi="Times New Roman"/>
                <w:sz w:val="33"/>
                <w:szCs w:val="33"/>
                <w:color w:val="auto"/>
                <w:w w:val="99"/>
                <w:vertAlign w:val="superscript"/>
              </w:rPr>
              <w:t>th</w:t>
            </w:r>
          </w:p>
        </w:tc>
        <w:tc>
          <w:tcPr>
            <w:tcW w:w="48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8"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i w:val="1"/>
          <w:iCs w:val="1"/>
          <w:color w:val="auto"/>
        </w:rPr>
        <w:t xml:space="preserve">Calculation of TSR. </w:t>
      </w:r>
      <w:r>
        <w:rPr>
          <w:rFonts w:ascii="Times New Roman" w:cs="Times New Roman" w:eastAsia="Times New Roman" w:hAnsi="Times New Roman"/>
          <w:sz w:val="22"/>
          <w:szCs w:val="22"/>
          <w:color w:val="auto"/>
        </w:rPr>
        <w:t>Each component company of the Dow Jones U.S. Containers &amp; Packaging Index as of the grant date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is included in the TSR calculation, except that any company that was removed from the index during the three-year calendar period is excluded. TSR is calculated by dividing the closing share price of a company’s common stock on the ending date of the applicable three-year calendar period plus cumulative dividends during such period, if any, by the closing share price of such company’s common stock on the beginning date of the applicable period. In the event that the Company’s TSR percentile ranking is between the specified percentiles, the vesting percentage is pro-rated on a straight-line basis.</w:t>
      </w:r>
    </w:p>
    <w:p>
      <w:pPr>
        <w:spacing w:after="0" w:line="175"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i w:val="1"/>
          <w:iCs w:val="1"/>
          <w:color w:val="auto"/>
        </w:rPr>
        <w:t>Performance Vesting Schedule for ROIC-Based Awards</w:t>
      </w:r>
      <w:r>
        <w:rPr>
          <w:rFonts w:ascii="Times New Roman" w:cs="Times New Roman" w:eastAsia="Times New Roman" w:hAnsi="Times New Roman"/>
          <w:sz w:val="22"/>
          <w:szCs w:val="22"/>
          <w:color w:val="auto"/>
        </w:rPr>
        <w:t>. The Committee determined that, for the portion of performance-based shares vesting on the basis of ROIC, such shares would vest on the following schedule.</w:t>
      </w:r>
    </w:p>
    <w:p>
      <w:pPr>
        <w:spacing w:after="0" w:line="360" w:lineRule="exact"/>
        <w:rPr>
          <w:sz w:val="20"/>
          <w:szCs w:val="20"/>
          <w:color w:val="auto"/>
        </w:rPr>
      </w:pPr>
    </w:p>
    <w:tbl>
      <w:tblPr>
        <w:tblLayout w:type="fixed"/>
        <w:tblInd w:w="2740" w:type="dxa"/>
        <w:tblCellMar>
          <w:top w:w="0" w:type="dxa"/>
          <w:left w:w="0" w:type="dxa"/>
          <w:bottom w:w="0" w:type="dxa"/>
          <w:right w:w="0" w:type="dxa"/>
        </w:tblCellMar>
      </w:tblPr>
      <w:tr>
        <w:trPr>
          <w:trHeight w:val="253"/>
        </w:trPr>
        <w:tc>
          <w:tcPr>
            <w:tcW w:w="2500" w:type="dxa"/>
            <w:vAlign w:val="bottom"/>
          </w:tcPr>
          <w:p>
            <w:pPr>
              <w:jc w:val="center"/>
              <w:ind w:right="992"/>
              <w:spacing w:after="0"/>
              <w:rPr>
                <w:sz w:val="20"/>
                <w:szCs w:val="20"/>
                <w:color w:val="auto"/>
              </w:rPr>
            </w:pPr>
            <w:r>
              <w:rPr>
                <w:rFonts w:ascii="Times New Roman" w:cs="Times New Roman" w:eastAsia="Times New Roman" w:hAnsi="Times New Roman"/>
                <w:sz w:val="22"/>
                <w:szCs w:val="22"/>
                <w:b w:val="1"/>
                <w:bCs w:val="1"/>
                <w:color w:val="FFFFFF"/>
                <w:w w:val="97"/>
              </w:rPr>
              <w:t>ROIC</w:t>
            </w:r>
          </w:p>
        </w:tc>
        <w:tc>
          <w:tcPr>
            <w:tcW w:w="3740" w:type="dxa"/>
            <w:vAlign w:val="bottom"/>
          </w:tcPr>
          <w:p>
            <w:pPr>
              <w:jc w:val="right"/>
              <w:spacing w:after="0"/>
              <w:rPr>
                <w:sz w:val="20"/>
                <w:szCs w:val="20"/>
                <w:color w:val="auto"/>
              </w:rPr>
            </w:pPr>
            <w:r>
              <w:rPr>
                <w:rFonts w:ascii="Times New Roman" w:cs="Times New Roman" w:eastAsia="Times New Roman" w:hAnsi="Times New Roman"/>
                <w:sz w:val="22"/>
                <w:szCs w:val="22"/>
                <w:b w:val="1"/>
                <w:bCs w:val="1"/>
                <w:color w:val="FFFFFF"/>
              </w:rPr>
              <w:t>Percentage of Shares Vesting</w:t>
            </w:r>
          </w:p>
        </w:tc>
      </w:tr>
      <w:tr>
        <w:trPr>
          <w:trHeight w:val="243"/>
        </w:trPr>
        <w:tc>
          <w:tcPr>
            <w:tcW w:w="2500" w:type="dxa"/>
            <w:vAlign w:val="bottom"/>
          </w:tcPr>
          <w:p>
            <w:pPr>
              <w:jc w:val="center"/>
              <w:ind w:right="972"/>
              <w:spacing w:after="0" w:line="243" w:lineRule="exact"/>
              <w:rPr>
                <w:sz w:val="20"/>
                <w:szCs w:val="20"/>
                <w:color w:val="auto"/>
              </w:rPr>
            </w:pPr>
            <w:r>
              <w:rPr>
                <w:rFonts w:ascii="Times New Roman" w:cs="Times New Roman" w:eastAsia="Times New Roman" w:hAnsi="Times New Roman"/>
                <w:sz w:val="22"/>
                <w:szCs w:val="22"/>
                <w:color w:val="auto"/>
                <w:w w:val="98"/>
              </w:rPr>
              <w:t>14.4% or Above</w:t>
            </w:r>
          </w:p>
        </w:tc>
        <w:tc>
          <w:tcPr>
            <w:tcW w:w="37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200%</w:t>
            </w:r>
          </w:p>
        </w:tc>
      </w:tr>
      <w:tr>
        <w:trPr>
          <w:trHeight w:val="243"/>
        </w:trPr>
        <w:tc>
          <w:tcPr>
            <w:tcW w:w="2500" w:type="dxa"/>
            <w:vAlign w:val="bottom"/>
          </w:tcPr>
          <w:p>
            <w:pPr>
              <w:jc w:val="center"/>
              <w:ind w:right="992"/>
              <w:spacing w:after="0" w:line="243" w:lineRule="exact"/>
              <w:rPr>
                <w:sz w:val="20"/>
                <w:szCs w:val="20"/>
                <w:color w:val="auto"/>
              </w:rPr>
            </w:pPr>
            <w:r>
              <w:rPr>
                <w:rFonts w:ascii="Times New Roman" w:cs="Times New Roman" w:eastAsia="Times New Roman" w:hAnsi="Times New Roman"/>
                <w:sz w:val="22"/>
                <w:szCs w:val="22"/>
                <w:color w:val="auto"/>
                <w:w w:val="98"/>
              </w:rPr>
              <w:t>13.4%</w:t>
            </w:r>
          </w:p>
        </w:tc>
        <w:tc>
          <w:tcPr>
            <w:tcW w:w="37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100%</w:t>
            </w:r>
          </w:p>
        </w:tc>
      </w:tr>
      <w:tr>
        <w:trPr>
          <w:trHeight w:val="243"/>
        </w:trPr>
        <w:tc>
          <w:tcPr>
            <w:tcW w:w="2500" w:type="dxa"/>
            <w:vAlign w:val="bottom"/>
          </w:tcPr>
          <w:p>
            <w:pPr>
              <w:jc w:val="center"/>
              <w:ind w:right="992"/>
              <w:spacing w:after="0" w:line="243" w:lineRule="exact"/>
              <w:rPr>
                <w:sz w:val="20"/>
                <w:szCs w:val="20"/>
                <w:color w:val="auto"/>
              </w:rPr>
            </w:pPr>
            <w:r>
              <w:rPr>
                <w:rFonts w:ascii="Times New Roman" w:cs="Times New Roman" w:eastAsia="Times New Roman" w:hAnsi="Times New Roman"/>
                <w:sz w:val="22"/>
                <w:szCs w:val="22"/>
                <w:color w:val="auto"/>
                <w:w w:val="98"/>
              </w:rPr>
              <w:t>12.4%</w:t>
            </w:r>
          </w:p>
        </w:tc>
        <w:tc>
          <w:tcPr>
            <w:tcW w:w="3740" w:type="dxa"/>
            <w:vAlign w:val="bottom"/>
          </w:tcPr>
          <w:p>
            <w:pPr>
              <w:jc w:val="right"/>
              <w:ind w:right="972"/>
              <w:spacing w:after="0" w:line="243" w:lineRule="exact"/>
              <w:rPr>
                <w:sz w:val="20"/>
                <w:szCs w:val="20"/>
                <w:color w:val="auto"/>
              </w:rPr>
            </w:pPr>
            <w:r>
              <w:rPr>
                <w:rFonts w:ascii="Times New Roman" w:cs="Times New Roman" w:eastAsia="Times New Roman" w:hAnsi="Times New Roman"/>
                <w:sz w:val="22"/>
                <w:szCs w:val="22"/>
                <w:color w:val="auto"/>
              </w:rPr>
              <w:t>25%</w:t>
            </w:r>
          </w:p>
        </w:tc>
      </w:tr>
      <w:tr>
        <w:trPr>
          <w:trHeight w:val="282"/>
        </w:trPr>
        <w:tc>
          <w:tcPr>
            <w:tcW w:w="2500" w:type="dxa"/>
            <w:vAlign w:val="bottom"/>
          </w:tcPr>
          <w:p>
            <w:pPr>
              <w:jc w:val="center"/>
              <w:ind w:right="972"/>
              <w:spacing w:after="0"/>
              <w:rPr>
                <w:sz w:val="20"/>
                <w:szCs w:val="20"/>
                <w:color w:val="auto"/>
              </w:rPr>
            </w:pPr>
            <w:r>
              <w:rPr>
                <w:rFonts w:ascii="Times New Roman" w:cs="Times New Roman" w:eastAsia="Times New Roman" w:hAnsi="Times New Roman"/>
                <w:sz w:val="22"/>
                <w:szCs w:val="22"/>
                <w:color w:val="auto"/>
                <w:w w:val="98"/>
              </w:rPr>
              <w:t>Below 12.4%</w:t>
            </w:r>
          </w:p>
        </w:tc>
        <w:tc>
          <w:tcPr>
            <w:tcW w:w="3740" w:type="dxa"/>
            <w:vAlign w:val="bottom"/>
          </w:tcPr>
          <w:p>
            <w:pPr>
              <w:jc w:val="right"/>
              <w:ind w:right="992"/>
              <w:spacing w:after="0"/>
              <w:rPr>
                <w:sz w:val="20"/>
                <w:szCs w:val="20"/>
                <w:color w:val="auto"/>
              </w:rPr>
            </w:pPr>
            <w:r>
              <w:rPr>
                <w:rFonts w:ascii="Times New Roman" w:cs="Times New Roman" w:eastAsia="Times New Roman" w:hAnsi="Times New Roman"/>
                <w:sz w:val="22"/>
                <w:szCs w:val="22"/>
                <w:color w:val="auto"/>
              </w:rPr>
              <w:t>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-778510</wp:posOffset>
            </wp:positionV>
            <wp:extent cx="5349240" cy="7797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77978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i w:val="1"/>
          <w:iCs w:val="1"/>
          <w:color w:val="auto"/>
        </w:rPr>
        <w:t xml:space="preserve">Calculation of ROIC. </w:t>
      </w:r>
      <w:r>
        <w:rPr>
          <w:rFonts w:ascii="Times New Roman" w:cs="Times New Roman" w:eastAsia="Times New Roman" w:hAnsi="Times New Roman"/>
          <w:sz w:val="22"/>
          <w:szCs w:val="22"/>
          <w:color w:val="auto"/>
        </w:rPr>
        <w:t>ROIC is calculated by dividing the Company’s after-tax segment income from continuing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operations, adjusted for pension and post-retirement expenses, by the average invested capital. ROIC is subject to adjustment for foreign exchange, acquisitions and divestitures, and non-recurring and other significant non-operational items. The target is equal to the Company’s projection of its three-year average of ROIC of 13.4%. In the event that the Company’s ROIC is between the specified percentiles, the vesting percentage is pro-rated on a straight-line basis.</w:t>
      </w:r>
    </w:p>
    <w:p>
      <w:pPr>
        <w:spacing w:after="0" w:line="7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46</w:t>
      </w:r>
    </w:p>
    <w:p>
      <w:pPr>
        <w:sectPr>
          <w:pgSz w:w="11900" w:h="16838" w:orient="portrait"/>
          <w:cols w:equalWidth="0" w:num="1">
            <w:col w:w="11240"/>
          </w:cols>
          <w:pgMar w:left="320" w:top="783" w:right="339" w:bottom="1440" w:gutter="0" w:footer="0" w:header="0"/>
        </w:sectPr>
      </w:pPr>
    </w:p>
    <w:bookmarkStart w:id="49" w:name="page50"/>
    <w:bookmarkEnd w:id="49"/>
    <w:p>
      <w:pPr>
        <w:jc w:val="both"/>
        <w:ind w:firstLine="648"/>
        <w:spacing w:after="0" w:line="243" w:lineRule="auto"/>
        <w:rPr>
          <w:sz w:val="20"/>
          <w:szCs w:val="20"/>
          <w:color w:val="auto"/>
        </w:rPr>
      </w:pPr>
      <w:r>
        <w:rPr>
          <w:rFonts w:ascii="Times New Roman" w:cs="Times New Roman" w:eastAsia="Times New Roman" w:hAnsi="Times New Roman"/>
          <w:sz w:val="21"/>
          <w:szCs w:val="21"/>
          <w:i w:val="1"/>
          <w:iCs w:val="1"/>
          <w:color w:val="auto"/>
        </w:rPr>
        <w:t>2025 Long-Term Equity Incentive Awards</w:t>
      </w:r>
      <w:r>
        <w:rPr>
          <w:rFonts w:ascii="Times New Roman" w:cs="Times New Roman" w:eastAsia="Times New Roman" w:hAnsi="Times New Roman"/>
          <w:sz w:val="21"/>
          <w:szCs w:val="21"/>
          <w:color w:val="auto"/>
        </w:rPr>
        <w:t>. The first table below sets forth the number of time-based restricted shares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granted to the NEOs for 2025. The second table below sets forth the target number of performance-based restricted shares granted to the NEOs for 2025 as well as the minimum and maximum number of performance-based shares that may vest. Vesting of performance-based share awards is based on two criteria: the Company’s TSR relative to a published index of industry peers over the applicable performance period and the Company’s ROIC over the same three-year performance period relative to the Company’s projected three-year average of ROIC. The tables also set forth the fair value of the shares on the date of grant. With respect to the annual 2025 grants awarded to the NEOs, the grant-date fair values of the time-based restricted shares and ROIC performance-based shares are based on the closing price of the Company’s Stock on the date prior to the date of grant, as adjusted to take into account that holders of unvested shares are not eligible for and do not receive dividends while such shares remain unvested. For time-based restricted shares, the grant-date fair value is $79.32. For ROIC performance-based shares, the grant-date fair value is $78.39. The grant-date fair value of the TSR performance-based shares is $89.27 and is based on a Monte Carlo valuation model. With respect to the mid-year award to Mr. Novaes, the grant-date fair values were: $100.97 for time-based</w:t>
      </w:r>
    </w:p>
    <w:p>
      <w:pPr>
        <w:spacing w:after="0" w:line="10" w:lineRule="exact"/>
        <w:rPr>
          <w:sz w:val="20"/>
          <w:szCs w:val="20"/>
          <w:color w:val="auto"/>
        </w:rPr>
      </w:pPr>
    </w:p>
    <w:tbl>
      <w:tblPr>
        <w:tblLayout w:type="fixed"/>
        <w:tblInd w:w="10" w:type="dxa"/>
        <w:tblCellMar>
          <w:top w:w="0" w:type="dxa"/>
          <w:left w:w="0" w:type="dxa"/>
          <w:bottom w:w="0" w:type="dxa"/>
          <w:right w:w="0" w:type="dxa"/>
        </w:tblCellMar>
      </w:tblPr>
      <w:tr>
        <w:trPr>
          <w:trHeight w:val="282"/>
        </w:trPr>
        <w:tc>
          <w:tcPr>
            <w:tcW w:w="10120" w:type="dxa"/>
            <w:vAlign w:val="bottom"/>
            <w:gridSpan w:val="13"/>
          </w:tcPr>
          <w:p>
            <w:pPr>
              <w:spacing w:after="0"/>
              <w:rPr>
                <w:sz w:val="20"/>
                <w:szCs w:val="20"/>
                <w:color w:val="auto"/>
              </w:rPr>
            </w:pPr>
            <w:r>
              <w:rPr>
                <w:rFonts w:ascii="Times New Roman" w:cs="Times New Roman" w:eastAsia="Times New Roman" w:hAnsi="Times New Roman"/>
                <w:sz w:val="22"/>
                <w:szCs w:val="22"/>
                <w:color w:val="auto"/>
              </w:rPr>
              <w:t>restricted shares; $100.03 for ROIC performance-based shares; and $163.35 for TSR performance-based shares.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116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3"/>
        </w:trPr>
        <w:tc>
          <w:tcPr>
            <w:tcW w:w="1160" w:type="dxa"/>
            <w:vAlign w:val="bottom"/>
            <w:tcBorders>
              <w:right w:val="single" w:sz="8" w:color="auto"/>
            </w:tcBorders>
          </w:tcPr>
          <w:p>
            <w:pPr>
              <w:spacing w:after="0"/>
              <w:rPr>
                <w:sz w:val="19"/>
                <w:szCs w:val="19"/>
                <w:color w:val="auto"/>
              </w:rPr>
            </w:pPr>
          </w:p>
        </w:tc>
        <w:tc>
          <w:tcPr>
            <w:tcW w:w="600" w:type="dxa"/>
            <w:vAlign w:val="bottom"/>
            <w:tcBorders>
              <w:bottom w:val="single" w:sz="8" w:color="29650B"/>
            </w:tcBorders>
            <w:shd w:val="clear" w:color="auto" w:fill="29650B"/>
          </w:tcPr>
          <w:p>
            <w:pPr>
              <w:spacing w:after="0"/>
              <w:rPr>
                <w:sz w:val="19"/>
                <w:szCs w:val="19"/>
                <w:color w:val="auto"/>
              </w:rPr>
            </w:pPr>
          </w:p>
        </w:tc>
        <w:tc>
          <w:tcPr>
            <w:tcW w:w="1220" w:type="dxa"/>
            <w:vAlign w:val="bottom"/>
            <w:tcBorders>
              <w:bottom w:val="single" w:sz="8" w:color="29650B"/>
              <w:right w:val="single" w:sz="8" w:color="29650B"/>
            </w:tcBorders>
            <w:gridSpan w:val="2"/>
            <w:vMerge w:val="restart"/>
            <w:shd w:val="clear" w:color="auto" w:fill="29650B"/>
          </w:tcPr>
          <w:p>
            <w:pPr>
              <w:jc w:val="right"/>
              <w:ind w:right="271"/>
              <w:spacing w:after="0"/>
              <w:rPr>
                <w:sz w:val="20"/>
                <w:szCs w:val="20"/>
                <w:color w:val="auto"/>
              </w:rPr>
            </w:pPr>
            <w:r>
              <w:rPr>
                <w:rFonts w:ascii="Times New Roman" w:cs="Times New Roman" w:eastAsia="Times New Roman" w:hAnsi="Times New Roman"/>
                <w:sz w:val="22"/>
                <w:szCs w:val="22"/>
                <w:b w:val="1"/>
                <w:bCs w:val="1"/>
                <w:color w:val="FFFFFF"/>
              </w:rPr>
              <w:t>Name</w:t>
            </w:r>
          </w:p>
        </w:tc>
        <w:tc>
          <w:tcPr>
            <w:tcW w:w="620" w:type="dxa"/>
            <w:vAlign w:val="bottom"/>
            <w:tcBorders>
              <w:bottom w:val="single" w:sz="8" w:color="29650B"/>
              <w:right w:val="single" w:sz="8" w:color="auto"/>
            </w:tcBorders>
            <w:shd w:val="clear" w:color="auto" w:fill="29650B"/>
          </w:tcPr>
          <w:p>
            <w:pPr>
              <w:spacing w:after="0"/>
              <w:rPr>
                <w:sz w:val="19"/>
                <w:szCs w:val="19"/>
                <w:color w:val="auto"/>
              </w:rPr>
            </w:pPr>
          </w:p>
        </w:tc>
        <w:tc>
          <w:tcPr>
            <w:tcW w:w="500" w:type="dxa"/>
            <w:vAlign w:val="bottom"/>
            <w:tcBorders>
              <w:bottom w:val="single" w:sz="8" w:color="auto"/>
              <w:right w:val="single" w:sz="8" w:color="29650B"/>
            </w:tcBorders>
            <w:shd w:val="clear" w:color="auto" w:fill="29650B"/>
          </w:tcPr>
          <w:p>
            <w:pPr>
              <w:spacing w:after="0"/>
              <w:rPr>
                <w:sz w:val="19"/>
                <w:szCs w:val="19"/>
                <w:color w:val="auto"/>
              </w:rPr>
            </w:pPr>
          </w:p>
        </w:tc>
        <w:tc>
          <w:tcPr>
            <w:tcW w:w="1240" w:type="dxa"/>
            <w:vAlign w:val="bottom"/>
            <w:tcBorders>
              <w:bottom w:val="single" w:sz="8" w:color="auto"/>
              <w:right w:val="single" w:sz="8" w:color="29650B"/>
            </w:tcBorders>
            <w:shd w:val="clear" w:color="auto" w:fill="29650B"/>
          </w:tcPr>
          <w:p>
            <w:pPr>
              <w:spacing w:after="0"/>
              <w:rPr>
                <w:sz w:val="19"/>
                <w:szCs w:val="19"/>
                <w:color w:val="auto"/>
              </w:rPr>
            </w:pPr>
          </w:p>
        </w:tc>
        <w:tc>
          <w:tcPr>
            <w:tcW w:w="100" w:type="dxa"/>
            <w:vAlign w:val="bottom"/>
            <w:tcBorders>
              <w:bottom w:val="single" w:sz="8" w:color="auto"/>
            </w:tcBorders>
            <w:shd w:val="clear" w:color="auto" w:fill="29650B"/>
          </w:tcPr>
          <w:p>
            <w:pPr>
              <w:spacing w:after="0"/>
              <w:rPr>
                <w:sz w:val="19"/>
                <w:szCs w:val="19"/>
                <w:color w:val="auto"/>
              </w:rPr>
            </w:pPr>
          </w:p>
        </w:tc>
        <w:tc>
          <w:tcPr>
            <w:tcW w:w="3460" w:type="dxa"/>
            <w:vAlign w:val="bottom"/>
            <w:tcBorders>
              <w:bottom w:val="single" w:sz="8" w:color="auto"/>
              <w:right w:val="single" w:sz="8" w:color="29650B"/>
            </w:tcBorders>
            <w:gridSpan w:val="4"/>
            <w:shd w:val="clear" w:color="auto" w:fill="29650B"/>
          </w:tcPr>
          <w:p>
            <w:pPr>
              <w:jc w:val="right"/>
              <w:ind w:right="620"/>
              <w:spacing w:after="0" w:line="223" w:lineRule="exact"/>
              <w:rPr>
                <w:sz w:val="20"/>
                <w:szCs w:val="20"/>
                <w:color w:val="auto"/>
              </w:rPr>
            </w:pPr>
            <w:r>
              <w:rPr>
                <w:rFonts w:ascii="Times New Roman" w:cs="Times New Roman" w:eastAsia="Times New Roman" w:hAnsi="Times New Roman"/>
                <w:sz w:val="22"/>
                <w:szCs w:val="22"/>
                <w:b w:val="1"/>
                <w:bCs w:val="1"/>
                <w:color w:val="FFFFFF"/>
                <w:w w:val="99"/>
              </w:rPr>
              <w:t>Time-Based Restricted Stock</w:t>
            </w:r>
          </w:p>
        </w:tc>
        <w:tc>
          <w:tcPr>
            <w:tcW w:w="1220" w:type="dxa"/>
            <w:vAlign w:val="bottom"/>
            <w:tcBorders>
              <w:bottom w:val="single" w:sz="8" w:color="auto"/>
              <w:right w:val="single" w:sz="8" w:color="auto"/>
            </w:tcBorders>
            <w:shd w:val="clear" w:color="auto" w:fill="29650B"/>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3"/>
        </w:trPr>
        <w:tc>
          <w:tcPr>
            <w:tcW w:w="1160" w:type="dxa"/>
            <w:vAlign w:val="bottom"/>
            <w:tcBorders>
              <w:right w:val="single" w:sz="8" w:color="auto"/>
            </w:tcBorders>
          </w:tcPr>
          <w:p>
            <w:pPr>
              <w:spacing w:after="0"/>
              <w:rPr>
                <w:sz w:val="9"/>
                <w:szCs w:val="9"/>
                <w:color w:val="auto"/>
              </w:rPr>
            </w:pPr>
          </w:p>
        </w:tc>
        <w:tc>
          <w:tcPr>
            <w:tcW w:w="600" w:type="dxa"/>
            <w:vAlign w:val="bottom"/>
            <w:shd w:val="clear" w:color="auto" w:fill="29650B"/>
          </w:tcPr>
          <w:p>
            <w:pPr>
              <w:spacing w:after="0"/>
              <w:rPr>
                <w:sz w:val="9"/>
                <w:szCs w:val="9"/>
                <w:color w:val="auto"/>
              </w:rPr>
            </w:pPr>
          </w:p>
        </w:tc>
        <w:tc>
          <w:tcPr>
            <w:tcW w:w="1220" w:type="dxa"/>
            <w:vAlign w:val="bottom"/>
            <w:tcBorders>
              <w:right w:val="single" w:sz="8" w:color="29650B"/>
            </w:tcBorders>
            <w:gridSpan w:val="2"/>
            <w:vMerge w:val="continue"/>
            <w:shd w:val="clear" w:color="auto" w:fill="29650B"/>
          </w:tcPr>
          <w:p>
            <w:pPr>
              <w:spacing w:after="0"/>
              <w:rPr>
                <w:sz w:val="9"/>
                <w:szCs w:val="9"/>
                <w:color w:val="auto"/>
              </w:rPr>
            </w:pPr>
          </w:p>
        </w:tc>
        <w:tc>
          <w:tcPr>
            <w:tcW w:w="620" w:type="dxa"/>
            <w:vAlign w:val="bottom"/>
            <w:tcBorders>
              <w:right w:val="single" w:sz="8" w:color="auto"/>
            </w:tcBorders>
            <w:shd w:val="clear" w:color="auto" w:fill="29650B"/>
          </w:tcPr>
          <w:p>
            <w:pPr>
              <w:spacing w:after="0"/>
              <w:rPr>
                <w:sz w:val="9"/>
                <w:szCs w:val="9"/>
                <w:color w:val="auto"/>
              </w:rPr>
            </w:pPr>
          </w:p>
        </w:tc>
        <w:tc>
          <w:tcPr>
            <w:tcW w:w="500" w:type="dxa"/>
            <w:vAlign w:val="bottom"/>
            <w:tcBorders>
              <w:right w:val="single" w:sz="8" w:color="29650B"/>
            </w:tcBorders>
            <w:shd w:val="clear" w:color="auto" w:fill="29650B"/>
          </w:tcPr>
          <w:p>
            <w:pPr>
              <w:spacing w:after="0"/>
              <w:rPr>
                <w:sz w:val="9"/>
                <w:szCs w:val="9"/>
                <w:color w:val="auto"/>
              </w:rPr>
            </w:pPr>
          </w:p>
        </w:tc>
        <w:tc>
          <w:tcPr>
            <w:tcW w:w="1340" w:type="dxa"/>
            <w:vAlign w:val="bottom"/>
            <w:gridSpan w:val="2"/>
            <w:vMerge w:val="restart"/>
            <w:shd w:val="clear" w:color="auto" w:fill="29650B"/>
          </w:tcPr>
          <w:p>
            <w:pPr>
              <w:jc w:val="right"/>
              <w:ind w:right="260"/>
              <w:spacing w:after="0" w:line="223" w:lineRule="exact"/>
              <w:rPr>
                <w:sz w:val="20"/>
                <w:szCs w:val="20"/>
                <w:color w:val="auto"/>
              </w:rPr>
            </w:pPr>
            <w:r>
              <w:rPr>
                <w:rFonts w:ascii="Times New Roman" w:cs="Times New Roman" w:eastAsia="Times New Roman" w:hAnsi="Times New Roman"/>
                <w:sz w:val="22"/>
                <w:szCs w:val="22"/>
                <w:b w:val="1"/>
                <w:bCs w:val="1"/>
                <w:color w:val="FFFFFF"/>
              </w:rPr>
              <w:t>Shares</w:t>
            </w:r>
          </w:p>
        </w:tc>
        <w:tc>
          <w:tcPr>
            <w:tcW w:w="760" w:type="dxa"/>
            <w:vAlign w:val="bottom"/>
            <w:tcBorders>
              <w:right w:val="single" w:sz="8" w:color="auto"/>
            </w:tcBorders>
            <w:shd w:val="clear" w:color="auto" w:fill="29650B"/>
          </w:tcPr>
          <w:p>
            <w:pPr>
              <w:spacing w:after="0"/>
              <w:rPr>
                <w:sz w:val="9"/>
                <w:szCs w:val="9"/>
                <w:color w:val="auto"/>
              </w:rPr>
            </w:pPr>
          </w:p>
        </w:tc>
        <w:tc>
          <w:tcPr>
            <w:tcW w:w="360" w:type="dxa"/>
            <w:vAlign w:val="bottom"/>
            <w:tcBorders>
              <w:right w:val="single" w:sz="8" w:color="29650B"/>
            </w:tcBorders>
            <w:shd w:val="clear" w:color="auto" w:fill="29650B"/>
          </w:tcPr>
          <w:p>
            <w:pPr>
              <w:spacing w:after="0"/>
              <w:rPr>
                <w:sz w:val="9"/>
                <w:szCs w:val="9"/>
                <w:color w:val="auto"/>
              </w:rPr>
            </w:pPr>
          </w:p>
        </w:tc>
        <w:tc>
          <w:tcPr>
            <w:tcW w:w="1000" w:type="dxa"/>
            <w:vAlign w:val="bottom"/>
            <w:tcBorders>
              <w:right w:val="single" w:sz="8" w:color="29650B"/>
            </w:tcBorders>
            <w:shd w:val="clear" w:color="auto" w:fill="29650B"/>
          </w:tcPr>
          <w:p>
            <w:pPr>
              <w:spacing w:after="0"/>
              <w:rPr>
                <w:sz w:val="9"/>
                <w:szCs w:val="9"/>
                <w:color w:val="auto"/>
              </w:rPr>
            </w:pPr>
          </w:p>
        </w:tc>
        <w:tc>
          <w:tcPr>
            <w:tcW w:w="1340" w:type="dxa"/>
            <w:vAlign w:val="bottom"/>
            <w:tcBorders>
              <w:right w:val="single" w:sz="8" w:color="29650B"/>
            </w:tcBorders>
            <w:vMerge w:val="restart"/>
            <w:shd w:val="clear" w:color="auto" w:fill="29650B"/>
          </w:tcPr>
          <w:p>
            <w:pPr>
              <w:jc w:val="right"/>
              <w:ind w:right="60"/>
              <w:spacing w:after="0" w:line="223" w:lineRule="exact"/>
              <w:rPr>
                <w:sz w:val="20"/>
                <w:szCs w:val="20"/>
                <w:color w:val="auto"/>
              </w:rPr>
            </w:pPr>
            <w:r>
              <w:rPr>
                <w:rFonts w:ascii="Times New Roman" w:cs="Times New Roman" w:eastAsia="Times New Roman" w:hAnsi="Times New Roman"/>
                <w:sz w:val="22"/>
                <w:szCs w:val="22"/>
                <w:b w:val="1"/>
                <w:bCs w:val="1"/>
                <w:color w:val="FFFFFF"/>
                <w:w w:val="92"/>
              </w:rPr>
              <w:t>Award Value</w:t>
            </w:r>
          </w:p>
        </w:tc>
        <w:tc>
          <w:tcPr>
            <w:tcW w:w="1220" w:type="dxa"/>
            <w:vAlign w:val="bottom"/>
            <w:tcBorders>
              <w:right w:val="single" w:sz="8" w:color="auto"/>
            </w:tcBorders>
            <w:shd w:val="clear" w:color="auto" w:fill="29650B"/>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9"/>
        </w:trPr>
        <w:tc>
          <w:tcPr>
            <w:tcW w:w="1160" w:type="dxa"/>
            <w:vAlign w:val="bottom"/>
            <w:tcBorders>
              <w:right w:val="single" w:sz="8" w:color="auto"/>
            </w:tcBorders>
          </w:tcPr>
          <w:p>
            <w:pPr>
              <w:spacing w:after="0"/>
              <w:rPr>
                <w:sz w:val="9"/>
                <w:szCs w:val="9"/>
                <w:color w:val="auto"/>
              </w:rPr>
            </w:pPr>
          </w:p>
        </w:tc>
        <w:tc>
          <w:tcPr>
            <w:tcW w:w="600" w:type="dxa"/>
            <w:vAlign w:val="bottom"/>
            <w:tcBorders>
              <w:bottom w:val="single" w:sz="8" w:color="auto"/>
            </w:tcBorders>
            <w:shd w:val="clear" w:color="auto" w:fill="29650B"/>
          </w:tcPr>
          <w:p>
            <w:pPr>
              <w:spacing w:after="0"/>
              <w:rPr>
                <w:sz w:val="9"/>
                <w:szCs w:val="9"/>
                <w:color w:val="auto"/>
              </w:rPr>
            </w:pPr>
          </w:p>
        </w:tc>
        <w:tc>
          <w:tcPr>
            <w:tcW w:w="440" w:type="dxa"/>
            <w:vAlign w:val="bottom"/>
            <w:tcBorders>
              <w:bottom w:val="single" w:sz="8" w:color="auto"/>
              <w:right w:val="single" w:sz="8" w:color="29650B"/>
            </w:tcBorders>
            <w:shd w:val="clear" w:color="auto" w:fill="29650B"/>
          </w:tcPr>
          <w:p>
            <w:pPr>
              <w:spacing w:after="0"/>
              <w:rPr>
                <w:sz w:val="9"/>
                <w:szCs w:val="9"/>
                <w:color w:val="auto"/>
              </w:rPr>
            </w:pPr>
          </w:p>
        </w:tc>
        <w:tc>
          <w:tcPr>
            <w:tcW w:w="780" w:type="dxa"/>
            <w:vAlign w:val="bottom"/>
            <w:tcBorders>
              <w:bottom w:val="single" w:sz="8" w:color="auto"/>
              <w:right w:val="single" w:sz="8" w:color="29650B"/>
            </w:tcBorders>
            <w:shd w:val="clear" w:color="auto" w:fill="29650B"/>
          </w:tcPr>
          <w:p>
            <w:pPr>
              <w:spacing w:after="0"/>
              <w:rPr>
                <w:sz w:val="9"/>
                <w:szCs w:val="9"/>
                <w:color w:val="auto"/>
              </w:rPr>
            </w:pPr>
          </w:p>
        </w:tc>
        <w:tc>
          <w:tcPr>
            <w:tcW w:w="620" w:type="dxa"/>
            <w:vAlign w:val="bottom"/>
            <w:tcBorders>
              <w:bottom w:val="single" w:sz="8" w:color="auto"/>
              <w:right w:val="single" w:sz="8" w:color="auto"/>
            </w:tcBorders>
            <w:shd w:val="clear" w:color="auto" w:fill="29650B"/>
          </w:tcPr>
          <w:p>
            <w:pPr>
              <w:spacing w:after="0"/>
              <w:rPr>
                <w:sz w:val="9"/>
                <w:szCs w:val="9"/>
                <w:color w:val="auto"/>
              </w:rPr>
            </w:pPr>
          </w:p>
        </w:tc>
        <w:tc>
          <w:tcPr>
            <w:tcW w:w="500" w:type="dxa"/>
            <w:vAlign w:val="bottom"/>
            <w:tcBorders>
              <w:bottom w:val="single" w:sz="8" w:color="auto"/>
              <w:right w:val="single" w:sz="8" w:color="29650B"/>
            </w:tcBorders>
            <w:shd w:val="clear" w:color="auto" w:fill="29650B"/>
          </w:tcPr>
          <w:p>
            <w:pPr>
              <w:spacing w:after="0"/>
              <w:rPr>
                <w:sz w:val="9"/>
                <w:szCs w:val="9"/>
                <w:color w:val="auto"/>
              </w:rPr>
            </w:pPr>
          </w:p>
        </w:tc>
        <w:tc>
          <w:tcPr>
            <w:tcW w:w="1340" w:type="dxa"/>
            <w:vAlign w:val="bottom"/>
            <w:tcBorders>
              <w:bottom w:val="single" w:sz="8" w:color="auto"/>
            </w:tcBorders>
            <w:gridSpan w:val="2"/>
            <w:vMerge w:val="continue"/>
            <w:shd w:val="clear" w:color="auto" w:fill="29650B"/>
          </w:tcPr>
          <w:p>
            <w:pPr>
              <w:spacing w:after="0"/>
              <w:rPr>
                <w:sz w:val="9"/>
                <w:szCs w:val="9"/>
                <w:color w:val="auto"/>
              </w:rPr>
            </w:pPr>
          </w:p>
        </w:tc>
        <w:tc>
          <w:tcPr>
            <w:tcW w:w="760" w:type="dxa"/>
            <w:vAlign w:val="bottom"/>
            <w:tcBorders>
              <w:bottom w:val="single" w:sz="8" w:color="auto"/>
              <w:right w:val="single" w:sz="8" w:color="auto"/>
            </w:tcBorders>
            <w:shd w:val="clear" w:color="auto" w:fill="29650B"/>
          </w:tcPr>
          <w:p>
            <w:pPr>
              <w:spacing w:after="0"/>
              <w:rPr>
                <w:sz w:val="9"/>
                <w:szCs w:val="9"/>
                <w:color w:val="auto"/>
              </w:rPr>
            </w:pPr>
          </w:p>
        </w:tc>
        <w:tc>
          <w:tcPr>
            <w:tcW w:w="360" w:type="dxa"/>
            <w:vAlign w:val="bottom"/>
            <w:tcBorders>
              <w:bottom w:val="single" w:sz="8" w:color="auto"/>
              <w:right w:val="single" w:sz="8" w:color="29650B"/>
            </w:tcBorders>
            <w:shd w:val="clear" w:color="auto" w:fill="29650B"/>
          </w:tcPr>
          <w:p>
            <w:pPr>
              <w:spacing w:after="0"/>
              <w:rPr>
                <w:sz w:val="9"/>
                <w:szCs w:val="9"/>
                <w:color w:val="auto"/>
              </w:rPr>
            </w:pPr>
          </w:p>
        </w:tc>
        <w:tc>
          <w:tcPr>
            <w:tcW w:w="1000" w:type="dxa"/>
            <w:vAlign w:val="bottom"/>
            <w:tcBorders>
              <w:bottom w:val="single" w:sz="8" w:color="auto"/>
              <w:right w:val="single" w:sz="8" w:color="29650B"/>
            </w:tcBorders>
            <w:shd w:val="clear" w:color="auto" w:fill="29650B"/>
          </w:tcPr>
          <w:p>
            <w:pPr>
              <w:spacing w:after="0"/>
              <w:rPr>
                <w:sz w:val="9"/>
                <w:szCs w:val="9"/>
                <w:color w:val="auto"/>
              </w:rPr>
            </w:pPr>
          </w:p>
        </w:tc>
        <w:tc>
          <w:tcPr>
            <w:tcW w:w="1340" w:type="dxa"/>
            <w:vAlign w:val="bottom"/>
            <w:tcBorders>
              <w:bottom w:val="single" w:sz="8" w:color="auto"/>
              <w:right w:val="single" w:sz="8" w:color="29650B"/>
            </w:tcBorders>
            <w:vMerge w:val="continue"/>
            <w:shd w:val="clear" w:color="auto" w:fill="29650B"/>
          </w:tcPr>
          <w:p>
            <w:pPr>
              <w:spacing w:after="0"/>
              <w:rPr>
                <w:sz w:val="9"/>
                <w:szCs w:val="9"/>
                <w:color w:val="auto"/>
              </w:rPr>
            </w:pPr>
          </w:p>
        </w:tc>
        <w:tc>
          <w:tcPr>
            <w:tcW w:w="1220" w:type="dxa"/>
            <w:vAlign w:val="bottom"/>
            <w:tcBorders>
              <w:bottom w:val="single" w:sz="8" w:color="auto"/>
              <w:right w:val="single" w:sz="8" w:color="auto"/>
            </w:tcBorders>
            <w:shd w:val="clear" w:color="auto" w:fill="29650B"/>
          </w:tcPr>
          <w:p>
            <w:pPr>
              <w:spacing w:after="0"/>
              <w:rPr>
                <w:sz w:val="9"/>
                <w:szCs w:val="9"/>
                <w:color w:val="auto"/>
              </w:rPr>
            </w:pP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spacing w:after="0"/>
              <w:rPr>
                <w:sz w:val="20"/>
                <w:szCs w:val="20"/>
                <w:color w:val="auto"/>
              </w:rPr>
            </w:pPr>
          </w:p>
        </w:tc>
        <w:tc>
          <w:tcPr>
            <w:tcW w:w="1820" w:type="dxa"/>
            <w:vAlign w:val="bottom"/>
            <w:tcBorders>
              <w:bottom w:val="single" w:sz="8" w:color="auto"/>
            </w:tcBorders>
            <w:gridSpan w:val="3"/>
          </w:tcPr>
          <w:p>
            <w:pPr>
              <w:ind w:left="80"/>
              <w:spacing w:after="0" w:line="237" w:lineRule="exact"/>
              <w:rPr>
                <w:sz w:val="20"/>
                <w:szCs w:val="20"/>
                <w:color w:val="auto"/>
              </w:rPr>
            </w:pPr>
            <w:r>
              <w:rPr>
                <w:rFonts w:ascii="Times New Roman" w:cs="Times New Roman" w:eastAsia="Times New Roman" w:hAnsi="Times New Roman"/>
                <w:sz w:val="22"/>
                <w:szCs w:val="22"/>
                <w:color w:val="auto"/>
              </w:rPr>
              <w:t>Timothy Donahue</w:t>
            </w:r>
          </w:p>
        </w:tc>
        <w:tc>
          <w:tcPr>
            <w:tcW w:w="6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36,256</w:t>
            </w:r>
          </w:p>
        </w:tc>
        <w:tc>
          <w:tcPr>
            <w:tcW w:w="7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rPr>
              <w:t>$2,875,826</w:t>
            </w: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spacing w:after="0"/>
              <w:rPr>
                <w:sz w:val="20"/>
                <w:szCs w:val="20"/>
                <w:color w:val="auto"/>
              </w:rPr>
            </w:pPr>
          </w:p>
        </w:tc>
        <w:tc>
          <w:tcPr>
            <w:tcW w:w="1820" w:type="dxa"/>
            <w:vAlign w:val="bottom"/>
            <w:tcBorders>
              <w:bottom w:val="single" w:sz="8" w:color="auto"/>
              <w:right w:val="single" w:sz="8" w:color="D9D9D9"/>
            </w:tcBorders>
            <w:gridSpan w:val="3"/>
            <w:shd w:val="clear" w:color="auto" w:fill="D9D9D9"/>
          </w:tcPr>
          <w:p>
            <w:pPr>
              <w:ind w:left="80"/>
              <w:spacing w:after="0" w:line="237" w:lineRule="exact"/>
              <w:rPr>
                <w:sz w:val="20"/>
                <w:szCs w:val="20"/>
                <w:color w:val="auto"/>
              </w:rPr>
            </w:pPr>
            <w:r>
              <w:rPr>
                <w:rFonts w:ascii="Times New Roman" w:cs="Times New Roman" w:eastAsia="Times New Roman" w:hAnsi="Times New Roman"/>
                <w:sz w:val="22"/>
                <w:szCs w:val="22"/>
                <w:color w:val="auto"/>
              </w:rPr>
              <w:t>Kevin Clothier</w:t>
            </w:r>
          </w:p>
        </w:tc>
        <w:tc>
          <w:tcPr>
            <w:tcW w:w="620" w:type="dxa"/>
            <w:vAlign w:val="bottom"/>
            <w:tcBorders>
              <w:bottom w:val="single" w:sz="8" w:color="auto"/>
              <w:right w:val="single" w:sz="8" w:color="auto"/>
            </w:tcBorders>
            <w:shd w:val="clear" w:color="auto" w:fill="D9D9D9"/>
          </w:tcPr>
          <w:p>
            <w:pPr>
              <w:spacing w:after="0"/>
              <w:rPr>
                <w:sz w:val="20"/>
                <w:szCs w:val="20"/>
                <w:color w:val="auto"/>
              </w:rPr>
            </w:pPr>
          </w:p>
        </w:tc>
        <w:tc>
          <w:tcPr>
            <w:tcW w:w="500" w:type="dxa"/>
            <w:vAlign w:val="bottom"/>
            <w:tcBorders>
              <w:bottom w:val="single" w:sz="8" w:color="auto"/>
              <w:right w:val="single" w:sz="8" w:color="D9D9D9"/>
            </w:tcBorders>
            <w:shd w:val="clear" w:color="auto" w:fill="D9D9D9"/>
          </w:tcPr>
          <w:p>
            <w:pPr>
              <w:spacing w:after="0"/>
              <w:rPr>
                <w:sz w:val="20"/>
                <w:szCs w:val="20"/>
                <w:color w:val="auto"/>
              </w:rPr>
            </w:pPr>
          </w:p>
        </w:tc>
        <w:tc>
          <w:tcPr>
            <w:tcW w:w="1340" w:type="dxa"/>
            <w:vAlign w:val="bottom"/>
            <w:tcBorders>
              <w:bottom w:val="single" w:sz="8" w:color="auto"/>
            </w:tcBorders>
            <w:gridSpan w:val="2"/>
            <w:shd w:val="clear" w:color="auto" w:fill="D9D9D9"/>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8,457</w:t>
            </w:r>
          </w:p>
        </w:tc>
        <w:tc>
          <w:tcPr>
            <w:tcW w:w="760" w:type="dxa"/>
            <w:vAlign w:val="bottom"/>
            <w:tcBorders>
              <w:bottom w:val="single" w:sz="8" w:color="auto"/>
              <w:right w:val="single" w:sz="8" w:color="auto"/>
            </w:tcBorders>
            <w:shd w:val="clear" w:color="auto" w:fill="D9D9D9"/>
          </w:tcPr>
          <w:p>
            <w:pPr>
              <w:spacing w:after="0"/>
              <w:rPr>
                <w:sz w:val="20"/>
                <w:szCs w:val="20"/>
                <w:color w:val="auto"/>
              </w:rPr>
            </w:pPr>
          </w:p>
        </w:tc>
        <w:tc>
          <w:tcPr>
            <w:tcW w:w="360" w:type="dxa"/>
            <w:vAlign w:val="bottom"/>
            <w:tcBorders>
              <w:bottom w:val="single" w:sz="8" w:color="auto"/>
              <w:right w:val="single" w:sz="8" w:color="D9D9D9"/>
            </w:tcBorders>
            <w:shd w:val="clear" w:color="auto" w:fill="D9D9D9"/>
          </w:tcPr>
          <w:p>
            <w:pPr>
              <w:spacing w:after="0"/>
              <w:rPr>
                <w:sz w:val="20"/>
                <w:szCs w:val="20"/>
                <w:color w:val="auto"/>
              </w:rPr>
            </w:pPr>
          </w:p>
        </w:tc>
        <w:tc>
          <w:tcPr>
            <w:tcW w:w="1000" w:type="dxa"/>
            <w:vAlign w:val="bottom"/>
            <w:tcBorders>
              <w:bottom w:val="single" w:sz="8" w:color="auto"/>
              <w:right w:val="single" w:sz="8" w:color="D9D9D9"/>
            </w:tcBorders>
            <w:shd w:val="clear" w:color="auto" w:fill="D9D9D9"/>
          </w:tcPr>
          <w:p>
            <w:pPr>
              <w:spacing w:after="0"/>
              <w:rPr>
                <w:sz w:val="20"/>
                <w:szCs w:val="20"/>
                <w:color w:val="auto"/>
              </w:rPr>
            </w:pPr>
          </w:p>
        </w:tc>
        <w:tc>
          <w:tcPr>
            <w:tcW w:w="1340" w:type="dxa"/>
            <w:vAlign w:val="bottom"/>
            <w:tcBorders>
              <w:bottom w:val="single" w:sz="8" w:color="auto"/>
              <w:right w:val="single" w:sz="8" w:color="D9D9D9"/>
            </w:tcBorders>
            <w:shd w:val="clear" w:color="auto" w:fill="D9D9D9"/>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rPr>
              <w:t>670,809</w:t>
            </w:r>
          </w:p>
        </w:tc>
        <w:tc>
          <w:tcPr>
            <w:tcW w:w="122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spacing w:after="0"/>
              <w:rPr>
                <w:sz w:val="20"/>
                <w:szCs w:val="20"/>
                <w:color w:val="auto"/>
              </w:rPr>
            </w:pPr>
          </w:p>
        </w:tc>
        <w:tc>
          <w:tcPr>
            <w:tcW w:w="1820" w:type="dxa"/>
            <w:vAlign w:val="bottom"/>
            <w:tcBorders>
              <w:bottom w:val="single" w:sz="8" w:color="auto"/>
            </w:tcBorders>
            <w:gridSpan w:val="3"/>
          </w:tcPr>
          <w:p>
            <w:pPr>
              <w:ind w:left="80"/>
              <w:spacing w:after="0" w:line="237" w:lineRule="exact"/>
              <w:rPr>
                <w:sz w:val="20"/>
                <w:szCs w:val="20"/>
                <w:color w:val="auto"/>
              </w:rPr>
            </w:pPr>
            <w:r>
              <w:rPr>
                <w:rFonts w:ascii="Times New Roman" w:cs="Times New Roman" w:eastAsia="Times New Roman" w:hAnsi="Times New Roman"/>
                <w:sz w:val="22"/>
                <w:szCs w:val="22"/>
                <w:color w:val="auto"/>
              </w:rPr>
              <w:t>Gerard Gifford</w:t>
            </w:r>
          </w:p>
        </w:tc>
        <w:tc>
          <w:tcPr>
            <w:tcW w:w="6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14,092</w:t>
            </w:r>
          </w:p>
        </w:tc>
        <w:tc>
          <w:tcPr>
            <w:tcW w:w="7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rPr>
              <w:t>1,117,777</w:t>
            </w: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0"/>
        </w:trPr>
        <w:tc>
          <w:tcPr>
            <w:tcW w:w="1160" w:type="dxa"/>
            <w:vAlign w:val="bottom"/>
            <w:tcBorders>
              <w:right w:val="single" w:sz="8" w:color="auto"/>
            </w:tcBorders>
          </w:tcPr>
          <w:p>
            <w:pPr>
              <w:spacing w:after="0"/>
              <w:rPr>
                <w:sz w:val="24"/>
                <w:szCs w:val="24"/>
                <w:color w:val="auto"/>
              </w:rPr>
            </w:pPr>
          </w:p>
        </w:tc>
        <w:tc>
          <w:tcPr>
            <w:tcW w:w="1820" w:type="dxa"/>
            <w:vAlign w:val="bottom"/>
            <w:tcBorders>
              <w:bottom w:val="single" w:sz="8" w:color="auto"/>
              <w:right w:val="single" w:sz="8" w:color="D9D9D9"/>
            </w:tcBorders>
            <w:gridSpan w:val="3"/>
            <w:shd w:val="clear" w:color="auto" w:fill="D9D9D9"/>
          </w:tcPr>
          <w:p>
            <w:pPr>
              <w:ind w:left="80"/>
              <w:spacing w:after="0" w:line="290" w:lineRule="exact"/>
              <w:rPr>
                <w:sz w:val="20"/>
                <w:szCs w:val="20"/>
                <w:color w:val="auto"/>
              </w:rPr>
            </w:pPr>
            <w:r>
              <w:rPr>
                <w:rFonts w:ascii="Times New Roman" w:cs="Times New Roman" w:eastAsia="Times New Roman" w:hAnsi="Times New Roman"/>
                <w:sz w:val="21"/>
                <w:szCs w:val="21"/>
                <w:color w:val="auto"/>
              </w:rPr>
              <w:t>Djalma Novaes</w:t>
            </w:r>
            <w:r>
              <w:rPr>
                <w:rFonts w:ascii="Times New Roman" w:cs="Times New Roman" w:eastAsia="Times New Roman" w:hAnsi="Times New Roman"/>
                <w:sz w:val="33"/>
                <w:szCs w:val="33"/>
                <w:color w:val="auto"/>
                <w:vertAlign w:val="superscript"/>
              </w:rPr>
              <w:t>1</w:t>
            </w:r>
          </w:p>
        </w:tc>
        <w:tc>
          <w:tcPr>
            <w:tcW w:w="620" w:type="dxa"/>
            <w:vAlign w:val="bottom"/>
            <w:tcBorders>
              <w:bottom w:val="single" w:sz="8" w:color="auto"/>
              <w:right w:val="single" w:sz="8" w:color="auto"/>
            </w:tcBorders>
            <w:shd w:val="clear" w:color="auto" w:fill="D9D9D9"/>
          </w:tcPr>
          <w:p>
            <w:pPr>
              <w:spacing w:after="0"/>
              <w:rPr>
                <w:sz w:val="24"/>
                <w:szCs w:val="24"/>
                <w:color w:val="auto"/>
              </w:rPr>
            </w:pPr>
          </w:p>
        </w:tc>
        <w:tc>
          <w:tcPr>
            <w:tcW w:w="500" w:type="dxa"/>
            <w:vAlign w:val="bottom"/>
            <w:tcBorders>
              <w:bottom w:val="single" w:sz="8" w:color="auto"/>
              <w:right w:val="single" w:sz="8" w:color="D9D9D9"/>
            </w:tcBorders>
            <w:shd w:val="clear" w:color="auto" w:fill="D9D9D9"/>
          </w:tcPr>
          <w:p>
            <w:pPr>
              <w:spacing w:after="0"/>
              <w:rPr>
                <w:sz w:val="24"/>
                <w:szCs w:val="24"/>
                <w:color w:val="auto"/>
              </w:rPr>
            </w:pPr>
          </w:p>
        </w:tc>
        <w:tc>
          <w:tcPr>
            <w:tcW w:w="1340" w:type="dxa"/>
            <w:vAlign w:val="bottom"/>
            <w:tcBorders>
              <w:bottom w:val="single" w:sz="8" w:color="auto"/>
            </w:tcBorders>
            <w:gridSpan w:val="2"/>
            <w:shd w:val="clear" w:color="auto" w:fill="D9D9D9"/>
          </w:tcPr>
          <w:p>
            <w:pPr>
              <w:jc w:val="right"/>
              <w:ind w:right="80"/>
              <w:spacing w:after="0"/>
              <w:rPr>
                <w:sz w:val="20"/>
                <w:szCs w:val="20"/>
                <w:color w:val="auto"/>
              </w:rPr>
            </w:pPr>
            <w:r>
              <w:rPr>
                <w:rFonts w:ascii="Times New Roman" w:cs="Times New Roman" w:eastAsia="Times New Roman" w:hAnsi="Times New Roman"/>
                <w:sz w:val="22"/>
                <w:szCs w:val="22"/>
                <w:color w:val="auto"/>
              </w:rPr>
              <w:t>7,180</w:t>
            </w:r>
          </w:p>
        </w:tc>
        <w:tc>
          <w:tcPr>
            <w:tcW w:w="760" w:type="dxa"/>
            <w:vAlign w:val="bottom"/>
            <w:tcBorders>
              <w:bottom w:val="single" w:sz="8" w:color="auto"/>
              <w:right w:val="single" w:sz="8" w:color="auto"/>
            </w:tcBorders>
            <w:shd w:val="clear" w:color="auto" w:fill="D9D9D9"/>
          </w:tcPr>
          <w:p>
            <w:pPr>
              <w:spacing w:after="0"/>
              <w:rPr>
                <w:sz w:val="24"/>
                <w:szCs w:val="24"/>
                <w:color w:val="auto"/>
              </w:rPr>
            </w:pPr>
          </w:p>
        </w:tc>
        <w:tc>
          <w:tcPr>
            <w:tcW w:w="360" w:type="dxa"/>
            <w:vAlign w:val="bottom"/>
            <w:tcBorders>
              <w:bottom w:val="single" w:sz="8" w:color="auto"/>
              <w:right w:val="single" w:sz="8" w:color="D9D9D9"/>
            </w:tcBorders>
            <w:shd w:val="clear" w:color="auto" w:fill="D9D9D9"/>
          </w:tcPr>
          <w:p>
            <w:pPr>
              <w:spacing w:after="0"/>
              <w:rPr>
                <w:sz w:val="24"/>
                <w:szCs w:val="24"/>
                <w:color w:val="auto"/>
              </w:rPr>
            </w:pPr>
          </w:p>
        </w:tc>
        <w:tc>
          <w:tcPr>
            <w:tcW w:w="1000" w:type="dxa"/>
            <w:vAlign w:val="bottom"/>
            <w:tcBorders>
              <w:bottom w:val="single" w:sz="8" w:color="auto"/>
              <w:right w:val="single" w:sz="8" w:color="D9D9D9"/>
            </w:tcBorders>
            <w:shd w:val="clear" w:color="auto" w:fill="D9D9D9"/>
          </w:tcPr>
          <w:p>
            <w:pPr>
              <w:spacing w:after="0"/>
              <w:rPr>
                <w:sz w:val="24"/>
                <w:szCs w:val="24"/>
                <w:color w:val="auto"/>
              </w:rPr>
            </w:pPr>
          </w:p>
        </w:tc>
        <w:tc>
          <w:tcPr>
            <w:tcW w:w="1340" w:type="dxa"/>
            <w:vAlign w:val="bottom"/>
            <w:tcBorders>
              <w:bottom w:val="single" w:sz="8" w:color="auto"/>
              <w:right w:val="single" w:sz="8" w:color="D9D9D9"/>
            </w:tcBorders>
            <w:shd w:val="clear" w:color="auto" w:fill="D9D9D9"/>
          </w:tcPr>
          <w:p>
            <w:pPr>
              <w:jc w:val="right"/>
              <w:ind w:right="220"/>
              <w:spacing w:after="0"/>
              <w:rPr>
                <w:sz w:val="20"/>
                <w:szCs w:val="20"/>
                <w:color w:val="auto"/>
              </w:rPr>
            </w:pPr>
            <w:r>
              <w:rPr>
                <w:rFonts w:ascii="Times New Roman" w:cs="Times New Roman" w:eastAsia="Times New Roman" w:hAnsi="Times New Roman"/>
                <w:sz w:val="22"/>
                <w:szCs w:val="22"/>
                <w:color w:val="auto"/>
              </w:rPr>
              <w:t>586,664</w:t>
            </w:r>
          </w:p>
        </w:tc>
        <w:tc>
          <w:tcPr>
            <w:tcW w:w="1220" w:type="dxa"/>
            <w:vAlign w:val="bottom"/>
            <w:tcBorders>
              <w:bottom w:val="single" w:sz="8" w:color="auto"/>
              <w:right w:val="single" w:sz="8" w:color="auto"/>
            </w:tcBorders>
            <w:shd w:val="clear" w:color="auto" w:fill="D9D9D9"/>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160" w:type="dxa"/>
            <w:vAlign w:val="bottom"/>
            <w:tcBorders>
              <w:right w:val="single" w:sz="8" w:color="auto"/>
            </w:tcBorders>
          </w:tcPr>
          <w:p>
            <w:pPr>
              <w:spacing w:after="0"/>
              <w:rPr>
                <w:sz w:val="20"/>
                <w:szCs w:val="20"/>
                <w:color w:val="auto"/>
              </w:rPr>
            </w:pPr>
          </w:p>
        </w:tc>
        <w:tc>
          <w:tcPr>
            <w:tcW w:w="1820" w:type="dxa"/>
            <w:vAlign w:val="bottom"/>
            <w:tcBorders>
              <w:bottom w:val="single" w:sz="8" w:color="auto"/>
            </w:tcBorders>
            <w:gridSpan w:val="3"/>
          </w:tcPr>
          <w:p>
            <w:pPr>
              <w:ind w:left="80"/>
              <w:spacing w:after="0" w:line="237" w:lineRule="exact"/>
              <w:rPr>
                <w:sz w:val="20"/>
                <w:szCs w:val="20"/>
                <w:color w:val="auto"/>
              </w:rPr>
            </w:pPr>
            <w:r>
              <w:rPr>
                <w:rFonts w:ascii="Times New Roman" w:cs="Times New Roman" w:eastAsia="Times New Roman" w:hAnsi="Times New Roman"/>
                <w:sz w:val="22"/>
                <w:szCs w:val="22"/>
                <w:color w:val="auto"/>
              </w:rPr>
              <w:t>Adam Dickstein</w:t>
            </w:r>
          </w:p>
        </w:tc>
        <w:tc>
          <w:tcPr>
            <w:tcW w:w="62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ind w:right="80"/>
              <w:spacing w:after="0" w:line="237" w:lineRule="exact"/>
              <w:rPr>
                <w:sz w:val="20"/>
                <w:szCs w:val="20"/>
                <w:color w:val="auto"/>
              </w:rPr>
            </w:pPr>
            <w:r>
              <w:rPr>
                <w:rFonts w:ascii="Times New Roman" w:cs="Times New Roman" w:eastAsia="Times New Roman" w:hAnsi="Times New Roman"/>
                <w:sz w:val="22"/>
                <w:szCs w:val="22"/>
                <w:color w:val="auto"/>
              </w:rPr>
              <w:t>5,248</w:t>
            </w:r>
          </w:p>
        </w:tc>
        <w:tc>
          <w:tcPr>
            <w:tcW w:w="760" w:type="dxa"/>
            <w:vAlign w:val="bottom"/>
            <w:tcBorders>
              <w:bottom w:val="single" w:sz="8" w:color="auto"/>
              <w:right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220"/>
              <w:spacing w:after="0" w:line="237" w:lineRule="exact"/>
              <w:rPr>
                <w:sz w:val="20"/>
                <w:szCs w:val="20"/>
                <w:color w:val="auto"/>
              </w:rPr>
            </w:pPr>
            <w:r>
              <w:rPr>
                <w:rFonts w:ascii="Times New Roman" w:cs="Times New Roman" w:eastAsia="Times New Roman" w:hAnsi="Times New Roman"/>
                <w:sz w:val="22"/>
                <w:szCs w:val="22"/>
                <w:color w:val="auto"/>
              </w:rPr>
              <w:t>416,271</w:t>
            </w:r>
          </w:p>
        </w:tc>
        <w:tc>
          <w:tcPr>
            <w:tcW w:w="1220" w:type="dxa"/>
            <w:vAlign w:val="bottom"/>
            <w:tcBorders>
              <w:bottom w:val="single" w:sz="8" w:color="auto"/>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8"/>
        </w:trPr>
        <w:tc>
          <w:tcPr>
            <w:tcW w:w="1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gridSpan w:val="3"/>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1760" w:type="dxa"/>
            <w:vAlign w:val="bottom"/>
            <w:tcBorders>
              <w:left w:val="single" w:sz="8" w:color="auto"/>
              <w:bottom w:val="single" w:sz="8" w:color="29650B"/>
            </w:tcBorders>
            <w:gridSpan w:val="2"/>
            <w:vMerge w:val="restart"/>
            <w:shd w:val="clear" w:color="auto" w:fill="29650B"/>
          </w:tcPr>
          <w:p>
            <w:pPr>
              <w:ind w:left="840"/>
              <w:spacing w:after="0"/>
              <w:rPr>
                <w:sz w:val="20"/>
                <w:szCs w:val="20"/>
                <w:color w:val="auto"/>
              </w:rPr>
            </w:pPr>
            <w:r>
              <w:rPr>
                <w:rFonts w:ascii="Times New Roman" w:cs="Times New Roman" w:eastAsia="Times New Roman" w:hAnsi="Times New Roman"/>
                <w:sz w:val="22"/>
                <w:szCs w:val="22"/>
                <w:b w:val="1"/>
                <w:bCs w:val="1"/>
                <w:color w:val="FFFFFF"/>
              </w:rPr>
              <w:t>Name</w:t>
            </w:r>
          </w:p>
        </w:tc>
        <w:tc>
          <w:tcPr>
            <w:tcW w:w="440" w:type="dxa"/>
            <w:vAlign w:val="bottom"/>
            <w:tcBorders>
              <w:bottom w:val="single" w:sz="8" w:color="29650B"/>
              <w:right w:val="single" w:sz="8" w:color="auto"/>
            </w:tcBorders>
            <w:shd w:val="clear" w:color="auto" w:fill="29650B"/>
          </w:tcPr>
          <w:p>
            <w:pPr>
              <w:spacing w:after="0"/>
              <w:rPr>
                <w:sz w:val="24"/>
                <w:szCs w:val="24"/>
                <w:color w:val="auto"/>
              </w:rPr>
            </w:pPr>
          </w:p>
        </w:tc>
        <w:tc>
          <w:tcPr>
            <w:tcW w:w="780" w:type="dxa"/>
            <w:vAlign w:val="bottom"/>
            <w:tcBorders>
              <w:bottom w:val="single" w:sz="8" w:color="auto"/>
              <w:right w:val="single" w:sz="8" w:color="29650B"/>
            </w:tcBorders>
            <w:shd w:val="clear" w:color="auto" w:fill="29650B"/>
          </w:tcPr>
          <w:p>
            <w:pPr>
              <w:spacing w:after="0"/>
              <w:rPr>
                <w:sz w:val="24"/>
                <w:szCs w:val="24"/>
                <w:color w:val="auto"/>
              </w:rPr>
            </w:pPr>
          </w:p>
        </w:tc>
        <w:tc>
          <w:tcPr>
            <w:tcW w:w="620" w:type="dxa"/>
            <w:vAlign w:val="bottom"/>
            <w:tcBorders>
              <w:bottom w:val="single" w:sz="8" w:color="auto"/>
              <w:right w:val="single" w:sz="8" w:color="29650B"/>
            </w:tcBorders>
            <w:shd w:val="clear" w:color="auto" w:fill="29650B"/>
          </w:tcPr>
          <w:p>
            <w:pPr>
              <w:spacing w:after="0"/>
              <w:rPr>
                <w:sz w:val="24"/>
                <w:szCs w:val="24"/>
                <w:color w:val="auto"/>
              </w:rPr>
            </w:pPr>
          </w:p>
        </w:tc>
        <w:tc>
          <w:tcPr>
            <w:tcW w:w="500" w:type="dxa"/>
            <w:vAlign w:val="bottom"/>
            <w:tcBorders>
              <w:bottom w:val="single" w:sz="8" w:color="auto"/>
              <w:right w:val="single" w:sz="8" w:color="29650B"/>
            </w:tcBorders>
            <w:shd w:val="clear" w:color="auto" w:fill="29650B"/>
          </w:tcPr>
          <w:p>
            <w:pPr>
              <w:spacing w:after="0"/>
              <w:rPr>
                <w:sz w:val="24"/>
                <w:szCs w:val="24"/>
                <w:color w:val="auto"/>
              </w:rPr>
            </w:pPr>
          </w:p>
        </w:tc>
        <w:tc>
          <w:tcPr>
            <w:tcW w:w="4800" w:type="dxa"/>
            <w:vAlign w:val="bottom"/>
            <w:tcBorders>
              <w:bottom w:val="single" w:sz="8" w:color="auto"/>
              <w:right w:val="single" w:sz="8" w:color="29650B"/>
            </w:tcBorders>
            <w:gridSpan w:val="6"/>
            <w:shd w:val="clear" w:color="auto" w:fill="29650B"/>
          </w:tcPr>
          <w:p>
            <w:pPr>
              <w:jc w:val="right"/>
              <w:ind w:right="400"/>
              <w:spacing w:after="0"/>
              <w:rPr>
                <w:sz w:val="20"/>
                <w:szCs w:val="20"/>
                <w:color w:val="auto"/>
              </w:rPr>
            </w:pPr>
            <w:r>
              <w:rPr>
                <w:rFonts w:ascii="Times New Roman" w:cs="Times New Roman" w:eastAsia="Times New Roman" w:hAnsi="Times New Roman"/>
                <w:sz w:val="22"/>
                <w:szCs w:val="22"/>
                <w:b w:val="1"/>
                <w:bCs w:val="1"/>
                <w:color w:val="FFFFFF"/>
              </w:rPr>
              <w:t>Performance-Based Restricted Stock</w:t>
            </w:r>
          </w:p>
        </w:tc>
        <w:tc>
          <w:tcPr>
            <w:tcW w:w="1220" w:type="dxa"/>
            <w:vAlign w:val="bottom"/>
            <w:tcBorders>
              <w:bottom w:val="single" w:sz="8" w:color="auto"/>
              <w:right w:val="single" w:sz="8" w:color="29650B"/>
            </w:tcBorders>
            <w:shd w:val="clear" w:color="auto" w:fill="29650B"/>
          </w:tcPr>
          <w:p>
            <w:pPr>
              <w:spacing w:after="0"/>
              <w:rPr>
                <w:sz w:val="24"/>
                <w:szCs w:val="24"/>
                <w:color w:val="auto"/>
              </w:rPr>
            </w:pPr>
          </w:p>
        </w:tc>
        <w:tc>
          <w:tcPr>
            <w:tcW w:w="1120" w:type="dxa"/>
            <w:vAlign w:val="bottom"/>
            <w:tcBorders>
              <w:bottom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760" w:type="dxa"/>
            <w:vAlign w:val="bottom"/>
            <w:tcBorders>
              <w:left w:val="single" w:sz="8" w:color="auto"/>
              <w:bottom w:val="single" w:sz="8" w:color="29650B"/>
            </w:tcBorders>
            <w:gridSpan w:val="2"/>
            <w:vMerge w:val="continue"/>
            <w:shd w:val="clear" w:color="auto" w:fill="29650B"/>
          </w:tcPr>
          <w:p>
            <w:pPr>
              <w:spacing w:after="0"/>
              <w:rPr>
                <w:sz w:val="19"/>
                <w:szCs w:val="19"/>
                <w:color w:val="auto"/>
              </w:rPr>
            </w:pPr>
          </w:p>
        </w:tc>
        <w:tc>
          <w:tcPr>
            <w:tcW w:w="440" w:type="dxa"/>
            <w:vAlign w:val="bottom"/>
            <w:tcBorders>
              <w:bottom w:val="single" w:sz="8" w:color="29650B"/>
              <w:right w:val="single" w:sz="8" w:color="auto"/>
            </w:tcBorders>
            <w:shd w:val="clear" w:color="auto" w:fill="29650B"/>
          </w:tcPr>
          <w:p>
            <w:pPr>
              <w:spacing w:after="0"/>
              <w:rPr>
                <w:sz w:val="19"/>
                <w:szCs w:val="19"/>
                <w:color w:val="auto"/>
              </w:rPr>
            </w:pPr>
          </w:p>
        </w:tc>
        <w:tc>
          <w:tcPr>
            <w:tcW w:w="780" w:type="dxa"/>
            <w:vAlign w:val="bottom"/>
            <w:tcBorders>
              <w:bottom w:val="single" w:sz="8" w:color="auto"/>
              <w:right w:val="single" w:sz="8" w:color="29650B"/>
            </w:tcBorders>
            <w:shd w:val="clear" w:color="auto" w:fill="29650B"/>
          </w:tcPr>
          <w:p>
            <w:pPr>
              <w:spacing w:after="0"/>
              <w:rPr>
                <w:sz w:val="19"/>
                <w:szCs w:val="19"/>
                <w:color w:val="auto"/>
              </w:rPr>
            </w:pPr>
          </w:p>
        </w:tc>
        <w:tc>
          <w:tcPr>
            <w:tcW w:w="2460" w:type="dxa"/>
            <w:vAlign w:val="bottom"/>
            <w:tcBorders>
              <w:bottom w:val="single" w:sz="8" w:color="auto"/>
            </w:tcBorders>
            <w:gridSpan w:val="4"/>
            <w:shd w:val="clear" w:color="auto" w:fill="29650B"/>
          </w:tcPr>
          <w:p>
            <w:pPr>
              <w:jc w:val="right"/>
              <w:ind w:right="220"/>
              <w:spacing w:after="0" w:line="223" w:lineRule="exact"/>
              <w:rPr>
                <w:sz w:val="20"/>
                <w:szCs w:val="20"/>
                <w:color w:val="auto"/>
              </w:rPr>
            </w:pPr>
            <w:r>
              <w:rPr>
                <w:rFonts w:ascii="Times New Roman" w:cs="Times New Roman" w:eastAsia="Times New Roman" w:hAnsi="Times New Roman"/>
                <w:sz w:val="22"/>
                <w:szCs w:val="22"/>
                <w:b w:val="1"/>
                <w:bCs w:val="1"/>
                <w:color w:val="FFFFFF"/>
              </w:rPr>
              <w:t>TSR-Based Award</w:t>
            </w:r>
          </w:p>
        </w:tc>
        <w:tc>
          <w:tcPr>
            <w:tcW w:w="760" w:type="dxa"/>
            <w:vAlign w:val="bottom"/>
            <w:tcBorders>
              <w:bottom w:val="single" w:sz="8" w:color="auto"/>
              <w:right w:val="single" w:sz="8" w:color="29650B"/>
            </w:tcBorders>
            <w:shd w:val="clear" w:color="auto" w:fill="29650B"/>
          </w:tcPr>
          <w:p>
            <w:pPr>
              <w:spacing w:after="0"/>
              <w:rPr>
                <w:sz w:val="19"/>
                <w:szCs w:val="19"/>
                <w:color w:val="auto"/>
              </w:rPr>
            </w:pPr>
          </w:p>
        </w:tc>
        <w:tc>
          <w:tcPr>
            <w:tcW w:w="360" w:type="dxa"/>
            <w:vAlign w:val="bottom"/>
            <w:tcBorders>
              <w:bottom w:val="single" w:sz="8" w:color="auto"/>
              <w:right w:val="single" w:sz="8" w:color="auto"/>
            </w:tcBorders>
            <w:shd w:val="clear" w:color="auto" w:fill="29650B"/>
          </w:tcPr>
          <w:p>
            <w:pPr>
              <w:spacing w:after="0"/>
              <w:rPr>
                <w:sz w:val="19"/>
                <w:szCs w:val="19"/>
                <w:color w:val="auto"/>
              </w:rPr>
            </w:pPr>
          </w:p>
        </w:tc>
        <w:tc>
          <w:tcPr>
            <w:tcW w:w="1000" w:type="dxa"/>
            <w:vAlign w:val="bottom"/>
            <w:tcBorders>
              <w:bottom w:val="single" w:sz="8" w:color="auto"/>
              <w:right w:val="single" w:sz="8" w:color="29650B"/>
            </w:tcBorders>
            <w:shd w:val="clear" w:color="auto" w:fill="29650B"/>
          </w:tcPr>
          <w:p>
            <w:pPr>
              <w:spacing w:after="0"/>
              <w:rPr>
                <w:sz w:val="19"/>
                <w:szCs w:val="19"/>
                <w:color w:val="auto"/>
              </w:rPr>
            </w:pPr>
          </w:p>
        </w:tc>
        <w:tc>
          <w:tcPr>
            <w:tcW w:w="2560" w:type="dxa"/>
            <w:vAlign w:val="bottom"/>
            <w:tcBorders>
              <w:bottom w:val="single" w:sz="8" w:color="auto"/>
              <w:right w:val="single" w:sz="8" w:color="29650B"/>
            </w:tcBorders>
            <w:gridSpan w:val="2"/>
            <w:shd w:val="clear" w:color="auto" w:fill="29650B"/>
          </w:tcPr>
          <w:p>
            <w:pPr>
              <w:ind w:left="400"/>
              <w:spacing w:after="0" w:line="223" w:lineRule="exact"/>
              <w:rPr>
                <w:sz w:val="20"/>
                <w:szCs w:val="20"/>
                <w:color w:val="auto"/>
              </w:rPr>
            </w:pPr>
            <w:r>
              <w:rPr>
                <w:rFonts w:ascii="Times New Roman" w:cs="Times New Roman" w:eastAsia="Times New Roman" w:hAnsi="Times New Roman"/>
                <w:sz w:val="22"/>
                <w:szCs w:val="22"/>
                <w:b w:val="1"/>
                <w:bCs w:val="1"/>
                <w:color w:val="FFFFFF"/>
              </w:rPr>
              <w:t>ROIC-Based Award</w:t>
            </w:r>
          </w:p>
        </w:tc>
        <w:tc>
          <w:tcPr>
            <w:tcW w:w="1120" w:type="dxa"/>
            <w:vAlign w:val="bottom"/>
            <w:tcBorders>
              <w:bottom w:val="single" w:sz="8" w:color="auto"/>
              <w:right w:val="single" w:sz="8" w:color="auto"/>
            </w:tcBorders>
            <w:shd w:val="clear" w:color="auto" w:fill="29650B"/>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1160" w:type="dxa"/>
            <w:vAlign w:val="bottom"/>
            <w:tcBorders>
              <w:left w:val="single" w:sz="8" w:color="auto"/>
              <w:right w:val="single" w:sz="8" w:color="29650B"/>
            </w:tcBorders>
            <w:shd w:val="clear" w:color="auto" w:fill="29650B"/>
          </w:tcPr>
          <w:p>
            <w:pPr>
              <w:spacing w:after="0"/>
              <w:rPr>
                <w:sz w:val="12"/>
                <w:szCs w:val="12"/>
                <w:color w:val="auto"/>
              </w:rPr>
            </w:pPr>
          </w:p>
        </w:tc>
        <w:tc>
          <w:tcPr>
            <w:tcW w:w="600" w:type="dxa"/>
            <w:vAlign w:val="bottom"/>
            <w:shd w:val="clear" w:color="auto" w:fill="29650B"/>
          </w:tcPr>
          <w:p>
            <w:pPr>
              <w:spacing w:after="0"/>
              <w:rPr>
                <w:sz w:val="12"/>
                <w:szCs w:val="12"/>
                <w:color w:val="auto"/>
              </w:rPr>
            </w:pPr>
          </w:p>
        </w:tc>
        <w:tc>
          <w:tcPr>
            <w:tcW w:w="440" w:type="dxa"/>
            <w:vAlign w:val="bottom"/>
            <w:tcBorders>
              <w:right w:val="single" w:sz="8" w:color="auto"/>
            </w:tcBorders>
            <w:shd w:val="clear" w:color="auto" w:fill="29650B"/>
          </w:tcPr>
          <w:p>
            <w:pPr>
              <w:spacing w:after="0"/>
              <w:rPr>
                <w:sz w:val="12"/>
                <w:szCs w:val="12"/>
                <w:color w:val="auto"/>
              </w:rPr>
            </w:pPr>
          </w:p>
        </w:tc>
        <w:tc>
          <w:tcPr>
            <w:tcW w:w="780" w:type="dxa"/>
            <w:vAlign w:val="bottom"/>
            <w:tcBorders>
              <w:right w:val="single" w:sz="8" w:color="auto"/>
            </w:tcBorders>
            <w:shd w:val="clear" w:color="auto" w:fill="29650B"/>
          </w:tcPr>
          <w:p>
            <w:pPr>
              <w:jc w:val="right"/>
              <w:ind w:right="51"/>
              <w:spacing w:after="0" w:line="147" w:lineRule="exact"/>
              <w:rPr>
                <w:sz w:val="20"/>
                <w:szCs w:val="20"/>
                <w:color w:val="auto"/>
              </w:rPr>
            </w:pPr>
            <w:r>
              <w:rPr>
                <w:rFonts w:ascii="Times New Roman" w:cs="Times New Roman" w:eastAsia="Times New Roman" w:hAnsi="Times New Roman"/>
                <w:sz w:val="17"/>
                <w:szCs w:val="17"/>
                <w:b w:val="1"/>
                <w:bCs w:val="1"/>
                <w:color w:val="FFFFFF"/>
              </w:rPr>
              <w:t>Target</w:t>
            </w:r>
          </w:p>
        </w:tc>
        <w:tc>
          <w:tcPr>
            <w:tcW w:w="1120" w:type="dxa"/>
            <w:vAlign w:val="bottom"/>
            <w:tcBorders>
              <w:right w:val="single" w:sz="8" w:color="auto"/>
            </w:tcBorders>
            <w:gridSpan w:val="2"/>
            <w:shd w:val="clear" w:color="auto" w:fill="29650B"/>
          </w:tcPr>
          <w:p>
            <w:pPr>
              <w:jc w:val="right"/>
              <w:ind w:right="320"/>
              <w:spacing w:after="0" w:line="147" w:lineRule="exact"/>
              <w:rPr>
                <w:sz w:val="20"/>
                <w:szCs w:val="20"/>
                <w:color w:val="auto"/>
              </w:rPr>
            </w:pPr>
            <w:r>
              <w:rPr>
                <w:rFonts w:ascii="Times New Roman" w:cs="Times New Roman" w:eastAsia="Times New Roman" w:hAnsi="Times New Roman"/>
                <w:sz w:val="17"/>
                <w:szCs w:val="17"/>
                <w:b w:val="1"/>
                <w:bCs w:val="1"/>
                <w:color w:val="FFFFFF"/>
              </w:rPr>
              <w:t>Award</w:t>
            </w:r>
          </w:p>
        </w:tc>
        <w:tc>
          <w:tcPr>
            <w:tcW w:w="1240" w:type="dxa"/>
            <w:vAlign w:val="bottom"/>
            <w:tcBorders>
              <w:right w:val="single" w:sz="8" w:color="auto"/>
            </w:tcBorders>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Minimum</w:t>
            </w:r>
          </w:p>
        </w:tc>
        <w:tc>
          <w:tcPr>
            <w:tcW w:w="100" w:type="dxa"/>
            <w:vAlign w:val="bottom"/>
            <w:shd w:val="clear" w:color="auto" w:fill="29650B"/>
          </w:tcPr>
          <w:p>
            <w:pPr>
              <w:spacing w:after="0"/>
              <w:rPr>
                <w:sz w:val="12"/>
                <w:szCs w:val="12"/>
                <w:color w:val="auto"/>
              </w:rPr>
            </w:pPr>
          </w:p>
        </w:tc>
        <w:tc>
          <w:tcPr>
            <w:tcW w:w="1120" w:type="dxa"/>
            <w:vAlign w:val="bottom"/>
            <w:tcBorders>
              <w:right w:val="single" w:sz="8" w:color="auto"/>
            </w:tcBorders>
            <w:gridSpan w:val="2"/>
            <w:shd w:val="clear" w:color="auto" w:fill="29650B"/>
          </w:tcPr>
          <w:p>
            <w:pPr>
              <w:jc w:val="right"/>
              <w:ind w:right="220"/>
              <w:spacing w:after="0" w:line="147" w:lineRule="exact"/>
              <w:rPr>
                <w:sz w:val="20"/>
                <w:szCs w:val="20"/>
                <w:color w:val="auto"/>
              </w:rPr>
            </w:pPr>
            <w:r>
              <w:rPr>
                <w:rFonts w:ascii="Times New Roman" w:cs="Times New Roman" w:eastAsia="Times New Roman" w:hAnsi="Times New Roman"/>
                <w:sz w:val="17"/>
                <w:szCs w:val="17"/>
                <w:b w:val="1"/>
                <w:bCs w:val="1"/>
                <w:color w:val="FFFFFF"/>
              </w:rPr>
              <w:t>Maximum</w:t>
            </w:r>
          </w:p>
        </w:tc>
        <w:tc>
          <w:tcPr>
            <w:tcW w:w="1000" w:type="dxa"/>
            <w:vAlign w:val="bottom"/>
            <w:tcBorders>
              <w:right w:val="single" w:sz="8" w:color="auto"/>
            </w:tcBorders>
            <w:shd w:val="clear" w:color="auto" w:fill="29650B"/>
          </w:tcPr>
          <w:p>
            <w:pPr>
              <w:jc w:val="right"/>
              <w:ind w:right="171"/>
              <w:spacing w:after="0" w:line="147" w:lineRule="exact"/>
              <w:rPr>
                <w:sz w:val="20"/>
                <w:szCs w:val="20"/>
                <w:color w:val="auto"/>
              </w:rPr>
            </w:pPr>
            <w:r>
              <w:rPr>
                <w:rFonts w:ascii="Times New Roman" w:cs="Times New Roman" w:eastAsia="Times New Roman" w:hAnsi="Times New Roman"/>
                <w:sz w:val="17"/>
                <w:szCs w:val="17"/>
                <w:b w:val="1"/>
                <w:bCs w:val="1"/>
                <w:color w:val="FFFFFF"/>
              </w:rPr>
              <w:t>Target</w:t>
            </w:r>
          </w:p>
        </w:tc>
        <w:tc>
          <w:tcPr>
            <w:tcW w:w="1340" w:type="dxa"/>
            <w:vAlign w:val="bottom"/>
            <w:tcBorders>
              <w:right w:val="single" w:sz="8" w:color="auto"/>
            </w:tcBorders>
            <w:vMerge w:val="restart"/>
            <w:shd w:val="clear" w:color="auto" w:fill="29650B"/>
          </w:tcPr>
          <w:p>
            <w:pPr>
              <w:jc w:val="right"/>
              <w:ind w:right="80"/>
              <w:spacing w:after="0"/>
              <w:rPr>
                <w:sz w:val="20"/>
                <w:szCs w:val="20"/>
                <w:color w:val="auto"/>
              </w:rPr>
            </w:pPr>
            <w:r>
              <w:rPr>
                <w:rFonts w:ascii="Times New Roman" w:cs="Times New Roman" w:eastAsia="Times New Roman" w:hAnsi="Times New Roman"/>
                <w:sz w:val="18"/>
                <w:szCs w:val="18"/>
                <w:b w:val="1"/>
                <w:bCs w:val="1"/>
                <w:color w:val="FFFFFF"/>
              </w:rPr>
              <w:t>Award Value</w:t>
            </w:r>
          </w:p>
        </w:tc>
        <w:tc>
          <w:tcPr>
            <w:tcW w:w="1220" w:type="dxa"/>
            <w:vAlign w:val="bottom"/>
            <w:tcBorders>
              <w:right w:val="single" w:sz="8" w:color="auto"/>
            </w:tcBorders>
            <w:shd w:val="clear" w:color="auto" w:fill="29650B"/>
          </w:tcPr>
          <w:p>
            <w:pPr>
              <w:jc w:val="center"/>
              <w:spacing w:after="0" w:line="147" w:lineRule="exact"/>
              <w:rPr>
                <w:sz w:val="20"/>
                <w:szCs w:val="20"/>
                <w:color w:val="auto"/>
              </w:rPr>
            </w:pPr>
            <w:r>
              <w:rPr>
                <w:rFonts w:ascii="Times New Roman" w:cs="Times New Roman" w:eastAsia="Times New Roman" w:hAnsi="Times New Roman"/>
                <w:sz w:val="17"/>
                <w:szCs w:val="17"/>
                <w:b w:val="1"/>
                <w:bCs w:val="1"/>
                <w:color w:val="FFFFFF"/>
              </w:rPr>
              <w:t>Minimum</w:t>
            </w:r>
          </w:p>
        </w:tc>
        <w:tc>
          <w:tcPr>
            <w:tcW w:w="1120" w:type="dxa"/>
            <w:vAlign w:val="bottom"/>
            <w:tcBorders>
              <w:right w:val="single" w:sz="8" w:color="auto"/>
            </w:tcBorders>
            <w:shd w:val="clear" w:color="auto" w:fill="29650B"/>
          </w:tcPr>
          <w:p>
            <w:pPr>
              <w:jc w:val="right"/>
              <w:ind w:right="71"/>
              <w:spacing w:after="0" w:line="147" w:lineRule="exact"/>
              <w:rPr>
                <w:sz w:val="20"/>
                <w:szCs w:val="20"/>
                <w:color w:val="auto"/>
              </w:rPr>
            </w:pPr>
            <w:r>
              <w:rPr>
                <w:rFonts w:ascii="Times New Roman" w:cs="Times New Roman" w:eastAsia="Times New Roman" w:hAnsi="Times New Roman"/>
                <w:sz w:val="17"/>
                <w:szCs w:val="17"/>
                <w:b w:val="1"/>
                <w:bCs w:val="1"/>
                <w:color w:val="FFFFFF"/>
              </w:rPr>
              <w:t>Maximum</w:t>
            </w:r>
          </w:p>
        </w:tc>
        <w:tc>
          <w:tcPr>
            <w:tcW w:w="0" w:type="dxa"/>
            <w:vAlign w:val="bottom"/>
          </w:tcPr>
          <w:p>
            <w:pPr>
              <w:spacing w:after="0"/>
              <w:rPr>
                <w:sz w:val="1"/>
                <w:szCs w:val="1"/>
                <w:color w:val="auto"/>
              </w:rPr>
            </w:pPr>
          </w:p>
        </w:tc>
      </w:tr>
      <w:tr>
        <w:trPr>
          <w:trHeight w:val="144"/>
        </w:trPr>
        <w:tc>
          <w:tcPr>
            <w:tcW w:w="1160" w:type="dxa"/>
            <w:vAlign w:val="bottom"/>
            <w:tcBorders>
              <w:left w:val="single" w:sz="8" w:color="auto"/>
              <w:right w:val="single" w:sz="8" w:color="29650B"/>
            </w:tcBorders>
            <w:shd w:val="clear" w:color="auto" w:fill="29650B"/>
          </w:tcPr>
          <w:p>
            <w:pPr>
              <w:spacing w:after="0"/>
              <w:rPr>
                <w:sz w:val="12"/>
                <w:szCs w:val="12"/>
                <w:color w:val="auto"/>
              </w:rPr>
            </w:pPr>
          </w:p>
        </w:tc>
        <w:tc>
          <w:tcPr>
            <w:tcW w:w="600" w:type="dxa"/>
            <w:vAlign w:val="bottom"/>
            <w:shd w:val="clear" w:color="auto" w:fill="29650B"/>
          </w:tcPr>
          <w:p>
            <w:pPr>
              <w:spacing w:after="0"/>
              <w:rPr>
                <w:sz w:val="12"/>
                <w:szCs w:val="12"/>
                <w:color w:val="auto"/>
              </w:rPr>
            </w:pPr>
          </w:p>
        </w:tc>
        <w:tc>
          <w:tcPr>
            <w:tcW w:w="440" w:type="dxa"/>
            <w:vAlign w:val="bottom"/>
            <w:tcBorders>
              <w:right w:val="single" w:sz="8" w:color="auto"/>
            </w:tcBorders>
            <w:shd w:val="clear" w:color="auto" w:fill="29650B"/>
          </w:tcPr>
          <w:p>
            <w:pPr>
              <w:spacing w:after="0"/>
              <w:rPr>
                <w:sz w:val="12"/>
                <w:szCs w:val="12"/>
                <w:color w:val="auto"/>
              </w:rPr>
            </w:pPr>
          </w:p>
        </w:tc>
        <w:tc>
          <w:tcPr>
            <w:tcW w:w="780" w:type="dxa"/>
            <w:vAlign w:val="bottom"/>
            <w:tcBorders>
              <w:right w:val="single" w:sz="8" w:color="auto"/>
            </w:tcBorders>
            <w:vMerge w:val="restart"/>
            <w:shd w:val="clear" w:color="auto" w:fill="29650B"/>
          </w:tcPr>
          <w:p>
            <w:pPr>
              <w:jc w:val="right"/>
              <w:ind w:right="5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120" w:type="dxa"/>
            <w:vAlign w:val="bottom"/>
            <w:tcBorders>
              <w:right w:val="single" w:sz="8" w:color="auto"/>
            </w:tcBorders>
            <w:gridSpan w:val="2"/>
            <w:vMerge w:val="restart"/>
            <w:shd w:val="clear" w:color="auto" w:fill="29650B"/>
          </w:tcPr>
          <w:p>
            <w:pPr>
              <w:jc w:val="right"/>
              <w:ind w:right="360"/>
              <w:spacing w:after="0"/>
              <w:rPr>
                <w:sz w:val="20"/>
                <w:szCs w:val="20"/>
                <w:color w:val="auto"/>
              </w:rPr>
            </w:pPr>
            <w:r>
              <w:rPr>
                <w:rFonts w:ascii="Times New Roman" w:cs="Times New Roman" w:eastAsia="Times New Roman" w:hAnsi="Times New Roman"/>
                <w:sz w:val="18"/>
                <w:szCs w:val="18"/>
                <w:b w:val="1"/>
                <w:bCs w:val="1"/>
                <w:color w:val="FFFFFF"/>
              </w:rPr>
              <w:t>Value</w:t>
            </w:r>
          </w:p>
        </w:tc>
        <w:tc>
          <w:tcPr>
            <w:tcW w:w="12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00" w:type="dxa"/>
            <w:vAlign w:val="bottom"/>
            <w:shd w:val="clear" w:color="auto" w:fill="29650B"/>
          </w:tcPr>
          <w:p>
            <w:pPr>
              <w:spacing w:after="0"/>
              <w:rPr>
                <w:sz w:val="12"/>
                <w:szCs w:val="12"/>
                <w:color w:val="auto"/>
              </w:rPr>
            </w:pPr>
          </w:p>
        </w:tc>
        <w:tc>
          <w:tcPr>
            <w:tcW w:w="1120" w:type="dxa"/>
            <w:vAlign w:val="bottom"/>
            <w:tcBorders>
              <w:right w:val="single" w:sz="8" w:color="auto"/>
            </w:tcBorders>
            <w:gridSpan w:val="2"/>
            <w:vMerge w:val="restart"/>
            <w:shd w:val="clear" w:color="auto" w:fill="29650B"/>
          </w:tcPr>
          <w:p>
            <w:pPr>
              <w:jc w:val="right"/>
              <w:ind w:right="360"/>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000" w:type="dxa"/>
            <w:vAlign w:val="bottom"/>
            <w:tcBorders>
              <w:right w:val="single" w:sz="8" w:color="auto"/>
            </w:tcBorders>
            <w:vMerge w:val="restart"/>
            <w:shd w:val="clear" w:color="auto" w:fill="29650B"/>
          </w:tcPr>
          <w:p>
            <w:pPr>
              <w:jc w:val="right"/>
              <w:ind w:right="17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1340" w:type="dxa"/>
            <w:vAlign w:val="bottom"/>
            <w:tcBorders>
              <w:right w:val="single" w:sz="8" w:color="auto"/>
            </w:tcBorders>
            <w:vMerge w:val="continue"/>
            <w:shd w:val="clear" w:color="auto" w:fill="29650B"/>
          </w:tcPr>
          <w:p>
            <w:pPr>
              <w:spacing w:after="0"/>
              <w:rPr>
                <w:sz w:val="12"/>
                <w:szCs w:val="12"/>
                <w:color w:val="auto"/>
              </w:rPr>
            </w:pPr>
          </w:p>
        </w:tc>
        <w:tc>
          <w:tcPr>
            <w:tcW w:w="122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Shares</w:t>
            </w:r>
          </w:p>
        </w:tc>
        <w:tc>
          <w:tcPr>
            <w:tcW w:w="1120" w:type="dxa"/>
            <w:vAlign w:val="bottom"/>
            <w:tcBorders>
              <w:right w:val="single" w:sz="8" w:color="auto"/>
            </w:tcBorders>
            <w:vMerge w:val="restart"/>
            <w:shd w:val="clear" w:color="auto" w:fill="29650B"/>
          </w:tcPr>
          <w:p>
            <w:pPr>
              <w:jc w:val="right"/>
              <w:ind w:right="211"/>
              <w:spacing w:after="0"/>
              <w:rPr>
                <w:sz w:val="20"/>
                <w:szCs w:val="20"/>
                <w:color w:val="auto"/>
              </w:rPr>
            </w:pPr>
            <w:r>
              <w:rPr>
                <w:rFonts w:ascii="Times New Roman" w:cs="Times New Roman" w:eastAsia="Times New Roman" w:hAnsi="Times New Roman"/>
                <w:sz w:val="18"/>
                <w:szCs w:val="18"/>
                <w:b w:val="1"/>
                <w:bCs w:val="1"/>
                <w:color w:val="FFFFFF"/>
              </w:rPr>
              <w:t>Shares</w:t>
            </w:r>
          </w:p>
        </w:tc>
        <w:tc>
          <w:tcPr>
            <w:tcW w:w="0" w:type="dxa"/>
            <w:vAlign w:val="bottom"/>
          </w:tcPr>
          <w:p>
            <w:pPr>
              <w:spacing w:after="0"/>
              <w:rPr>
                <w:sz w:val="1"/>
                <w:szCs w:val="1"/>
                <w:color w:val="auto"/>
              </w:rPr>
            </w:pPr>
          </w:p>
        </w:tc>
      </w:tr>
      <w:tr>
        <w:trPr>
          <w:trHeight w:val="81"/>
        </w:trPr>
        <w:tc>
          <w:tcPr>
            <w:tcW w:w="1160" w:type="dxa"/>
            <w:vAlign w:val="bottom"/>
            <w:tcBorders>
              <w:left w:val="single" w:sz="8" w:color="auto"/>
              <w:bottom w:val="single" w:sz="8" w:color="auto"/>
              <w:right w:val="single" w:sz="8" w:color="29650B"/>
            </w:tcBorders>
            <w:shd w:val="clear" w:color="auto" w:fill="29650B"/>
          </w:tcPr>
          <w:p>
            <w:pPr>
              <w:spacing w:after="0"/>
              <w:rPr>
                <w:sz w:val="7"/>
                <w:szCs w:val="7"/>
                <w:color w:val="auto"/>
              </w:rPr>
            </w:pPr>
          </w:p>
        </w:tc>
        <w:tc>
          <w:tcPr>
            <w:tcW w:w="600" w:type="dxa"/>
            <w:vAlign w:val="bottom"/>
            <w:tcBorders>
              <w:bottom w:val="single" w:sz="8" w:color="auto"/>
            </w:tcBorders>
            <w:shd w:val="clear" w:color="auto" w:fill="29650B"/>
          </w:tcPr>
          <w:p>
            <w:pPr>
              <w:spacing w:after="0"/>
              <w:rPr>
                <w:sz w:val="7"/>
                <w:szCs w:val="7"/>
                <w:color w:val="auto"/>
              </w:rPr>
            </w:pPr>
          </w:p>
        </w:tc>
        <w:tc>
          <w:tcPr>
            <w:tcW w:w="440" w:type="dxa"/>
            <w:vAlign w:val="bottom"/>
            <w:tcBorders>
              <w:bottom w:val="single" w:sz="8" w:color="auto"/>
              <w:right w:val="single" w:sz="8" w:color="auto"/>
            </w:tcBorders>
            <w:shd w:val="clear" w:color="auto" w:fill="29650B"/>
          </w:tcPr>
          <w:p>
            <w:pPr>
              <w:spacing w:after="0"/>
              <w:rPr>
                <w:sz w:val="7"/>
                <w:szCs w:val="7"/>
                <w:color w:val="auto"/>
              </w:rPr>
            </w:pPr>
          </w:p>
        </w:tc>
        <w:tc>
          <w:tcPr>
            <w:tcW w:w="78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120" w:type="dxa"/>
            <w:vAlign w:val="bottom"/>
            <w:tcBorders>
              <w:bottom w:val="single" w:sz="8" w:color="auto"/>
              <w:right w:val="single" w:sz="8" w:color="auto"/>
            </w:tcBorders>
            <w:gridSpan w:val="2"/>
            <w:vMerge w:val="continue"/>
            <w:shd w:val="clear" w:color="auto" w:fill="29650B"/>
          </w:tcPr>
          <w:p>
            <w:pPr>
              <w:spacing w:after="0"/>
              <w:rPr>
                <w:sz w:val="7"/>
                <w:szCs w:val="7"/>
                <w:color w:val="auto"/>
              </w:rPr>
            </w:pPr>
          </w:p>
        </w:tc>
        <w:tc>
          <w:tcPr>
            <w:tcW w:w="124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00" w:type="dxa"/>
            <w:vAlign w:val="bottom"/>
            <w:tcBorders>
              <w:bottom w:val="single" w:sz="8" w:color="auto"/>
            </w:tcBorders>
            <w:shd w:val="clear" w:color="auto" w:fill="29650B"/>
          </w:tcPr>
          <w:p>
            <w:pPr>
              <w:spacing w:after="0"/>
              <w:rPr>
                <w:sz w:val="7"/>
                <w:szCs w:val="7"/>
                <w:color w:val="auto"/>
              </w:rPr>
            </w:pPr>
          </w:p>
        </w:tc>
        <w:tc>
          <w:tcPr>
            <w:tcW w:w="1120" w:type="dxa"/>
            <w:vAlign w:val="bottom"/>
            <w:tcBorders>
              <w:bottom w:val="single" w:sz="8" w:color="auto"/>
              <w:right w:val="single" w:sz="8" w:color="auto"/>
            </w:tcBorders>
            <w:gridSpan w:val="2"/>
            <w:vMerge w:val="continue"/>
            <w:shd w:val="clear" w:color="auto" w:fill="29650B"/>
          </w:tcPr>
          <w:p>
            <w:pPr>
              <w:spacing w:after="0"/>
              <w:rPr>
                <w:sz w:val="7"/>
                <w:szCs w:val="7"/>
                <w:color w:val="auto"/>
              </w:rPr>
            </w:pPr>
          </w:p>
        </w:tc>
        <w:tc>
          <w:tcPr>
            <w:tcW w:w="100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340" w:type="dxa"/>
            <w:vAlign w:val="bottom"/>
            <w:tcBorders>
              <w:bottom w:val="single" w:sz="8" w:color="auto"/>
              <w:right w:val="single" w:sz="8" w:color="auto"/>
            </w:tcBorders>
            <w:shd w:val="clear" w:color="auto" w:fill="29650B"/>
          </w:tcPr>
          <w:p>
            <w:pPr>
              <w:spacing w:after="0"/>
              <w:rPr>
                <w:sz w:val="7"/>
                <w:szCs w:val="7"/>
                <w:color w:val="auto"/>
              </w:rPr>
            </w:pPr>
          </w:p>
        </w:tc>
        <w:tc>
          <w:tcPr>
            <w:tcW w:w="122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1120" w:type="dxa"/>
            <w:vAlign w:val="bottom"/>
            <w:tcBorders>
              <w:bottom w:val="single" w:sz="8" w:color="auto"/>
              <w:right w:val="single" w:sz="8" w:color="auto"/>
            </w:tcBorders>
            <w:vMerge w:val="continue"/>
            <w:shd w:val="clear" w:color="auto" w:fill="29650B"/>
          </w:tcPr>
          <w:p>
            <w:pPr>
              <w:spacing w:after="0"/>
              <w:rPr>
                <w:sz w:val="7"/>
                <w:szCs w:val="7"/>
                <w:color w:val="auto"/>
              </w:rPr>
            </w:pPr>
          </w:p>
        </w:tc>
        <w:tc>
          <w:tcPr>
            <w:tcW w:w="0" w:type="dxa"/>
            <w:vAlign w:val="bottom"/>
          </w:tcPr>
          <w:p>
            <w:pPr>
              <w:spacing w:after="0"/>
              <w:rPr>
                <w:sz w:val="1"/>
                <w:szCs w:val="1"/>
                <w:color w:val="auto"/>
              </w:rPr>
            </w:pPr>
          </w:p>
        </w:tc>
      </w:tr>
      <w:tr>
        <w:trPr>
          <w:trHeight w:val="426"/>
        </w:trPr>
        <w:tc>
          <w:tcPr>
            <w:tcW w:w="176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Timothy Donahue</w:t>
            </w:r>
          </w:p>
        </w:tc>
        <w:tc>
          <w:tcPr>
            <w:tcW w:w="440" w:type="dxa"/>
            <w:vAlign w:val="bottom"/>
            <w:tcBorders>
              <w:bottom w:val="single" w:sz="8" w:color="auto"/>
              <w:right w:val="single" w:sz="8" w:color="auto"/>
            </w:tcBorders>
          </w:tcPr>
          <w:p>
            <w:pPr>
              <w:spacing w:after="0"/>
              <w:rPr>
                <w:sz w:val="24"/>
                <w:szCs w:val="24"/>
                <w:color w:val="auto"/>
              </w:rPr>
            </w:pPr>
          </w:p>
        </w:tc>
        <w:tc>
          <w:tcPr>
            <w:tcW w:w="7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32,215</w:t>
            </w:r>
          </w:p>
        </w:tc>
        <w:tc>
          <w:tcPr>
            <w:tcW w:w="112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$2,875,833</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64,430</w:t>
            </w:r>
          </w:p>
        </w:tc>
        <w:tc>
          <w:tcPr>
            <w:tcW w:w="10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36,686</w:t>
            </w:r>
          </w:p>
        </w:tc>
        <w:tc>
          <w:tcPr>
            <w:tcW w:w="13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$2,875,816</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73,372</w:t>
            </w:r>
          </w:p>
        </w:tc>
        <w:tc>
          <w:tcPr>
            <w:tcW w:w="0" w:type="dxa"/>
            <w:vAlign w:val="bottom"/>
          </w:tcPr>
          <w:p>
            <w:pPr>
              <w:spacing w:after="0"/>
              <w:rPr>
                <w:sz w:val="1"/>
                <w:szCs w:val="1"/>
                <w:color w:val="auto"/>
              </w:rPr>
            </w:pPr>
          </w:p>
        </w:tc>
      </w:tr>
      <w:tr>
        <w:trPr>
          <w:trHeight w:val="223"/>
        </w:trPr>
        <w:tc>
          <w:tcPr>
            <w:tcW w:w="1760" w:type="dxa"/>
            <w:vAlign w:val="bottom"/>
            <w:tcBorders>
              <w:left w:val="single" w:sz="8" w:color="auto"/>
              <w:bottom w:val="single" w:sz="8" w:color="auto"/>
            </w:tcBorders>
            <w:gridSpan w:val="2"/>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Kevin Clothier</w:t>
            </w:r>
          </w:p>
        </w:tc>
        <w:tc>
          <w:tcPr>
            <w:tcW w:w="440" w:type="dxa"/>
            <w:vAlign w:val="bottom"/>
            <w:tcBorders>
              <w:bottom w:val="single" w:sz="8" w:color="auto"/>
              <w:right w:val="single" w:sz="8" w:color="auto"/>
            </w:tcBorders>
            <w:shd w:val="clear" w:color="auto" w:fill="D9D9D9"/>
          </w:tcPr>
          <w:p>
            <w:pPr>
              <w:spacing w:after="0"/>
              <w:rPr>
                <w:sz w:val="19"/>
                <w:szCs w:val="19"/>
                <w:color w:val="auto"/>
              </w:rPr>
            </w:pPr>
          </w:p>
        </w:tc>
        <w:tc>
          <w:tcPr>
            <w:tcW w:w="780" w:type="dxa"/>
            <w:vAlign w:val="bottom"/>
            <w:tcBorders>
              <w:bottom w:val="single" w:sz="8" w:color="auto"/>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7,515</w:t>
            </w:r>
          </w:p>
        </w:tc>
        <w:tc>
          <w:tcPr>
            <w:tcW w:w="1120" w:type="dxa"/>
            <w:vAlign w:val="bottom"/>
            <w:tcBorders>
              <w:bottom w:val="single" w:sz="8" w:color="auto"/>
              <w:right w:val="single" w:sz="8" w:color="auto"/>
            </w:tcBorders>
            <w:gridSpan w:val="2"/>
            <w:shd w:val="clear" w:color="auto" w:fill="D9D9D9"/>
          </w:tcPr>
          <w:p>
            <w:pPr>
              <w:jc w:val="right"/>
              <w:ind w:right="120"/>
              <w:spacing w:after="0"/>
              <w:rPr>
                <w:sz w:val="20"/>
                <w:szCs w:val="20"/>
                <w:color w:val="auto"/>
              </w:rPr>
            </w:pPr>
            <w:r>
              <w:rPr>
                <w:rFonts w:ascii="Times New Roman" w:cs="Times New Roman" w:eastAsia="Times New Roman" w:hAnsi="Times New Roman"/>
                <w:sz w:val="18"/>
                <w:szCs w:val="18"/>
                <w:color w:val="auto"/>
              </w:rPr>
              <w:t>670,864</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tcBorders>
            <w:shd w:val="clear" w:color="auto" w:fill="D9D9D9"/>
          </w:tcPr>
          <w:p>
            <w:pPr>
              <w:spacing w:after="0"/>
              <w:rPr>
                <w:sz w:val="19"/>
                <w:szCs w:val="19"/>
                <w:color w:val="auto"/>
              </w:rPr>
            </w:pPr>
          </w:p>
        </w:tc>
        <w:tc>
          <w:tcPr>
            <w:tcW w:w="1120" w:type="dxa"/>
            <w:vAlign w:val="bottom"/>
            <w:tcBorders>
              <w:bottom w:val="single" w:sz="8" w:color="auto"/>
              <w:right w:val="single" w:sz="8" w:color="auto"/>
            </w:tcBorders>
            <w:gridSpan w:val="2"/>
            <w:shd w:val="clear" w:color="auto" w:fill="D9D9D9"/>
          </w:tcPr>
          <w:p>
            <w:pPr>
              <w:jc w:val="right"/>
              <w:ind w:right="140"/>
              <w:spacing w:after="0"/>
              <w:rPr>
                <w:sz w:val="20"/>
                <w:szCs w:val="20"/>
                <w:color w:val="auto"/>
              </w:rPr>
            </w:pPr>
            <w:r>
              <w:rPr>
                <w:rFonts w:ascii="Times New Roman" w:cs="Times New Roman" w:eastAsia="Times New Roman" w:hAnsi="Times New Roman"/>
                <w:sz w:val="18"/>
                <w:szCs w:val="18"/>
                <w:color w:val="auto"/>
              </w:rPr>
              <w:t>15,030</w:t>
            </w:r>
          </w:p>
        </w:tc>
        <w:tc>
          <w:tcPr>
            <w:tcW w:w="1000" w:type="dxa"/>
            <w:vAlign w:val="bottom"/>
            <w:tcBorders>
              <w:bottom w:val="single" w:sz="8" w:color="auto"/>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8,558</w:t>
            </w:r>
          </w:p>
        </w:tc>
        <w:tc>
          <w:tcPr>
            <w:tcW w:w="1340" w:type="dxa"/>
            <w:vAlign w:val="bottom"/>
            <w:tcBorders>
              <w:bottom w:val="single" w:sz="8" w:color="auto"/>
              <w:right w:val="single" w:sz="8" w:color="auto"/>
            </w:tcBorders>
            <w:shd w:val="clear" w:color="auto" w:fill="D9D9D9"/>
          </w:tcPr>
          <w:p>
            <w:pPr>
              <w:jc w:val="right"/>
              <w:ind w:right="20"/>
              <w:spacing w:after="0"/>
              <w:rPr>
                <w:sz w:val="20"/>
                <w:szCs w:val="20"/>
                <w:color w:val="auto"/>
              </w:rPr>
            </w:pPr>
            <w:r>
              <w:rPr>
                <w:rFonts w:ascii="Times New Roman" w:cs="Times New Roman" w:eastAsia="Times New Roman" w:hAnsi="Times New Roman"/>
                <w:sz w:val="18"/>
                <w:szCs w:val="18"/>
                <w:color w:val="auto"/>
              </w:rPr>
              <w:t>670,862</w:t>
            </w:r>
          </w:p>
        </w:tc>
        <w:tc>
          <w:tcPr>
            <w:tcW w:w="12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shd w:val="clear" w:color="auto" w:fill="D9D9D9"/>
          </w:tcPr>
          <w:p>
            <w:pPr>
              <w:jc w:val="right"/>
              <w:ind w:right="51"/>
              <w:spacing w:after="0"/>
              <w:rPr>
                <w:sz w:val="20"/>
                <w:szCs w:val="20"/>
                <w:color w:val="auto"/>
              </w:rPr>
            </w:pPr>
            <w:r>
              <w:rPr>
                <w:rFonts w:ascii="Times New Roman" w:cs="Times New Roman" w:eastAsia="Times New Roman" w:hAnsi="Times New Roman"/>
                <w:sz w:val="18"/>
                <w:szCs w:val="18"/>
                <w:color w:val="auto"/>
              </w:rPr>
              <w:t>17,116</w:t>
            </w:r>
          </w:p>
        </w:tc>
        <w:tc>
          <w:tcPr>
            <w:tcW w:w="0" w:type="dxa"/>
            <w:vAlign w:val="bottom"/>
          </w:tcPr>
          <w:p>
            <w:pPr>
              <w:spacing w:after="0"/>
              <w:rPr>
                <w:sz w:val="1"/>
                <w:szCs w:val="1"/>
                <w:color w:val="auto"/>
              </w:rPr>
            </w:pPr>
          </w:p>
        </w:tc>
      </w:tr>
      <w:tr>
        <w:trPr>
          <w:trHeight w:val="223"/>
        </w:trPr>
        <w:tc>
          <w:tcPr>
            <w:tcW w:w="176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Gerard Gifford</w:t>
            </w:r>
          </w:p>
        </w:tc>
        <w:tc>
          <w:tcPr>
            <w:tcW w:w="4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12,522</w:t>
            </w:r>
          </w:p>
        </w:tc>
        <w:tc>
          <w:tcPr>
            <w:tcW w:w="112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1,117,839</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25,044</w:t>
            </w:r>
          </w:p>
        </w:tc>
        <w:tc>
          <w:tcPr>
            <w:tcW w:w="10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14,259</w:t>
            </w:r>
          </w:p>
        </w:tc>
        <w:tc>
          <w:tcPr>
            <w:tcW w:w="13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1,117,763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28,518</w:t>
            </w:r>
          </w:p>
        </w:tc>
        <w:tc>
          <w:tcPr>
            <w:tcW w:w="0" w:type="dxa"/>
            <w:vAlign w:val="bottom"/>
          </w:tcPr>
          <w:p>
            <w:pPr>
              <w:spacing w:after="0"/>
              <w:rPr>
                <w:sz w:val="1"/>
                <w:szCs w:val="1"/>
                <w:color w:val="auto"/>
              </w:rPr>
            </w:pPr>
          </w:p>
        </w:tc>
      </w:tr>
      <w:tr>
        <w:trPr>
          <w:trHeight w:val="263"/>
        </w:trPr>
        <w:tc>
          <w:tcPr>
            <w:tcW w:w="1760" w:type="dxa"/>
            <w:vAlign w:val="bottom"/>
            <w:tcBorders>
              <w:left w:val="single" w:sz="8" w:color="auto"/>
              <w:bottom w:val="single" w:sz="8" w:color="auto"/>
            </w:tcBorders>
            <w:gridSpan w:val="2"/>
            <w:shd w:val="clear" w:color="auto" w:fill="D9D9D9"/>
          </w:tcPr>
          <w:p>
            <w:pPr>
              <w:ind w:left="120"/>
              <w:spacing w:after="0"/>
              <w:rPr>
                <w:sz w:val="20"/>
                <w:szCs w:val="20"/>
                <w:color w:val="auto"/>
              </w:rPr>
            </w:pPr>
            <w:r>
              <w:rPr>
                <w:rFonts w:ascii="Times New Roman" w:cs="Times New Roman" w:eastAsia="Times New Roman" w:hAnsi="Times New Roman"/>
                <w:sz w:val="18"/>
                <w:szCs w:val="18"/>
                <w:color w:val="auto"/>
              </w:rPr>
              <w:t>Djalma Novaes</w:t>
            </w:r>
            <w:r>
              <w:rPr>
                <w:rFonts w:ascii="Times New Roman" w:cs="Times New Roman" w:eastAsia="Times New Roman" w:hAnsi="Times New Roman"/>
                <w:sz w:val="23"/>
                <w:szCs w:val="23"/>
                <w:color w:val="auto"/>
                <w:vertAlign w:val="superscript"/>
              </w:rPr>
              <w:t>1</w:t>
            </w:r>
          </w:p>
        </w:tc>
        <w:tc>
          <w:tcPr>
            <w:tcW w:w="440" w:type="dxa"/>
            <w:vAlign w:val="bottom"/>
            <w:tcBorders>
              <w:bottom w:val="single" w:sz="8" w:color="auto"/>
              <w:right w:val="single" w:sz="8" w:color="auto"/>
            </w:tcBorders>
            <w:shd w:val="clear" w:color="auto" w:fill="D9D9D9"/>
          </w:tcPr>
          <w:p>
            <w:pPr>
              <w:spacing w:after="0"/>
              <w:rPr>
                <w:sz w:val="22"/>
                <w:szCs w:val="22"/>
                <w:color w:val="auto"/>
              </w:rPr>
            </w:pPr>
          </w:p>
        </w:tc>
        <w:tc>
          <w:tcPr>
            <w:tcW w:w="780" w:type="dxa"/>
            <w:vAlign w:val="bottom"/>
            <w:tcBorders>
              <w:bottom w:val="single" w:sz="8" w:color="auto"/>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6,166</w:t>
            </w:r>
          </w:p>
        </w:tc>
        <w:tc>
          <w:tcPr>
            <w:tcW w:w="1120" w:type="dxa"/>
            <w:vAlign w:val="bottom"/>
            <w:tcBorders>
              <w:bottom w:val="single" w:sz="8" w:color="auto"/>
              <w:right w:val="single" w:sz="8" w:color="auto"/>
            </w:tcBorders>
            <w:gridSpan w:val="2"/>
            <w:shd w:val="clear" w:color="auto" w:fill="D9D9D9"/>
          </w:tcPr>
          <w:p>
            <w:pPr>
              <w:jc w:val="right"/>
              <w:ind w:right="120"/>
              <w:spacing w:after="0"/>
              <w:rPr>
                <w:sz w:val="20"/>
                <w:szCs w:val="20"/>
                <w:color w:val="auto"/>
              </w:rPr>
            </w:pPr>
            <w:r>
              <w:rPr>
                <w:rFonts w:ascii="Times New Roman" w:cs="Times New Roman" w:eastAsia="Times New Roman" w:hAnsi="Times New Roman"/>
                <w:sz w:val="18"/>
                <w:szCs w:val="18"/>
                <w:color w:val="auto"/>
              </w:rPr>
              <w:t>586,738</w:t>
            </w:r>
          </w:p>
        </w:tc>
        <w:tc>
          <w:tcPr>
            <w:tcW w:w="12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tcBorders>
            <w:shd w:val="clear" w:color="auto" w:fill="D9D9D9"/>
          </w:tcPr>
          <w:p>
            <w:pPr>
              <w:spacing w:after="0"/>
              <w:rPr>
                <w:sz w:val="22"/>
                <w:szCs w:val="22"/>
                <w:color w:val="auto"/>
              </w:rPr>
            </w:pPr>
          </w:p>
        </w:tc>
        <w:tc>
          <w:tcPr>
            <w:tcW w:w="1120" w:type="dxa"/>
            <w:vAlign w:val="bottom"/>
            <w:tcBorders>
              <w:bottom w:val="single" w:sz="8" w:color="auto"/>
              <w:right w:val="single" w:sz="8" w:color="auto"/>
            </w:tcBorders>
            <w:gridSpan w:val="2"/>
            <w:shd w:val="clear" w:color="auto" w:fill="D9D9D9"/>
          </w:tcPr>
          <w:p>
            <w:pPr>
              <w:jc w:val="right"/>
              <w:ind w:right="140"/>
              <w:spacing w:after="0"/>
              <w:rPr>
                <w:sz w:val="20"/>
                <w:szCs w:val="20"/>
                <w:color w:val="auto"/>
              </w:rPr>
            </w:pPr>
            <w:r>
              <w:rPr>
                <w:rFonts w:ascii="Times New Roman" w:cs="Times New Roman" w:eastAsia="Times New Roman" w:hAnsi="Times New Roman"/>
                <w:sz w:val="18"/>
                <w:szCs w:val="18"/>
                <w:color w:val="auto"/>
              </w:rPr>
              <w:t>12,332</w:t>
            </w:r>
          </w:p>
        </w:tc>
        <w:tc>
          <w:tcPr>
            <w:tcW w:w="1000" w:type="dxa"/>
            <w:vAlign w:val="bottom"/>
            <w:tcBorders>
              <w:bottom w:val="single" w:sz="8" w:color="auto"/>
              <w:right w:val="single" w:sz="8" w:color="auto"/>
            </w:tcBorders>
            <w:shd w:val="clear" w:color="auto" w:fill="D9D9D9"/>
          </w:tcPr>
          <w:p>
            <w:pPr>
              <w:jc w:val="right"/>
              <w:ind w:right="31"/>
              <w:spacing w:after="0"/>
              <w:rPr>
                <w:sz w:val="20"/>
                <w:szCs w:val="20"/>
                <w:color w:val="auto"/>
              </w:rPr>
            </w:pPr>
            <w:r>
              <w:rPr>
                <w:rFonts w:ascii="Times New Roman" w:cs="Times New Roman" w:eastAsia="Times New Roman" w:hAnsi="Times New Roman"/>
                <w:sz w:val="18"/>
                <w:szCs w:val="18"/>
                <w:color w:val="auto"/>
              </w:rPr>
              <w:t>7,263</w:t>
            </w:r>
          </w:p>
        </w:tc>
        <w:tc>
          <w:tcPr>
            <w:tcW w:w="1340" w:type="dxa"/>
            <w:vAlign w:val="bottom"/>
            <w:tcBorders>
              <w:bottom w:val="single" w:sz="8" w:color="auto"/>
              <w:right w:val="single" w:sz="8" w:color="auto"/>
            </w:tcBorders>
            <w:shd w:val="clear" w:color="auto" w:fill="D9D9D9"/>
          </w:tcPr>
          <w:p>
            <w:pPr>
              <w:jc w:val="right"/>
              <w:ind w:right="20"/>
              <w:spacing w:after="0"/>
              <w:rPr>
                <w:sz w:val="20"/>
                <w:szCs w:val="20"/>
                <w:color w:val="auto"/>
              </w:rPr>
            </w:pPr>
            <w:r>
              <w:rPr>
                <w:rFonts w:ascii="Times New Roman" w:cs="Times New Roman" w:eastAsia="Times New Roman" w:hAnsi="Times New Roman"/>
                <w:sz w:val="18"/>
                <w:szCs w:val="18"/>
                <w:color w:val="auto"/>
              </w:rPr>
              <w:t>586,659</w:t>
            </w:r>
          </w:p>
        </w:tc>
        <w:tc>
          <w:tcPr>
            <w:tcW w:w="122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shd w:val="clear" w:color="auto" w:fill="D9D9D9"/>
          </w:tcPr>
          <w:p>
            <w:pPr>
              <w:jc w:val="right"/>
              <w:ind w:right="51"/>
              <w:spacing w:after="0"/>
              <w:rPr>
                <w:sz w:val="20"/>
                <w:szCs w:val="20"/>
                <w:color w:val="auto"/>
              </w:rPr>
            </w:pPr>
            <w:r>
              <w:rPr>
                <w:rFonts w:ascii="Times New Roman" w:cs="Times New Roman" w:eastAsia="Times New Roman" w:hAnsi="Times New Roman"/>
                <w:sz w:val="18"/>
                <w:szCs w:val="18"/>
                <w:color w:val="auto"/>
              </w:rPr>
              <w:t>14,526</w:t>
            </w:r>
          </w:p>
        </w:tc>
        <w:tc>
          <w:tcPr>
            <w:tcW w:w="0" w:type="dxa"/>
            <w:vAlign w:val="bottom"/>
          </w:tcPr>
          <w:p>
            <w:pPr>
              <w:spacing w:after="0"/>
              <w:rPr>
                <w:sz w:val="1"/>
                <w:szCs w:val="1"/>
                <w:color w:val="auto"/>
              </w:rPr>
            </w:pPr>
          </w:p>
        </w:tc>
      </w:tr>
      <w:tr>
        <w:trPr>
          <w:trHeight w:val="223"/>
        </w:trPr>
        <w:tc>
          <w:tcPr>
            <w:tcW w:w="1760" w:type="dxa"/>
            <w:vAlign w:val="bottom"/>
            <w:tcBorders>
              <w:left w:val="single" w:sz="8" w:color="auto"/>
              <w:bottom w:val="single" w:sz="8" w:color="auto"/>
            </w:tcBorders>
            <w:gridSpan w:val="2"/>
          </w:tcPr>
          <w:p>
            <w:pPr>
              <w:ind w:left="120"/>
              <w:spacing w:after="0"/>
              <w:rPr>
                <w:sz w:val="20"/>
                <w:szCs w:val="20"/>
                <w:color w:val="auto"/>
              </w:rPr>
            </w:pPr>
            <w:r>
              <w:rPr>
                <w:rFonts w:ascii="Times New Roman" w:cs="Times New Roman" w:eastAsia="Times New Roman" w:hAnsi="Times New Roman"/>
                <w:sz w:val="18"/>
                <w:szCs w:val="18"/>
                <w:color w:val="auto"/>
              </w:rPr>
              <w:t>Adam Dickstein</w:t>
            </w:r>
          </w:p>
        </w:tc>
        <w:tc>
          <w:tcPr>
            <w:tcW w:w="440" w:type="dxa"/>
            <w:vAlign w:val="bottom"/>
            <w:tcBorders>
              <w:bottom w:val="single" w:sz="8" w:color="auto"/>
              <w:right w:val="single" w:sz="8" w:color="auto"/>
            </w:tcBorders>
          </w:tcPr>
          <w:p>
            <w:pPr>
              <w:spacing w:after="0"/>
              <w:rPr>
                <w:sz w:val="19"/>
                <w:szCs w:val="19"/>
                <w:color w:val="auto"/>
              </w:rPr>
            </w:pPr>
          </w:p>
        </w:tc>
        <w:tc>
          <w:tcPr>
            <w:tcW w:w="78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4,663</w:t>
            </w:r>
          </w:p>
        </w:tc>
        <w:tc>
          <w:tcPr>
            <w:tcW w:w="1120" w:type="dxa"/>
            <w:vAlign w:val="bottom"/>
            <w:tcBorders>
              <w:bottom w:val="single" w:sz="8" w:color="auto"/>
              <w:right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416,266</w:t>
            </w:r>
          </w:p>
        </w:tc>
        <w:tc>
          <w:tcPr>
            <w:tcW w:w="12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9,326</w:t>
            </w:r>
          </w:p>
        </w:tc>
        <w:tc>
          <w:tcPr>
            <w:tcW w:w="1000" w:type="dxa"/>
            <w:vAlign w:val="bottom"/>
            <w:tcBorders>
              <w:bottom w:val="single" w:sz="8" w:color="auto"/>
              <w:right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5,310</w:t>
            </w:r>
          </w:p>
        </w:tc>
        <w:tc>
          <w:tcPr>
            <w:tcW w:w="1340" w:type="dxa"/>
            <w:vAlign w:val="bottom"/>
            <w:tcBorders>
              <w:bottom w:val="single" w:sz="8" w:color="auto"/>
              <w:right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416,251</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88"/>
              </w:rPr>
              <w:t>0</w:t>
            </w:r>
          </w:p>
        </w:tc>
        <w:tc>
          <w:tcPr>
            <w:tcW w:w="1120" w:type="dxa"/>
            <w:vAlign w:val="bottom"/>
            <w:tcBorders>
              <w:bottom w:val="single" w:sz="8" w:color="auto"/>
              <w:right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10,620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830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43" w:lineRule="exact"/>
        <w:rPr>
          <w:sz w:val="20"/>
          <w:szCs w:val="20"/>
          <w:color w:val="auto"/>
        </w:rPr>
      </w:pPr>
    </w:p>
    <w:p>
      <w:pPr>
        <w:ind w:left="120" w:hanging="112"/>
        <w:spacing w:after="0"/>
        <w:tabs>
          <w:tab w:leader="none" w:pos="120" w:val="left"/>
        </w:tabs>
        <w:numPr>
          <w:ilvl w:val="0"/>
          <w:numId w:val="4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See valuation note above.</w:t>
      </w:r>
    </w:p>
    <w:p>
      <w:pPr>
        <w:spacing w:after="0" w:line="29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47</w:t>
      </w:r>
    </w:p>
    <w:p>
      <w:pPr>
        <w:sectPr>
          <w:pgSz w:w="11900" w:h="16838" w:orient="portrait"/>
          <w:cols w:equalWidth="0" w:num="1">
            <w:col w:w="11240"/>
          </w:cols>
          <w:pgMar w:left="320" w:top="567" w:right="339" w:bottom="1440" w:gutter="0" w:footer="0" w:header="0"/>
        </w:sectPr>
      </w:pPr>
    </w:p>
    <w:bookmarkStart w:id="50" w:name="page51"/>
    <w:bookmarkEnd w:id="50"/>
    <w:p>
      <w:pPr>
        <w:ind w:firstLine="324"/>
        <w:spacing w:after="0" w:line="262" w:lineRule="auto"/>
        <w:rPr>
          <w:sz w:val="20"/>
          <w:szCs w:val="20"/>
          <w:color w:val="auto"/>
        </w:rPr>
      </w:pPr>
      <w:r>
        <w:rPr>
          <w:rFonts w:ascii="Times New Roman" w:cs="Times New Roman" w:eastAsia="Times New Roman" w:hAnsi="Times New Roman"/>
          <w:sz w:val="22"/>
          <w:szCs w:val="22"/>
          <w:i w:val="1"/>
          <w:iCs w:val="1"/>
          <w:color w:val="auto"/>
        </w:rPr>
        <w:t xml:space="preserve">Pay-for-Performance Alignment – Performance-Based Compensation. </w:t>
      </w:r>
      <w:r>
        <w:rPr>
          <w:rFonts w:ascii="Times New Roman" w:cs="Times New Roman" w:eastAsia="Times New Roman" w:hAnsi="Times New Roman"/>
          <w:sz w:val="22"/>
          <w:szCs w:val="22"/>
          <w:color w:val="auto"/>
        </w:rPr>
        <w:t>The Committee notes the following outcomes for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performance-based components of its compensation program for the Company’s NEOs:</w:t>
      </w:r>
    </w:p>
    <w:p>
      <w:pPr>
        <w:spacing w:after="0" w:line="8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Performance-Based Share Vestings</w:t>
      </w:r>
    </w:p>
    <w:p>
      <w:pPr>
        <w:spacing w:after="0" w:line="102" w:lineRule="exact"/>
        <w:rPr>
          <w:sz w:val="20"/>
          <w:szCs w:val="20"/>
          <w:color w:val="auto"/>
        </w:rPr>
      </w:pPr>
    </w:p>
    <w:p>
      <w:pPr>
        <w:jc w:val="both"/>
        <w:ind w:left="660" w:hanging="328"/>
        <w:spacing w:after="0" w:line="237" w:lineRule="auto"/>
        <w:tabs>
          <w:tab w:leader="none" w:pos="660" w:val="left"/>
        </w:tabs>
        <w:numPr>
          <w:ilvl w:val="0"/>
          <w:numId w:val="4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Based on the Company’s performance for the measurement period related to the vesting of performance-based shares in 2026, the Company’s NEOs, including the CEO, received TSR-based awards that were 99% above target and received ROIC-based awards that were 20% above target.</w:t>
      </w:r>
    </w:p>
    <w:p>
      <w:pPr>
        <w:spacing w:after="0" w:line="42"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4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In 2025, the NEOs forfeited 100% of the TSR-based awards and 30% of the ROIC-based awards made in 2022.</w:t>
      </w:r>
    </w:p>
    <w:p>
      <w:pPr>
        <w:spacing w:after="0" w:line="77" w:lineRule="exact"/>
        <w:rPr>
          <w:rFonts w:ascii="Courier New" w:cs="Courier New" w:eastAsia="Courier New" w:hAnsi="Courier New"/>
          <w:sz w:val="22"/>
          <w:szCs w:val="22"/>
          <w:color w:val="auto"/>
        </w:rPr>
      </w:pPr>
    </w:p>
    <w:p>
      <w:pPr>
        <w:jc w:val="both"/>
        <w:ind w:left="660" w:hanging="328"/>
        <w:spacing w:after="0" w:line="233" w:lineRule="auto"/>
        <w:tabs>
          <w:tab w:leader="none" w:pos="660" w:val="left"/>
        </w:tabs>
        <w:numPr>
          <w:ilvl w:val="0"/>
          <w:numId w:val="49"/>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Over the last ten years, aggregate performance share vestings have ranged from 0% of target to 165% of target in accordance with the outcome of the relevant objective metrics, with the average annual aggregate payout over the period at 107%.</w:t>
      </w:r>
    </w:p>
    <w:p>
      <w:pPr>
        <w:spacing w:after="0" w:line="1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i w:val="1"/>
          <w:iCs w:val="1"/>
          <w:color w:val="auto"/>
        </w:rPr>
        <w:t>Annual Incentive Bonus</w:t>
      </w:r>
    </w:p>
    <w:p>
      <w:pPr>
        <w:spacing w:after="0" w:line="111" w:lineRule="exact"/>
        <w:rPr>
          <w:sz w:val="20"/>
          <w:szCs w:val="20"/>
          <w:color w:val="auto"/>
        </w:rPr>
      </w:pPr>
    </w:p>
    <w:p>
      <w:pPr>
        <w:ind w:left="340" w:right="20"/>
        <w:spacing w:after="0" w:line="208" w:lineRule="auto"/>
        <w:rPr>
          <w:sz w:val="20"/>
          <w:szCs w:val="20"/>
          <w:color w:val="auto"/>
        </w:rPr>
      </w:pPr>
      <w:r>
        <w:rPr>
          <w:rFonts w:ascii="Times New Roman" w:cs="Times New Roman" w:eastAsia="Times New Roman" w:hAnsi="Times New Roman"/>
          <w:sz w:val="22"/>
          <w:szCs w:val="22"/>
          <w:color w:val="auto"/>
        </w:rPr>
        <w:t>Reflective of the Company’s record performance in respect of reportable Segment Income</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and cash flow generation over the last few years:</w:t>
      </w:r>
    </w:p>
    <w:p>
      <w:pPr>
        <w:spacing w:after="0" w:line="71" w:lineRule="exact"/>
        <w:rPr>
          <w:sz w:val="20"/>
          <w:szCs w:val="20"/>
          <w:color w:val="auto"/>
        </w:rPr>
      </w:pPr>
    </w:p>
    <w:p>
      <w:pPr>
        <w:ind w:left="660" w:hanging="328"/>
        <w:spacing w:after="0"/>
        <w:tabs>
          <w:tab w:leader="none" w:pos="660" w:val="left"/>
        </w:tabs>
        <w:numPr>
          <w:ilvl w:val="0"/>
          <w:numId w:val="50"/>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For 2025, based on the Company’s over-performance on the MOCF and economic profit components of the annual incentive bonus, corporate-level NEOs (including the CEO) received bonuses that were 100% above target.</w:t>
      </w:r>
    </w:p>
    <w:p>
      <w:pPr>
        <w:spacing w:after="0" w:line="42" w:lineRule="exact"/>
        <w:rPr>
          <w:rFonts w:ascii="Courier New" w:cs="Courier New" w:eastAsia="Courier New" w:hAnsi="Courier New"/>
          <w:sz w:val="22"/>
          <w:szCs w:val="22"/>
          <w:color w:val="auto"/>
        </w:rPr>
      </w:pPr>
    </w:p>
    <w:p>
      <w:pPr>
        <w:ind w:left="660" w:hanging="328"/>
        <w:spacing w:after="0"/>
        <w:tabs>
          <w:tab w:leader="none" w:pos="660" w:val="left"/>
        </w:tabs>
        <w:numPr>
          <w:ilvl w:val="0"/>
          <w:numId w:val="50"/>
        </w:numPr>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Company’s corporate-level NEOs received annual incentive bonuses for 2024 that were 100% above target and for 2023 that were 52.5% above target.</w:t>
      </w:r>
    </w:p>
    <w:p>
      <w:pPr>
        <w:spacing w:after="0" w:line="204" w:lineRule="exact"/>
        <w:rPr>
          <w:rFonts w:ascii="Courier New" w:cs="Courier New" w:eastAsia="Courier New" w:hAnsi="Courier New"/>
          <w:sz w:val="22"/>
          <w:szCs w:val="22"/>
          <w:color w:val="auto"/>
        </w:rPr>
      </w:pPr>
    </w:p>
    <w:p>
      <w:pPr>
        <w:ind w:left="660"/>
        <w:spacing w:after="0"/>
        <w:rPr>
          <w:rFonts w:ascii="Courier New" w:cs="Courier New" w:eastAsia="Courier New" w:hAnsi="Courier New"/>
          <w:sz w:val="22"/>
          <w:szCs w:val="22"/>
          <w:color w:val="auto"/>
        </w:rPr>
      </w:pPr>
      <w:r>
        <w:rPr>
          <w:rFonts w:ascii="Times New Roman" w:cs="Times New Roman" w:eastAsia="Times New Roman" w:hAnsi="Times New Roman"/>
          <w:sz w:val="22"/>
          <w:szCs w:val="22"/>
          <w:color w:val="auto"/>
        </w:rPr>
        <w:t>The Company views these outcomes as demonstrative of the Company’s “pay-for-performance” philosophy.</w:t>
      </w:r>
    </w:p>
    <w:p>
      <w:pPr>
        <w:spacing w:after="0" w:line="229" w:lineRule="exact"/>
        <w:rPr>
          <w:sz w:val="20"/>
          <w:szCs w:val="20"/>
          <w:color w:val="auto"/>
        </w:rPr>
      </w:pPr>
    </w:p>
    <w:p>
      <w:pPr>
        <w:jc w:val="both"/>
        <w:ind w:firstLine="648"/>
        <w:spacing w:after="0" w:line="233" w:lineRule="auto"/>
        <w:rPr>
          <w:sz w:val="20"/>
          <w:szCs w:val="20"/>
          <w:color w:val="auto"/>
        </w:rPr>
      </w:pPr>
      <w:r>
        <w:rPr>
          <w:rFonts w:ascii="Times New Roman" w:cs="Times New Roman" w:eastAsia="Times New Roman" w:hAnsi="Times New Roman"/>
          <w:sz w:val="22"/>
          <w:szCs w:val="22"/>
          <w:i w:val="1"/>
          <w:iCs w:val="1"/>
          <w:color w:val="auto"/>
        </w:rPr>
        <w:t>Clawback Policies</w:t>
      </w:r>
      <w:r>
        <w:rPr>
          <w:rFonts w:ascii="Times New Roman" w:cs="Times New Roman" w:eastAsia="Times New Roman" w:hAnsi="Times New Roman"/>
          <w:sz w:val="22"/>
          <w:szCs w:val="22"/>
          <w:color w:val="auto"/>
        </w:rPr>
        <w:t>. The Company maintains a clawback policy (the “Clawback Policy”) applicable to performance-based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equity awards. Under the Clawback Policy, if the Company is required to restate its financial statements resulting in the Company’s financial results being reduced such that the vesting of an equity award (or any portion thereof) would not have occurred or would have been smaller, the Committee may reduce such equity award and recoup from the recipient shares or cash if the Committee determines, in its sole discretion, that the recipient engaged in intentional misconduct or fraud that resulted in the financial restatement. The Company maintains a similar policy with respect to its annual non-equity incentive bonus plan. In 2022, the SEC adopted a final rule requiring national securities exchanges to establish listing standards that require public companies to develop, enforce and disclose a compensation recovery policy. In compliance with the updated New York Stock Exchange listing standards, the Company adopted a new compensation recovery policy, effective as of October 2, 2023, for incentive-based compensation paid or awarded on or after that date (the “Compensation Recovery Policy”), which applies in addition to any other rights of recovery under any similar policy, including the Clawback Policy. Under the Compensation Recovery Policy, the Company will promptly recover from certain current or former executive officers, including the NEOs, the amount of any erroneously awarded cash- or equity-based compensation paid on the basis of the achievement of financial performance measures in the event of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219710</wp:posOffset>
            </wp:positionV>
            <wp:extent cx="17830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ind w:left="340" w:right="160" w:hanging="332"/>
        <w:spacing w:after="0" w:line="192" w:lineRule="auto"/>
        <w:tabs>
          <w:tab w:leader="none" w:pos="137" w:val="left"/>
        </w:tabs>
        <w:numPr>
          <w:ilvl w:val="0"/>
          <w:numId w:val="51"/>
        </w:numPr>
        <w:rPr>
          <w:rFonts w:ascii="Times New Roman" w:cs="Times New Roman" w:eastAsia="Times New Roman" w:hAnsi="Times New Roman"/>
          <w:sz w:val="33"/>
          <w:szCs w:val="33"/>
          <w:color w:val="auto"/>
          <w:vertAlign w:val="superscript"/>
        </w:rPr>
      </w:pPr>
      <w:r>
        <w:rPr>
          <w:rFonts w:ascii="Times New Roman" w:cs="Times New Roman" w:eastAsia="Times New Roman" w:hAnsi="Times New Roman"/>
          <w:sz w:val="20"/>
          <w:szCs w:val="20"/>
          <w:color w:val="auto"/>
        </w:rPr>
        <w:t>A reconciliation of reportable Segment Income to Income before Income Taxes can be found on page 86 of the Company’s Annual Report on Form 10-K for the fiscal year ended December 31, 2025.</w:t>
      </w:r>
    </w:p>
    <w:p>
      <w:pPr>
        <w:spacing w:after="0" w:line="200" w:lineRule="exact"/>
        <w:rPr>
          <w:sz w:val="20"/>
          <w:szCs w:val="20"/>
          <w:color w:val="auto"/>
        </w:rPr>
      </w:pPr>
    </w:p>
    <w:p>
      <w:pPr>
        <w:spacing w:after="0" w:line="22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48</w:t>
      </w:r>
    </w:p>
    <w:p>
      <w:pPr>
        <w:sectPr>
          <w:pgSz w:w="11900" w:h="16838" w:orient="portrait"/>
          <w:cols w:equalWidth="0" w:num="1">
            <w:col w:w="11240"/>
          </w:cols>
          <w:pgMar w:left="320" w:top="567" w:right="339" w:bottom="1440" w:gutter="0" w:footer="0" w:header="0"/>
        </w:sectPr>
      </w:pPr>
    </w:p>
    <w:bookmarkStart w:id="51" w:name="page52"/>
    <w:bookmarkEnd w:id="51"/>
    <w:p>
      <w:pPr>
        <w:jc w:val="both"/>
        <w:spacing w:after="0" w:line="244" w:lineRule="auto"/>
        <w:rPr>
          <w:sz w:val="20"/>
          <w:szCs w:val="20"/>
          <w:color w:val="auto"/>
        </w:rPr>
      </w:pPr>
      <w:r>
        <w:rPr>
          <w:rFonts w:ascii="Times New Roman" w:cs="Times New Roman" w:eastAsia="Times New Roman" w:hAnsi="Times New Roman"/>
          <w:sz w:val="22"/>
          <w:szCs w:val="22"/>
          <w:color w:val="auto"/>
        </w:rPr>
        <w:t>accounting restatement, without regard to whether the NEO engaged in intentional misconduct or fraud. A copy of the Compensation Recovery Policy is included as Exhibit 97 of the Company’s Annual Report on Form 10-K filed on February 27, 2026.</w:t>
      </w:r>
    </w:p>
    <w:p>
      <w:pPr>
        <w:spacing w:after="0" w:line="19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 xml:space="preserve">Retirement Benefits. </w:t>
      </w:r>
      <w:r>
        <w:rPr>
          <w:rFonts w:ascii="Times New Roman" w:cs="Times New Roman" w:eastAsia="Times New Roman" w:hAnsi="Times New Roman"/>
          <w:sz w:val="22"/>
          <w:szCs w:val="22"/>
          <w:color w:val="auto"/>
        </w:rPr>
        <w:t>To attract and retain highly qualified senior executives and as an incentive for long-term</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employment, the Company maintains a number of retirement plans.</w:t>
      </w:r>
    </w:p>
    <w:p>
      <w:pPr>
        <w:spacing w:after="0" w:line="177"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i w:val="1"/>
          <w:iCs w:val="1"/>
          <w:color w:val="auto"/>
        </w:rPr>
        <w:t>U.S. Pension Plan</w:t>
      </w:r>
      <w:r>
        <w:rPr>
          <w:rFonts w:ascii="Times New Roman" w:cs="Times New Roman" w:eastAsia="Times New Roman" w:hAnsi="Times New Roman"/>
          <w:sz w:val="22"/>
          <w:szCs w:val="22"/>
          <w:color w:val="auto"/>
        </w:rPr>
        <w:t>. In the United States, the Company maintains a defined benefit pension plan (the “U.S. Pension Plan”)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certain eligible employees in which the NEOs participate. The U.S. Pension Plan is designed and administered to qualify under Section 401(a) of the Internal Revenue Code of 1986, as amended (the “Code”). The U.S. Pension Plan was closed to employees hired after December 31, 2018. The U.S. Pension Plan provides normal retirement benefits at age 65 based on the average of the five highest consecutive years of earnings in the last ten years prior to employment termination. For purposes of the U.S. Pension Plan, earnings consist of salary excluding any bonus. These average earnings are multiplied by 1.25% and by years of service, which yields the annual Company-funded pension benefit. Under U.S. federal law for 2025, benefits from the U.S. Pension Plan are limited to $280,000 per year and may be based only on the first $350,000 of an employee’s annual earnings.</w:t>
      </w:r>
    </w:p>
    <w:p>
      <w:pPr>
        <w:spacing w:after="0" w:line="13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1"/>
          <w:szCs w:val="21"/>
          <w:i w:val="1"/>
          <w:iCs w:val="1"/>
          <w:color w:val="auto"/>
        </w:rPr>
        <w:t>Senior Executive Retirement Plan</w:t>
      </w:r>
      <w:r>
        <w:rPr>
          <w:rFonts w:ascii="Times New Roman" w:cs="Times New Roman" w:eastAsia="Times New Roman" w:hAnsi="Times New Roman"/>
          <w:sz w:val="21"/>
          <w:szCs w:val="21"/>
          <w:color w:val="auto"/>
        </w:rPr>
        <w:t>. Because of the benefit limits under the U.S. Pension Plan described above,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Company provides additional retirement benefits to Messrs. Donahue, Gifford and Novaes under the Senior Executive Retirement Plan (“SERP”). The annual benefit for executives eligible to participate in the SERP is based upon a formula equal to</w:t>
      </w:r>
    </w:p>
    <w:p>
      <w:pPr>
        <w:spacing w:after="0" w:line="2" w:lineRule="exact"/>
        <w:rPr>
          <w:sz w:val="20"/>
          <w:szCs w:val="20"/>
          <w:color w:val="auto"/>
        </w:rPr>
      </w:pPr>
    </w:p>
    <w:p>
      <w:pPr>
        <w:jc w:val="both"/>
        <w:ind w:firstLine="8"/>
        <w:spacing w:after="0" w:line="241" w:lineRule="auto"/>
        <w:tabs>
          <w:tab w:leader="none" w:pos="281" w:val="left"/>
        </w:tabs>
        <w:numPr>
          <w:ilvl w:val="0"/>
          <w:numId w:val="5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2.0% of the average of the five highest consecutive years of earnings (consisting of salary and bonus, but excluding stock compensation, and determined without regard to the limits imposed on tax-qualified plans) during the last 10 years of employment times years of service up to twenty years plus (ii) 1.45% of such average earnings for the next fifteen years of service plus (iii) at the discretion of the Committee, 1% of such average earnings for years of service beyond thirty-five years less</w:t>
      </w:r>
    </w:p>
    <w:p>
      <w:pPr>
        <w:spacing w:after="0" w:line="2" w:lineRule="exact"/>
        <w:rPr>
          <w:rFonts w:ascii="Times New Roman" w:cs="Times New Roman" w:eastAsia="Times New Roman" w:hAnsi="Times New Roman"/>
          <w:sz w:val="21"/>
          <w:szCs w:val="21"/>
          <w:color w:val="auto"/>
        </w:rPr>
      </w:pPr>
    </w:p>
    <w:p>
      <w:pPr>
        <w:jc w:val="both"/>
        <w:ind w:firstLine="8"/>
        <w:spacing w:after="0" w:line="234" w:lineRule="auto"/>
        <w:tabs>
          <w:tab w:leader="none" w:pos="402"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Social Security old-age benefits attributable to employment with the Company and the Company-funded portion of the executive’s pension plan benefits. In the case of Mr. Gifford, the SERP is also reduced by his benefit under the Company’s Restoration Plan (described below). The ultimate amount to be paid to each NEO under the SERP is subject to interest rate sensitivity. See footnote 5 on page 59 for more information.</w:t>
      </w:r>
    </w:p>
    <w:p>
      <w:pPr>
        <w:spacing w:after="0" w:line="15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All benefits earned under the SERP are paid in a lump sum. If an NEO with a vested retirement benefit under the SERP dies prior to termination of employment, the NEO’s surviving spouse (but not other named beneficiaries) will be entitled to a 50% survivor benefit. The SERP also provides a lump-sum death benefit of five times the imputed annual retirement benefit payable to the NEO’s named beneficiaries.</w:t>
      </w:r>
    </w:p>
    <w:p>
      <w:pPr>
        <w:spacing w:after="0" w:line="140"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SERP participants vest in their benefits at the earliest of five years of participation, specified retirement dates, total disability or upon a “change in control” of the Company. Messrs. Donahue, Gifford and Novaes are vested.</w:t>
      </w:r>
    </w:p>
    <w:p>
      <w:pPr>
        <w:spacing w:after="0" w:line="11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i w:val="1"/>
          <w:iCs w:val="1"/>
          <w:color w:val="auto"/>
        </w:rPr>
        <w:t>Restoration Plan</w:t>
      </w:r>
      <w:r>
        <w:rPr>
          <w:rFonts w:ascii="Times New Roman" w:cs="Times New Roman" w:eastAsia="Times New Roman" w:hAnsi="Times New Roman"/>
          <w:sz w:val="22"/>
          <w:szCs w:val="22"/>
          <w:color w:val="auto"/>
        </w:rPr>
        <w:t>. Messrs. Gifford (prior to his participating in the SERP), Clothier and Dickstein are participants in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Company’s Restoration Plan. Participants in the Restoration Plan receive supplemental retirement benefits equal to the difference between (i) the benefits that they would have accrued under the U.S. Pension Plan if their target bonus amounts were included in compensation for purposes of calculating their benefits under that plan and if certain statutory benefit limits did not apply and (ii) the benefits that they actually accrue under the U.S. Pension Plan, if any. As described above, the benefits to which Mr. Gifford is entitled under the SERP will be offset by the benefits to which he is entitled under the Restoration Plan. Messrs. Gifford, Clothier and Dickstein are vested in their Restoration Plan benefits.</w:t>
      </w:r>
    </w:p>
    <w:p>
      <w:pPr>
        <w:spacing w:after="0" w:line="15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49</w:t>
      </w:r>
    </w:p>
    <w:p>
      <w:pPr>
        <w:sectPr>
          <w:pgSz w:w="11900" w:h="16838" w:orient="portrait"/>
          <w:cols w:equalWidth="0" w:num="1">
            <w:col w:w="11240"/>
          </w:cols>
          <w:pgMar w:left="320" w:top="571" w:right="339" w:bottom="1440" w:gutter="0" w:footer="0" w:header="0"/>
        </w:sectPr>
      </w:pPr>
    </w:p>
    <w:bookmarkStart w:id="52" w:name="page53"/>
    <w:bookmarkEnd w:id="52"/>
    <w:p>
      <w:pPr>
        <w:jc w:val="both"/>
        <w:ind w:firstLine="648"/>
        <w:spacing w:after="0" w:line="241" w:lineRule="auto"/>
        <w:rPr>
          <w:sz w:val="20"/>
          <w:szCs w:val="20"/>
          <w:color w:val="auto"/>
        </w:rPr>
      </w:pPr>
      <w:r>
        <w:rPr>
          <w:rFonts w:ascii="Times New Roman" w:cs="Times New Roman" w:eastAsia="Times New Roman" w:hAnsi="Times New Roman"/>
          <w:sz w:val="22"/>
          <w:szCs w:val="22"/>
          <w:i w:val="1"/>
          <w:iCs w:val="1"/>
          <w:color w:val="auto"/>
        </w:rPr>
        <w:t>U.S. Defined Contribution Plan</w:t>
      </w:r>
      <w:r>
        <w:rPr>
          <w:rFonts w:ascii="Times New Roman" w:cs="Times New Roman" w:eastAsia="Times New Roman" w:hAnsi="Times New Roman"/>
          <w:sz w:val="22"/>
          <w:szCs w:val="22"/>
          <w:color w:val="auto"/>
        </w:rPr>
        <w:t>. The Company also maintains a tax-qualified 401(k) Retirement Savings Plan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“401(k) Plan”) to which all U.S. salaried employees, including all NEOs, are able to contribute a portion of their salaries on a pre-tax basis. Subject to certain Code limits, for employees hired prior to January 1, 2019, including all the NEOs, the Company will match 50% of the first 3% of salary that is contributed to the 401(k) Plan.</w:t>
      </w:r>
    </w:p>
    <w:p>
      <w:pPr>
        <w:spacing w:after="0" w:line="172"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22"/>
          <w:szCs w:val="22"/>
          <w:b w:val="1"/>
          <w:bCs w:val="1"/>
          <w:color w:val="auto"/>
        </w:rPr>
        <w:t xml:space="preserve">Perquisites. </w:t>
      </w:r>
      <w:r>
        <w:rPr>
          <w:rFonts w:ascii="Times New Roman" w:cs="Times New Roman" w:eastAsia="Times New Roman" w:hAnsi="Times New Roman"/>
          <w:sz w:val="22"/>
          <w:szCs w:val="22"/>
          <w:color w:val="auto"/>
        </w:rPr>
        <w:t>The Company provides the NEOs with a limited number of perquisites and other personal benefits that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Committee believes are reasonable and consistent with its overall compensation program to better enable the Company to attract and retain key executives. An item is a perquisite if it confers a direct or indirect benefit that has a personal aspect, without regard to whether it may be provided for some business reason or for the convenience of the Company, unless it is generally available on a non-discriminatory basis to all employees. An item is not a perquisite if it is integrally and directly related to the performance of the executive’s duties.</w:t>
      </w:r>
    </w:p>
    <w:p>
      <w:pPr>
        <w:spacing w:after="0" w:line="175"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Severance. </w:t>
      </w:r>
      <w:r>
        <w:rPr>
          <w:rFonts w:ascii="Times New Roman" w:cs="Times New Roman" w:eastAsia="Times New Roman" w:hAnsi="Times New Roman"/>
          <w:sz w:val="22"/>
          <w:szCs w:val="22"/>
          <w:color w:val="auto"/>
        </w:rPr>
        <w:t>The Company has employment agreements with all of the NEOs. In addition to the compensation components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listed above, these contracts provide for post-employment severance payments and benefits in the event of employment termination under certain circumstances. For more information regarding potential severance payments and benefits with respect to the NEOs, see “Employment Agreements and Potential Payments upon Termination” in the Executive Compensation section below. The Committee believes that these contracts provide an incentive to the NEOs to remain with the Company and serve to align the interests of the NEOs and Shareholders, including in the event of a potential acquisition of the Company. In 2023, the Company adopted an executive officer cash severance policy under which the Company will not enter into any future employment agreement, severance agreement or separation agreement, or establish any new severance plan or policy covering any NEO, that provides for cash severance benefits exceeding 2.99 times the sum of the NEO’s base salary plus target bonus, without seeking Shareholder ratification of such agreement, plan or policy.</w:t>
      </w:r>
    </w:p>
    <w:p>
      <w:pPr>
        <w:spacing w:after="0" w:line="17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b w:val="1"/>
          <w:bCs w:val="1"/>
          <w:color w:val="auto"/>
        </w:rPr>
        <w:t xml:space="preserve">Tax Deductibility of Executive Compensation. </w:t>
      </w:r>
      <w:r>
        <w:rPr>
          <w:rFonts w:ascii="Times New Roman" w:cs="Times New Roman" w:eastAsia="Times New Roman" w:hAnsi="Times New Roman"/>
          <w:sz w:val="22"/>
          <w:szCs w:val="22"/>
          <w:color w:val="auto"/>
        </w:rPr>
        <w:t>Pursuant to Section 162(m) of the Code, compensation paid or accrued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the Company for U.S. federal income tax purposes in excess of $1 million with respect to each of our NEOs is not tax deductible. The Company’s compensation of any individual who is a “covered employee” (as defined in Section 162(m) of the Code) will remain subject to the annual $1 million tax deductibility limit regardless of loss of status as an NEO or termination of employment. The Committee believes that shareholder interests are best served by not restricting the Committee’s discretion and flexibility in structuring compensation programs, even if such compensation results in non-deductible expenses under applicable law.</w:t>
      </w:r>
    </w:p>
    <w:p>
      <w:pPr>
        <w:spacing w:after="0" w:line="7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50</w:t>
      </w:r>
    </w:p>
    <w:p>
      <w:pPr>
        <w:sectPr>
          <w:pgSz w:w="11900" w:h="16838" w:orient="portrait"/>
          <w:cols w:equalWidth="0" w:num="1">
            <w:col w:w="11240"/>
          </w:cols>
          <w:pgMar w:left="320" w:top="56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32"/>
          <w:szCs w:val="32"/>
          <w:b w:val="1"/>
          <w:bCs w:val="1"/>
          <w:color w:val="29650B"/>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As required by Item 402(b) of Regulation S-K, the Compensation Committee has reviewed and discussed the foregoing Compensation Discussion and Analysis with the Company’s management. Based on such review and discussions, the Compensation Committee recommended to the Board of Directors that the Compensation Discussion and Analysis be included in this Proxy Statement.</w:t>
      </w:r>
    </w:p>
    <w:p>
      <w:pPr>
        <w:spacing w:after="0" w:line="20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report is respectfully submitted on February 25, 2026 by the members of the Compensation Committee.</w:t>
      </w:r>
    </w:p>
    <w:p>
      <w:pPr>
        <w:spacing w:after="0" w:line="22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 xml:space="preserve">Marsha Williams, </w:t>
      </w:r>
      <w:r>
        <w:rPr>
          <w:rFonts w:ascii="Times New Roman" w:cs="Times New Roman" w:eastAsia="Times New Roman" w:hAnsi="Times New Roman"/>
          <w:sz w:val="22"/>
          <w:szCs w:val="22"/>
          <w:i w:val="1"/>
          <w:iCs w:val="1"/>
          <w:color w:val="auto"/>
        </w:rPr>
        <w:t>Chair</w:t>
      </w:r>
    </w:p>
    <w:p>
      <w:pPr>
        <w:spacing w:after="0" w:line="8"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Andrea Funk</w:t>
      </w:r>
    </w:p>
    <w:p>
      <w:pPr>
        <w:ind w:left="5200"/>
        <w:spacing w:after="0" w:line="230" w:lineRule="auto"/>
        <w:rPr>
          <w:sz w:val="20"/>
          <w:szCs w:val="20"/>
          <w:color w:val="auto"/>
        </w:rPr>
      </w:pPr>
      <w:r>
        <w:rPr>
          <w:rFonts w:ascii="Times New Roman" w:cs="Times New Roman" w:eastAsia="Times New Roman" w:hAnsi="Times New Roman"/>
          <w:sz w:val="22"/>
          <w:szCs w:val="22"/>
          <w:color w:val="auto"/>
        </w:rPr>
        <w:t>Stephen Hagge</w:t>
      </w:r>
    </w:p>
    <w:p>
      <w:pPr>
        <w:ind w:left="5200"/>
        <w:spacing w:after="0" w:line="231" w:lineRule="auto"/>
        <w:rPr>
          <w:sz w:val="20"/>
          <w:szCs w:val="20"/>
          <w:color w:val="auto"/>
        </w:rPr>
      </w:pPr>
      <w:r>
        <w:rPr>
          <w:rFonts w:ascii="Times New Roman" w:cs="Times New Roman" w:eastAsia="Times New Roman" w:hAnsi="Times New Roman"/>
          <w:sz w:val="22"/>
          <w:szCs w:val="22"/>
          <w:color w:val="auto"/>
        </w:rPr>
        <w:t>Angela Snyder</w:t>
      </w:r>
    </w:p>
    <w:p>
      <w:pPr>
        <w:ind w:left="5200"/>
        <w:spacing w:after="0"/>
        <w:rPr>
          <w:sz w:val="20"/>
          <w:szCs w:val="20"/>
          <w:color w:val="auto"/>
        </w:rPr>
      </w:pPr>
      <w:r>
        <w:rPr>
          <w:rFonts w:ascii="Times New Roman" w:cs="Times New Roman" w:eastAsia="Times New Roman" w:hAnsi="Times New Roman"/>
          <w:sz w:val="22"/>
          <w:szCs w:val="22"/>
          <w:color w:val="auto"/>
        </w:rPr>
        <w:t>Dwayne Wilson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51</w:t>
      </w:r>
    </w:p>
    <w:p>
      <w:pPr>
        <w:sectPr>
          <w:pgSz w:w="11900" w:h="16838" w:orient="portrait"/>
          <w:cols w:equalWidth="0" w:num="1">
            <w:col w:w="11240"/>
          </w:cols>
          <w:pgMar w:left="320" w:top="551" w:right="339" w:bottom="1440" w:gutter="0" w:footer="0" w:header="0"/>
          <w:type w:val="continuous"/>
        </w:sectPr>
      </w:pPr>
    </w:p>
    <w:bookmarkStart w:id="54" w:name="page55"/>
    <w:bookmarkEnd w:id="54"/>
    <w:p>
      <w:pPr>
        <w:spacing w:after="0"/>
        <w:rPr>
          <w:sz w:val="20"/>
          <w:szCs w:val="20"/>
          <w:color w:val="auto"/>
        </w:rPr>
      </w:pPr>
      <w:r>
        <w:rPr>
          <w:rFonts w:ascii="Times New Roman" w:cs="Times New Roman" w:eastAsia="Times New Roman" w:hAnsi="Times New Roman"/>
          <w:sz w:val="32"/>
          <w:szCs w:val="32"/>
          <w:b w:val="1"/>
          <w:bCs w:val="1"/>
          <w:color w:val="29650B"/>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Summary Compensation Table</w:t>
      </w:r>
    </w:p>
    <w:p>
      <w:pPr>
        <w:spacing w:after="0" w:line="23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lists certain information regarding compensation earned during the Company’s last three fiscal years by the Company’s Chief Executive Officer, Chief Financial Officer and other three Executive Officers who were the highest paid during 2025.</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37"/>
        </w:trPr>
        <w:tc>
          <w:tcPr>
            <w:tcW w:w="2940" w:type="dxa"/>
            <w:vAlign w:val="bottom"/>
            <w:tcBorders>
              <w:top w:val="single" w:sz="8" w:color="auto"/>
              <w:left w:val="single" w:sz="8" w:color="auto"/>
            </w:tcBorders>
            <w:shd w:val="clear" w:color="auto" w:fill="29650B"/>
          </w:tcPr>
          <w:p>
            <w:pPr>
              <w:spacing w:after="0"/>
              <w:rPr>
                <w:sz w:val="11"/>
                <w:szCs w:val="11"/>
                <w:color w:val="auto"/>
              </w:rPr>
            </w:pPr>
          </w:p>
        </w:tc>
        <w:tc>
          <w:tcPr>
            <w:tcW w:w="680" w:type="dxa"/>
            <w:vAlign w:val="bottom"/>
            <w:tcBorders>
              <w:top w:val="single" w:sz="8" w:color="auto"/>
            </w:tcBorders>
            <w:shd w:val="clear" w:color="auto" w:fill="29650B"/>
          </w:tcPr>
          <w:p>
            <w:pPr>
              <w:spacing w:after="0"/>
              <w:rPr>
                <w:sz w:val="11"/>
                <w:szCs w:val="11"/>
                <w:color w:val="auto"/>
              </w:rPr>
            </w:pPr>
          </w:p>
        </w:tc>
        <w:tc>
          <w:tcPr>
            <w:tcW w:w="1120" w:type="dxa"/>
            <w:vAlign w:val="bottom"/>
            <w:tcBorders>
              <w:top w:val="single" w:sz="8" w:color="auto"/>
            </w:tcBorders>
            <w:shd w:val="clear" w:color="auto" w:fill="29650B"/>
          </w:tcPr>
          <w:p>
            <w:pPr>
              <w:spacing w:after="0"/>
              <w:rPr>
                <w:sz w:val="11"/>
                <w:szCs w:val="11"/>
                <w:color w:val="auto"/>
              </w:rPr>
            </w:pPr>
          </w:p>
        </w:tc>
        <w:tc>
          <w:tcPr>
            <w:tcW w:w="1260" w:type="dxa"/>
            <w:vAlign w:val="bottom"/>
            <w:tcBorders>
              <w:top w:val="single" w:sz="8" w:color="auto"/>
            </w:tcBorders>
            <w:shd w:val="clear" w:color="auto" w:fill="29650B"/>
          </w:tcPr>
          <w:p>
            <w:pPr>
              <w:spacing w:after="0"/>
              <w:rPr>
                <w:sz w:val="11"/>
                <w:szCs w:val="11"/>
                <w:color w:val="auto"/>
              </w:rPr>
            </w:pPr>
          </w:p>
        </w:tc>
        <w:tc>
          <w:tcPr>
            <w:tcW w:w="1200" w:type="dxa"/>
            <w:vAlign w:val="bottom"/>
            <w:tcBorders>
              <w:top w:val="single" w:sz="8" w:color="auto"/>
            </w:tcBorders>
            <w:shd w:val="clear" w:color="auto" w:fill="29650B"/>
          </w:tcPr>
          <w:p>
            <w:pPr>
              <w:spacing w:after="0"/>
              <w:rPr>
                <w:sz w:val="11"/>
                <w:szCs w:val="11"/>
                <w:color w:val="auto"/>
              </w:rPr>
            </w:pPr>
          </w:p>
        </w:tc>
        <w:tc>
          <w:tcPr>
            <w:tcW w:w="1380" w:type="dxa"/>
            <w:vAlign w:val="bottom"/>
            <w:tcBorders>
              <w:top w:val="single" w:sz="8" w:color="auto"/>
            </w:tcBorders>
            <w:shd w:val="clear" w:color="auto" w:fill="29650B"/>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FFFFFF"/>
              </w:rPr>
              <w:t>Change in</w:t>
            </w:r>
          </w:p>
        </w:tc>
        <w:tc>
          <w:tcPr>
            <w:tcW w:w="1420" w:type="dxa"/>
            <w:vAlign w:val="bottom"/>
            <w:tcBorders>
              <w:top w:val="single" w:sz="8" w:color="auto"/>
            </w:tcBorders>
            <w:shd w:val="clear" w:color="auto" w:fill="29650B"/>
          </w:tcPr>
          <w:p>
            <w:pPr>
              <w:spacing w:after="0"/>
              <w:rPr>
                <w:sz w:val="11"/>
                <w:szCs w:val="11"/>
                <w:color w:val="auto"/>
              </w:rPr>
            </w:pPr>
          </w:p>
        </w:tc>
        <w:tc>
          <w:tcPr>
            <w:tcW w:w="1240" w:type="dxa"/>
            <w:vAlign w:val="bottom"/>
            <w:tcBorders>
              <w:top w:val="single" w:sz="8" w:color="auto"/>
              <w:right w:val="single" w:sz="8" w:color="auto"/>
            </w:tcBorders>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940" w:type="dxa"/>
            <w:vAlign w:val="bottom"/>
            <w:tcBorders>
              <w:left w:val="single" w:sz="8" w:color="auto"/>
            </w:tcBorders>
            <w:shd w:val="clear" w:color="auto" w:fill="29650B"/>
          </w:tcPr>
          <w:p>
            <w:pPr>
              <w:spacing w:after="0"/>
              <w:rPr>
                <w:sz w:val="12"/>
                <w:szCs w:val="12"/>
                <w:color w:val="auto"/>
              </w:rPr>
            </w:pPr>
          </w:p>
        </w:tc>
        <w:tc>
          <w:tcPr>
            <w:tcW w:w="680" w:type="dxa"/>
            <w:vAlign w:val="bottom"/>
            <w:shd w:val="clear" w:color="auto" w:fill="29650B"/>
          </w:tcPr>
          <w:p>
            <w:pPr>
              <w:spacing w:after="0"/>
              <w:rPr>
                <w:sz w:val="12"/>
                <w:szCs w:val="12"/>
                <w:color w:val="auto"/>
              </w:rPr>
            </w:pPr>
          </w:p>
        </w:tc>
        <w:tc>
          <w:tcPr>
            <w:tcW w:w="1120" w:type="dxa"/>
            <w:vAlign w:val="bottom"/>
            <w:shd w:val="clear" w:color="auto" w:fill="29650B"/>
          </w:tcPr>
          <w:p>
            <w:pPr>
              <w:spacing w:after="0"/>
              <w:rPr>
                <w:sz w:val="12"/>
                <w:szCs w:val="12"/>
                <w:color w:val="auto"/>
              </w:rPr>
            </w:pPr>
          </w:p>
        </w:tc>
        <w:tc>
          <w:tcPr>
            <w:tcW w:w="1260" w:type="dxa"/>
            <w:vAlign w:val="bottom"/>
            <w:shd w:val="clear" w:color="auto" w:fill="29650B"/>
          </w:tcPr>
          <w:p>
            <w:pPr>
              <w:spacing w:after="0"/>
              <w:rPr>
                <w:sz w:val="12"/>
                <w:szCs w:val="12"/>
                <w:color w:val="auto"/>
              </w:rPr>
            </w:pPr>
          </w:p>
        </w:tc>
        <w:tc>
          <w:tcPr>
            <w:tcW w:w="1200" w:type="dxa"/>
            <w:vAlign w:val="bottom"/>
            <w:shd w:val="clear" w:color="auto" w:fill="29650B"/>
          </w:tcPr>
          <w:p>
            <w:pPr>
              <w:spacing w:after="0"/>
              <w:rPr>
                <w:sz w:val="12"/>
                <w:szCs w:val="12"/>
                <w:color w:val="auto"/>
              </w:rPr>
            </w:pPr>
          </w:p>
        </w:tc>
        <w:tc>
          <w:tcPr>
            <w:tcW w:w="1380" w:type="dxa"/>
            <w:vAlign w:val="bottom"/>
            <w:shd w:val="clear" w:color="auto" w:fill="29650B"/>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Pension Value and</w:t>
            </w:r>
          </w:p>
        </w:tc>
        <w:tc>
          <w:tcPr>
            <w:tcW w:w="1420" w:type="dxa"/>
            <w:vAlign w:val="bottom"/>
            <w:shd w:val="clear" w:color="auto" w:fill="29650B"/>
          </w:tcPr>
          <w:p>
            <w:pPr>
              <w:spacing w:after="0"/>
              <w:rPr>
                <w:sz w:val="12"/>
                <w:szCs w:val="12"/>
                <w:color w:val="auto"/>
              </w:rPr>
            </w:pPr>
          </w:p>
        </w:tc>
        <w:tc>
          <w:tcPr>
            <w:tcW w:w="1240" w:type="dxa"/>
            <w:vAlign w:val="bottom"/>
            <w:tcBorders>
              <w:right w:val="single" w:sz="8" w:color="auto"/>
            </w:tcBorders>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tcBorders>
            <w:shd w:val="clear" w:color="auto" w:fill="29650B"/>
          </w:tcPr>
          <w:p>
            <w:pPr>
              <w:spacing w:after="0"/>
              <w:rPr>
                <w:sz w:val="12"/>
                <w:szCs w:val="12"/>
                <w:color w:val="auto"/>
              </w:rPr>
            </w:pPr>
          </w:p>
        </w:tc>
        <w:tc>
          <w:tcPr>
            <w:tcW w:w="680" w:type="dxa"/>
            <w:vAlign w:val="bottom"/>
            <w:shd w:val="clear" w:color="auto" w:fill="29650B"/>
          </w:tcPr>
          <w:p>
            <w:pPr>
              <w:spacing w:after="0"/>
              <w:rPr>
                <w:sz w:val="12"/>
                <w:szCs w:val="12"/>
                <w:color w:val="auto"/>
              </w:rPr>
            </w:pPr>
          </w:p>
        </w:tc>
        <w:tc>
          <w:tcPr>
            <w:tcW w:w="1120" w:type="dxa"/>
            <w:vAlign w:val="bottom"/>
            <w:shd w:val="clear" w:color="auto" w:fill="29650B"/>
          </w:tcPr>
          <w:p>
            <w:pPr>
              <w:spacing w:after="0"/>
              <w:rPr>
                <w:sz w:val="12"/>
                <w:szCs w:val="12"/>
                <w:color w:val="auto"/>
              </w:rPr>
            </w:pPr>
          </w:p>
        </w:tc>
        <w:tc>
          <w:tcPr>
            <w:tcW w:w="1260" w:type="dxa"/>
            <w:vAlign w:val="bottom"/>
            <w:shd w:val="clear" w:color="auto" w:fill="29650B"/>
          </w:tcPr>
          <w:p>
            <w:pPr>
              <w:spacing w:after="0"/>
              <w:rPr>
                <w:sz w:val="12"/>
                <w:szCs w:val="12"/>
                <w:color w:val="auto"/>
              </w:rPr>
            </w:pPr>
          </w:p>
        </w:tc>
        <w:tc>
          <w:tcPr>
            <w:tcW w:w="1200" w:type="dxa"/>
            <w:vAlign w:val="bottom"/>
            <w:vMerge w:val="restart"/>
            <w:shd w:val="clear" w:color="auto" w:fill="29650B"/>
          </w:tcPr>
          <w:p>
            <w:pPr>
              <w:jc w:val="right"/>
              <w:ind w:right="177"/>
              <w:spacing w:after="0"/>
              <w:rPr>
                <w:sz w:val="20"/>
                <w:szCs w:val="20"/>
                <w:color w:val="auto"/>
              </w:rPr>
            </w:pPr>
            <w:r>
              <w:rPr>
                <w:rFonts w:ascii="Times New Roman" w:cs="Times New Roman" w:eastAsia="Times New Roman" w:hAnsi="Times New Roman"/>
                <w:sz w:val="14"/>
                <w:szCs w:val="14"/>
                <w:b w:val="1"/>
                <w:bCs w:val="1"/>
                <w:color w:val="FFFFFF"/>
              </w:rPr>
              <w:t>Non-Equity</w:t>
            </w:r>
          </w:p>
        </w:tc>
        <w:tc>
          <w:tcPr>
            <w:tcW w:w="1380" w:type="dxa"/>
            <w:vAlign w:val="bottom"/>
            <w:shd w:val="clear" w:color="auto" w:fill="29650B"/>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Nonqualified</w:t>
            </w:r>
          </w:p>
        </w:tc>
        <w:tc>
          <w:tcPr>
            <w:tcW w:w="1420" w:type="dxa"/>
            <w:vAlign w:val="bottom"/>
            <w:shd w:val="clear" w:color="auto" w:fill="29650B"/>
          </w:tcPr>
          <w:p>
            <w:pPr>
              <w:spacing w:after="0"/>
              <w:rPr>
                <w:sz w:val="12"/>
                <w:szCs w:val="12"/>
                <w:color w:val="auto"/>
              </w:rPr>
            </w:pPr>
          </w:p>
        </w:tc>
        <w:tc>
          <w:tcPr>
            <w:tcW w:w="1240" w:type="dxa"/>
            <w:vAlign w:val="bottom"/>
            <w:tcBorders>
              <w:right w:val="single" w:sz="8" w:color="auto"/>
            </w:tcBorders>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tcBorders>
            <w:shd w:val="clear" w:color="auto" w:fill="29650B"/>
          </w:tcPr>
          <w:p>
            <w:pPr>
              <w:spacing w:after="0"/>
              <w:rPr>
                <w:sz w:val="12"/>
                <w:szCs w:val="12"/>
                <w:color w:val="auto"/>
              </w:rPr>
            </w:pPr>
          </w:p>
        </w:tc>
        <w:tc>
          <w:tcPr>
            <w:tcW w:w="680" w:type="dxa"/>
            <w:vAlign w:val="bottom"/>
            <w:shd w:val="clear" w:color="auto" w:fill="29650B"/>
          </w:tcPr>
          <w:p>
            <w:pPr>
              <w:spacing w:after="0"/>
              <w:rPr>
                <w:sz w:val="12"/>
                <w:szCs w:val="12"/>
                <w:color w:val="auto"/>
              </w:rPr>
            </w:pPr>
          </w:p>
        </w:tc>
        <w:tc>
          <w:tcPr>
            <w:tcW w:w="1120" w:type="dxa"/>
            <w:vAlign w:val="bottom"/>
            <w:shd w:val="clear" w:color="auto" w:fill="29650B"/>
          </w:tcPr>
          <w:p>
            <w:pPr>
              <w:spacing w:after="0"/>
              <w:rPr>
                <w:sz w:val="12"/>
                <w:szCs w:val="12"/>
                <w:color w:val="auto"/>
              </w:rPr>
            </w:pPr>
          </w:p>
        </w:tc>
        <w:tc>
          <w:tcPr>
            <w:tcW w:w="1260" w:type="dxa"/>
            <w:vAlign w:val="bottom"/>
            <w:vMerge w:val="restart"/>
            <w:shd w:val="clear" w:color="auto" w:fill="29650B"/>
          </w:tcPr>
          <w:p>
            <w:pPr>
              <w:jc w:val="right"/>
              <w:ind w:right="396"/>
              <w:spacing w:after="0"/>
              <w:rPr>
                <w:sz w:val="20"/>
                <w:szCs w:val="20"/>
                <w:color w:val="auto"/>
              </w:rPr>
            </w:pPr>
            <w:r>
              <w:rPr>
                <w:rFonts w:ascii="Times New Roman" w:cs="Times New Roman" w:eastAsia="Times New Roman" w:hAnsi="Times New Roman"/>
                <w:sz w:val="14"/>
                <w:szCs w:val="14"/>
                <w:b w:val="1"/>
                <w:bCs w:val="1"/>
                <w:color w:val="FFFFFF"/>
              </w:rPr>
              <w:t>Stock</w:t>
            </w:r>
          </w:p>
        </w:tc>
        <w:tc>
          <w:tcPr>
            <w:tcW w:w="1200" w:type="dxa"/>
            <w:vAlign w:val="bottom"/>
            <w:vMerge w:val="continue"/>
            <w:shd w:val="clear" w:color="auto" w:fill="29650B"/>
          </w:tcPr>
          <w:p>
            <w:pPr>
              <w:spacing w:after="0"/>
              <w:rPr>
                <w:sz w:val="12"/>
                <w:szCs w:val="12"/>
                <w:color w:val="auto"/>
              </w:rPr>
            </w:pPr>
          </w:p>
        </w:tc>
        <w:tc>
          <w:tcPr>
            <w:tcW w:w="1380" w:type="dxa"/>
            <w:vAlign w:val="bottom"/>
            <w:shd w:val="clear" w:color="auto" w:fill="29650B"/>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Deferred</w:t>
            </w:r>
          </w:p>
        </w:tc>
        <w:tc>
          <w:tcPr>
            <w:tcW w:w="1420" w:type="dxa"/>
            <w:vAlign w:val="bottom"/>
            <w:vMerge w:val="restart"/>
            <w:shd w:val="clear" w:color="auto" w:fill="29650B"/>
          </w:tcPr>
          <w:p>
            <w:pPr>
              <w:jc w:val="right"/>
              <w:ind w:right="356"/>
              <w:spacing w:after="0"/>
              <w:rPr>
                <w:sz w:val="20"/>
                <w:szCs w:val="20"/>
                <w:color w:val="auto"/>
              </w:rPr>
            </w:pPr>
            <w:r>
              <w:rPr>
                <w:rFonts w:ascii="Times New Roman" w:cs="Times New Roman" w:eastAsia="Times New Roman" w:hAnsi="Times New Roman"/>
                <w:sz w:val="14"/>
                <w:szCs w:val="14"/>
                <w:b w:val="1"/>
                <w:bCs w:val="1"/>
                <w:color w:val="FFFFFF"/>
              </w:rPr>
              <w:t>All Other</w:t>
            </w:r>
          </w:p>
        </w:tc>
        <w:tc>
          <w:tcPr>
            <w:tcW w:w="1240" w:type="dxa"/>
            <w:vAlign w:val="bottom"/>
            <w:tcBorders>
              <w:right w:val="single" w:sz="8" w:color="auto"/>
            </w:tcBorders>
            <w:vMerge w:val="restart"/>
            <w:shd w:val="clear" w:color="auto" w:fill="29650B"/>
          </w:tcPr>
          <w:p>
            <w:pPr>
              <w:jc w:val="right"/>
              <w:ind w:right="396"/>
              <w:spacing w:after="0"/>
              <w:rPr>
                <w:sz w:val="20"/>
                <w:szCs w:val="20"/>
                <w:color w:val="auto"/>
              </w:rPr>
            </w:pPr>
            <w:r>
              <w:rPr>
                <w:rFonts w:ascii="Times New Roman" w:cs="Times New Roman" w:eastAsia="Times New Roman" w:hAnsi="Times New Roman"/>
                <w:sz w:val="14"/>
                <w:szCs w:val="14"/>
                <w:b w:val="1"/>
                <w:bCs w:val="1"/>
                <w:color w:val="FFFFFF"/>
              </w:rPr>
              <w:t>Total</w:t>
            </w:r>
          </w:p>
        </w:tc>
        <w:tc>
          <w:tcPr>
            <w:tcW w:w="0" w:type="dxa"/>
            <w:vAlign w:val="bottom"/>
          </w:tcPr>
          <w:p>
            <w:pPr>
              <w:spacing w:after="0"/>
              <w:rPr>
                <w:sz w:val="1"/>
                <w:szCs w:val="1"/>
                <w:color w:val="auto"/>
              </w:rPr>
            </w:pPr>
          </w:p>
        </w:tc>
      </w:tr>
      <w:tr>
        <w:trPr>
          <w:trHeight w:val="148"/>
        </w:trPr>
        <w:tc>
          <w:tcPr>
            <w:tcW w:w="2940" w:type="dxa"/>
            <w:vAlign w:val="bottom"/>
            <w:tcBorders>
              <w:left w:val="single" w:sz="8" w:color="auto"/>
            </w:tcBorders>
            <w:vMerge w:val="restart"/>
            <w:shd w:val="clear" w:color="auto" w:fill="29650B"/>
          </w:tcPr>
          <w:p>
            <w:pPr>
              <w:ind w:left="120"/>
              <w:spacing w:after="0"/>
              <w:rPr>
                <w:sz w:val="20"/>
                <w:szCs w:val="20"/>
                <w:color w:val="auto"/>
              </w:rPr>
            </w:pPr>
            <w:r>
              <w:rPr>
                <w:rFonts w:ascii="Times New Roman" w:cs="Times New Roman" w:eastAsia="Times New Roman" w:hAnsi="Times New Roman"/>
                <w:sz w:val="14"/>
                <w:szCs w:val="14"/>
                <w:b w:val="1"/>
                <w:bCs w:val="1"/>
                <w:color w:val="FFFFFF"/>
              </w:rPr>
              <w:t>Name and Principal Position</w:t>
            </w:r>
          </w:p>
        </w:tc>
        <w:tc>
          <w:tcPr>
            <w:tcW w:w="680" w:type="dxa"/>
            <w:vAlign w:val="bottom"/>
            <w:vMerge w:val="restart"/>
            <w:shd w:val="clear" w:color="auto" w:fill="29650B"/>
          </w:tcPr>
          <w:p>
            <w:pPr>
              <w:ind w:left="100"/>
              <w:spacing w:after="0"/>
              <w:rPr>
                <w:sz w:val="20"/>
                <w:szCs w:val="20"/>
                <w:color w:val="auto"/>
              </w:rPr>
            </w:pPr>
            <w:r>
              <w:rPr>
                <w:rFonts w:ascii="Times New Roman" w:cs="Times New Roman" w:eastAsia="Times New Roman" w:hAnsi="Times New Roman"/>
                <w:sz w:val="14"/>
                <w:szCs w:val="14"/>
                <w:b w:val="1"/>
                <w:bCs w:val="1"/>
                <w:color w:val="FFFFFF"/>
              </w:rPr>
              <w:t>Year</w:t>
            </w:r>
          </w:p>
        </w:tc>
        <w:tc>
          <w:tcPr>
            <w:tcW w:w="1120" w:type="dxa"/>
            <w:vAlign w:val="bottom"/>
            <w:vMerge w:val="restart"/>
            <w:shd w:val="clear" w:color="auto" w:fill="29650B"/>
          </w:tcPr>
          <w:p>
            <w:pPr>
              <w:jc w:val="right"/>
              <w:ind w:right="275"/>
              <w:spacing w:after="0"/>
              <w:rPr>
                <w:sz w:val="20"/>
                <w:szCs w:val="20"/>
                <w:color w:val="auto"/>
              </w:rPr>
            </w:pPr>
            <w:r>
              <w:rPr>
                <w:rFonts w:ascii="Times New Roman" w:cs="Times New Roman" w:eastAsia="Times New Roman" w:hAnsi="Times New Roman"/>
                <w:sz w:val="14"/>
                <w:szCs w:val="14"/>
                <w:b w:val="1"/>
                <w:bCs w:val="1"/>
                <w:color w:val="FFFFFF"/>
              </w:rPr>
              <w:t>Salary</w:t>
            </w:r>
          </w:p>
        </w:tc>
        <w:tc>
          <w:tcPr>
            <w:tcW w:w="1260" w:type="dxa"/>
            <w:vAlign w:val="bottom"/>
            <w:vMerge w:val="continue"/>
            <w:shd w:val="clear" w:color="auto" w:fill="29650B"/>
          </w:tcPr>
          <w:p>
            <w:pPr>
              <w:spacing w:after="0"/>
              <w:rPr>
                <w:sz w:val="12"/>
                <w:szCs w:val="12"/>
                <w:color w:val="auto"/>
              </w:rPr>
            </w:pPr>
          </w:p>
        </w:tc>
        <w:tc>
          <w:tcPr>
            <w:tcW w:w="1200" w:type="dxa"/>
            <w:vAlign w:val="bottom"/>
            <w:shd w:val="clear" w:color="auto" w:fill="29650B"/>
          </w:tcPr>
          <w:p>
            <w:pPr>
              <w:jc w:val="right"/>
              <w:ind w:right="77"/>
              <w:spacing w:after="0" w:line="149" w:lineRule="exact"/>
              <w:rPr>
                <w:sz w:val="20"/>
                <w:szCs w:val="20"/>
                <w:color w:val="auto"/>
              </w:rPr>
            </w:pPr>
            <w:r>
              <w:rPr>
                <w:rFonts w:ascii="Times New Roman" w:cs="Times New Roman" w:eastAsia="Times New Roman" w:hAnsi="Times New Roman"/>
                <w:sz w:val="14"/>
                <w:szCs w:val="14"/>
                <w:b w:val="1"/>
                <w:bCs w:val="1"/>
                <w:color w:val="FFFFFF"/>
              </w:rPr>
              <w:t>Incentive Plan</w:t>
            </w:r>
          </w:p>
        </w:tc>
        <w:tc>
          <w:tcPr>
            <w:tcW w:w="1380" w:type="dxa"/>
            <w:vAlign w:val="bottom"/>
            <w:shd w:val="clear" w:color="auto" w:fill="29650B"/>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FFFFFF"/>
              </w:rPr>
              <w:t>Compensation</w:t>
            </w:r>
          </w:p>
        </w:tc>
        <w:tc>
          <w:tcPr>
            <w:tcW w:w="1420" w:type="dxa"/>
            <w:vAlign w:val="bottom"/>
            <w:vMerge w:val="continue"/>
            <w:shd w:val="clear" w:color="auto" w:fill="29650B"/>
          </w:tcPr>
          <w:p>
            <w:pPr>
              <w:spacing w:after="0"/>
              <w:rPr>
                <w:sz w:val="12"/>
                <w:szCs w:val="12"/>
                <w:color w:val="auto"/>
              </w:rPr>
            </w:pPr>
          </w:p>
        </w:tc>
        <w:tc>
          <w:tcPr>
            <w:tcW w:w="1240" w:type="dxa"/>
            <w:vAlign w:val="bottom"/>
            <w:tcBorders>
              <w:right w:val="single" w:sz="8" w:color="auto"/>
            </w:tcBorders>
            <w:vMerge w:val="continue"/>
            <w:shd w:val="clear" w:color="auto" w:fill="29650B"/>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940" w:type="dxa"/>
            <w:vAlign w:val="bottom"/>
            <w:tcBorders>
              <w:left w:val="single" w:sz="8" w:color="auto"/>
              <w:bottom w:val="single" w:sz="8" w:color="auto"/>
            </w:tcBorders>
            <w:vMerge w:val="continue"/>
            <w:shd w:val="clear" w:color="auto" w:fill="29650B"/>
          </w:tcPr>
          <w:p>
            <w:pPr>
              <w:spacing w:after="0"/>
              <w:rPr>
                <w:sz w:val="15"/>
                <w:szCs w:val="15"/>
                <w:color w:val="auto"/>
              </w:rPr>
            </w:pPr>
          </w:p>
        </w:tc>
        <w:tc>
          <w:tcPr>
            <w:tcW w:w="680" w:type="dxa"/>
            <w:vAlign w:val="bottom"/>
            <w:tcBorders>
              <w:bottom w:val="single" w:sz="8" w:color="auto"/>
            </w:tcBorders>
            <w:vMerge w:val="continue"/>
            <w:shd w:val="clear" w:color="auto" w:fill="29650B"/>
          </w:tcPr>
          <w:p>
            <w:pPr>
              <w:spacing w:after="0"/>
              <w:rPr>
                <w:sz w:val="15"/>
                <w:szCs w:val="15"/>
                <w:color w:val="auto"/>
              </w:rPr>
            </w:pPr>
          </w:p>
        </w:tc>
        <w:tc>
          <w:tcPr>
            <w:tcW w:w="1120" w:type="dxa"/>
            <w:vAlign w:val="bottom"/>
            <w:tcBorders>
              <w:bottom w:val="single" w:sz="8" w:color="auto"/>
            </w:tcBorders>
            <w:vMerge w:val="continue"/>
            <w:shd w:val="clear" w:color="auto" w:fill="29650B"/>
          </w:tcPr>
          <w:p>
            <w:pPr>
              <w:spacing w:after="0"/>
              <w:rPr>
                <w:sz w:val="15"/>
                <w:szCs w:val="15"/>
                <w:color w:val="auto"/>
              </w:rPr>
            </w:pPr>
          </w:p>
        </w:tc>
        <w:tc>
          <w:tcPr>
            <w:tcW w:w="1260" w:type="dxa"/>
            <w:vAlign w:val="bottom"/>
            <w:tcBorders>
              <w:bottom w:val="single" w:sz="8" w:color="auto"/>
            </w:tcBorders>
            <w:shd w:val="clear" w:color="auto" w:fill="29650B"/>
          </w:tcPr>
          <w:p>
            <w:pPr>
              <w:jc w:val="right"/>
              <w:ind w:right="216"/>
              <w:spacing w:after="0"/>
              <w:rPr>
                <w:sz w:val="20"/>
                <w:szCs w:val="20"/>
                <w:color w:val="auto"/>
              </w:rPr>
            </w:pPr>
            <w:r>
              <w:rPr>
                <w:rFonts w:ascii="Times New Roman" w:cs="Times New Roman" w:eastAsia="Times New Roman" w:hAnsi="Times New Roman"/>
                <w:sz w:val="14"/>
                <w:szCs w:val="14"/>
                <w:b w:val="1"/>
                <w:bCs w:val="1"/>
                <w:color w:val="FFFFFF"/>
              </w:rPr>
              <w:t>Awards (1)</w:t>
            </w:r>
          </w:p>
        </w:tc>
        <w:tc>
          <w:tcPr>
            <w:tcW w:w="1200" w:type="dxa"/>
            <w:vAlign w:val="bottom"/>
            <w:tcBorders>
              <w:bottom w:val="single" w:sz="8" w:color="auto"/>
            </w:tcBorders>
            <w:shd w:val="clear" w:color="auto" w:fill="29650B"/>
          </w:tcPr>
          <w:p>
            <w:pPr>
              <w:jc w:val="right"/>
              <w:ind w:right="77"/>
              <w:spacing w:after="0"/>
              <w:rPr>
                <w:sz w:val="20"/>
                <w:szCs w:val="20"/>
                <w:color w:val="auto"/>
              </w:rPr>
            </w:pPr>
            <w:r>
              <w:rPr>
                <w:rFonts w:ascii="Times New Roman" w:cs="Times New Roman" w:eastAsia="Times New Roman" w:hAnsi="Times New Roman"/>
                <w:sz w:val="14"/>
                <w:szCs w:val="14"/>
                <w:b w:val="1"/>
                <w:bCs w:val="1"/>
                <w:color w:val="FFFFFF"/>
              </w:rPr>
              <w:t>Compensation</w:t>
            </w:r>
          </w:p>
        </w:tc>
        <w:tc>
          <w:tcPr>
            <w:tcW w:w="1380" w:type="dxa"/>
            <w:vAlign w:val="bottom"/>
            <w:tcBorders>
              <w:bottom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4"/>
                <w:szCs w:val="14"/>
                <w:b w:val="1"/>
                <w:bCs w:val="1"/>
                <w:color w:val="FFFFFF"/>
              </w:rPr>
              <w:t>Earnings (2)</w:t>
            </w:r>
          </w:p>
        </w:tc>
        <w:tc>
          <w:tcPr>
            <w:tcW w:w="1420" w:type="dxa"/>
            <w:vAlign w:val="bottom"/>
            <w:tcBorders>
              <w:bottom w:val="single" w:sz="8" w:color="auto"/>
            </w:tcBorders>
            <w:shd w:val="clear" w:color="auto" w:fill="29650B"/>
          </w:tcPr>
          <w:p>
            <w:pPr>
              <w:jc w:val="right"/>
              <w:ind w:right="96"/>
              <w:spacing w:after="0"/>
              <w:rPr>
                <w:sz w:val="20"/>
                <w:szCs w:val="20"/>
                <w:color w:val="auto"/>
              </w:rPr>
            </w:pPr>
            <w:r>
              <w:rPr>
                <w:rFonts w:ascii="Times New Roman" w:cs="Times New Roman" w:eastAsia="Times New Roman" w:hAnsi="Times New Roman"/>
                <w:sz w:val="14"/>
                <w:szCs w:val="14"/>
                <w:b w:val="1"/>
                <w:bCs w:val="1"/>
                <w:color w:val="FFFFFF"/>
              </w:rPr>
              <w:t>Compensation (3)</w:t>
            </w:r>
          </w:p>
        </w:tc>
        <w:tc>
          <w:tcPr>
            <w:tcW w:w="1240" w:type="dxa"/>
            <w:vAlign w:val="bottom"/>
            <w:tcBorders>
              <w:bottom w:val="single" w:sz="8" w:color="auto"/>
              <w:right w:val="single" w:sz="8" w:color="auto"/>
            </w:tcBorders>
            <w:shd w:val="clear" w:color="auto" w:fill="29650B"/>
          </w:tcPr>
          <w:p>
            <w:pPr>
              <w:jc w:val="right"/>
              <w:ind w:right="96"/>
              <w:spacing w:after="0"/>
              <w:rPr>
                <w:sz w:val="20"/>
                <w:szCs w:val="20"/>
                <w:color w:val="auto"/>
              </w:rPr>
            </w:pPr>
            <w:r>
              <w:rPr>
                <w:rFonts w:ascii="Times New Roman" w:cs="Times New Roman" w:eastAsia="Times New Roman" w:hAnsi="Times New Roman"/>
                <w:sz w:val="14"/>
                <w:szCs w:val="14"/>
                <w:b w:val="1"/>
                <w:bCs w:val="1"/>
                <w:color w:val="FFFFFF"/>
              </w:rPr>
              <w:t>Compensation</w:t>
            </w:r>
          </w:p>
        </w:tc>
        <w:tc>
          <w:tcPr>
            <w:tcW w:w="0" w:type="dxa"/>
            <w:vAlign w:val="bottom"/>
          </w:tcPr>
          <w:p>
            <w:pPr>
              <w:spacing w:after="0"/>
              <w:rPr>
                <w:sz w:val="1"/>
                <w:szCs w:val="1"/>
                <w:color w:val="auto"/>
              </w:rPr>
            </w:pPr>
          </w:p>
        </w:tc>
      </w:tr>
      <w:tr>
        <w:trPr>
          <w:trHeight w:val="174"/>
        </w:trPr>
        <w:tc>
          <w:tcPr>
            <w:tcW w:w="2940" w:type="dxa"/>
            <w:vAlign w:val="bottom"/>
            <w:tcBorders>
              <w:left w:val="single" w:sz="8" w:color="auto"/>
            </w:tcBorders>
          </w:tcPr>
          <w:p>
            <w:pPr>
              <w:ind w:left="120"/>
              <w:spacing w:after="0" w:line="174" w:lineRule="exact"/>
              <w:rPr>
                <w:sz w:val="20"/>
                <w:szCs w:val="20"/>
                <w:color w:val="auto"/>
              </w:rPr>
            </w:pPr>
            <w:r>
              <w:rPr>
                <w:rFonts w:ascii="Times New Roman" w:cs="Times New Roman" w:eastAsia="Times New Roman" w:hAnsi="Times New Roman"/>
                <w:sz w:val="17"/>
                <w:szCs w:val="17"/>
                <w:color w:val="auto"/>
              </w:rPr>
              <w:t>Timothy Donahue</w:t>
            </w:r>
          </w:p>
        </w:tc>
        <w:tc>
          <w:tcPr>
            <w:tcW w:w="680" w:type="dxa"/>
            <w:vAlign w:val="bottom"/>
          </w:tcPr>
          <w:p>
            <w:pPr>
              <w:ind w:left="100"/>
              <w:spacing w:after="0" w:line="174" w:lineRule="exact"/>
              <w:rPr>
                <w:sz w:val="20"/>
                <w:szCs w:val="20"/>
                <w:color w:val="auto"/>
              </w:rPr>
            </w:pPr>
            <w:r>
              <w:rPr>
                <w:rFonts w:ascii="Times New Roman" w:cs="Times New Roman" w:eastAsia="Times New Roman" w:hAnsi="Times New Roman"/>
                <w:sz w:val="17"/>
                <w:szCs w:val="17"/>
                <w:color w:val="auto"/>
              </w:rPr>
              <w:t>2025</w:t>
            </w:r>
          </w:p>
        </w:tc>
        <w:tc>
          <w:tcPr>
            <w:tcW w:w="1120" w:type="dxa"/>
            <w:vAlign w:val="bottom"/>
          </w:tcPr>
          <w:p>
            <w:pPr>
              <w:jc w:val="right"/>
              <w:ind w:right="15"/>
              <w:spacing w:after="0" w:line="174" w:lineRule="exact"/>
              <w:rPr>
                <w:sz w:val="20"/>
                <w:szCs w:val="20"/>
                <w:color w:val="auto"/>
              </w:rPr>
            </w:pPr>
            <w:r>
              <w:rPr>
                <w:rFonts w:ascii="Times New Roman" w:cs="Times New Roman" w:eastAsia="Times New Roman" w:hAnsi="Times New Roman"/>
                <w:sz w:val="17"/>
                <w:szCs w:val="17"/>
                <w:color w:val="auto"/>
              </w:rPr>
              <w:t>$1,450,000</w:t>
            </w:r>
          </w:p>
        </w:tc>
        <w:tc>
          <w:tcPr>
            <w:tcW w:w="1260" w:type="dxa"/>
            <w:vAlign w:val="bottom"/>
          </w:tcPr>
          <w:p>
            <w:pPr>
              <w:jc w:val="right"/>
              <w:ind w:right="56"/>
              <w:spacing w:after="0" w:line="174" w:lineRule="exact"/>
              <w:rPr>
                <w:sz w:val="20"/>
                <w:szCs w:val="20"/>
                <w:color w:val="auto"/>
              </w:rPr>
            </w:pPr>
            <w:r>
              <w:rPr>
                <w:rFonts w:ascii="Times New Roman" w:cs="Times New Roman" w:eastAsia="Times New Roman" w:hAnsi="Times New Roman"/>
                <w:sz w:val="17"/>
                <w:szCs w:val="17"/>
                <w:color w:val="auto"/>
              </w:rPr>
              <w:t>$8,627,475</w:t>
            </w:r>
          </w:p>
        </w:tc>
        <w:tc>
          <w:tcPr>
            <w:tcW w:w="1200" w:type="dxa"/>
            <w:vAlign w:val="bottom"/>
          </w:tcPr>
          <w:p>
            <w:pPr>
              <w:jc w:val="right"/>
              <w:ind w:right="17"/>
              <w:spacing w:after="0" w:line="174" w:lineRule="exact"/>
              <w:rPr>
                <w:sz w:val="20"/>
                <w:szCs w:val="20"/>
                <w:color w:val="auto"/>
              </w:rPr>
            </w:pPr>
            <w:r>
              <w:rPr>
                <w:rFonts w:ascii="Times New Roman" w:cs="Times New Roman" w:eastAsia="Times New Roman" w:hAnsi="Times New Roman"/>
                <w:sz w:val="17"/>
                <w:szCs w:val="17"/>
                <w:color w:val="auto"/>
              </w:rPr>
              <w:t>$4,205,000</w:t>
            </w:r>
          </w:p>
        </w:tc>
        <w:tc>
          <w:tcPr>
            <w:tcW w:w="1380" w:type="dxa"/>
            <w:vAlign w:val="bottom"/>
          </w:tcPr>
          <w:p>
            <w:pPr>
              <w:jc w:val="right"/>
              <w:ind w:right="99"/>
              <w:spacing w:after="0" w:line="174" w:lineRule="exact"/>
              <w:rPr>
                <w:sz w:val="20"/>
                <w:szCs w:val="20"/>
                <w:color w:val="auto"/>
              </w:rPr>
            </w:pPr>
            <w:r>
              <w:rPr>
                <w:rFonts w:ascii="Times New Roman" w:cs="Times New Roman" w:eastAsia="Times New Roman" w:hAnsi="Times New Roman"/>
                <w:sz w:val="17"/>
                <w:szCs w:val="17"/>
                <w:color w:val="auto"/>
              </w:rPr>
              <w:t>$3,158,490</w:t>
            </w:r>
          </w:p>
        </w:tc>
        <w:tc>
          <w:tcPr>
            <w:tcW w:w="1420" w:type="dxa"/>
            <w:vAlign w:val="bottom"/>
          </w:tcPr>
          <w:p>
            <w:pPr>
              <w:jc w:val="right"/>
              <w:ind w:right="216"/>
              <w:spacing w:after="0" w:line="174" w:lineRule="exact"/>
              <w:rPr>
                <w:sz w:val="20"/>
                <w:szCs w:val="20"/>
                <w:color w:val="auto"/>
              </w:rPr>
            </w:pPr>
            <w:r>
              <w:rPr>
                <w:rFonts w:ascii="Times New Roman" w:cs="Times New Roman" w:eastAsia="Times New Roman" w:hAnsi="Times New Roman"/>
                <w:sz w:val="17"/>
                <w:szCs w:val="17"/>
                <w:color w:val="auto"/>
              </w:rPr>
              <w:t>$60,398</w:t>
            </w:r>
          </w:p>
        </w:tc>
        <w:tc>
          <w:tcPr>
            <w:tcW w:w="124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$17,501,363</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President and Chief</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2024</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1,425,000</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7,979,960</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4,132,500</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80,690</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13,618,150</w:t>
            </w:r>
          </w:p>
        </w:tc>
        <w:tc>
          <w:tcPr>
            <w:tcW w:w="0" w:type="dxa"/>
            <w:vAlign w:val="bottom"/>
          </w:tcPr>
          <w:p>
            <w:pPr>
              <w:spacing w:after="0"/>
              <w:rPr>
                <w:sz w:val="1"/>
                <w:szCs w:val="1"/>
                <w:color w:val="auto"/>
              </w:rPr>
            </w:pPr>
          </w:p>
        </w:tc>
      </w:tr>
      <w:tr>
        <w:trPr>
          <w:trHeight w:val="222"/>
        </w:trPr>
        <w:tc>
          <w:tcPr>
            <w:tcW w:w="2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7"/>
                <w:szCs w:val="17"/>
                <w:color w:val="auto"/>
              </w:rPr>
              <w:t>Executive Officer</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1,370,000</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7,671,945</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2,820,488</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65,790</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11,928,223</w:t>
            </w:r>
          </w:p>
        </w:tc>
        <w:tc>
          <w:tcPr>
            <w:tcW w:w="0" w:type="dxa"/>
            <w:vAlign w:val="bottom"/>
          </w:tcPr>
          <w:p>
            <w:pPr>
              <w:spacing w:after="0"/>
              <w:rPr>
                <w:sz w:val="1"/>
                <w:szCs w:val="1"/>
                <w:color w:val="auto"/>
              </w:rPr>
            </w:pPr>
          </w:p>
        </w:tc>
      </w:tr>
      <w:tr>
        <w:trPr>
          <w:trHeight w:val="245"/>
        </w:trPr>
        <w:tc>
          <w:tcPr>
            <w:tcW w:w="294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940" w:type="dxa"/>
            <w:vAlign w:val="bottom"/>
            <w:tcBorders>
              <w:left w:val="single" w:sz="8" w:color="auto"/>
            </w:tcBorders>
            <w:shd w:val="clear" w:color="auto" w:fill="D9D9D9"/>
          </w:tcPr>
          <w:p>
            <w:pPr>
              <w:ind w:left="120"/>
              <w:spacing w:after="0" w:line="174" w:lineRule="exact"/>
              <w:rPr>
                <w:sz w:val="20"/>
                <w:szCs w:val="20"/>
                <w:color w:val="auto"/>
              </w:rPr>
            </w:pPr>
            <w:r>
              <w:rPr>
                <w:rFonts w:ascii="Times New Roman" w:cs="Times New Roman" w:eastAsia="Times New Roman" w:hAnsi="Times New Roman"/>
                <w:sz w:val="17"/>
                <w:szCs w:val="17"/>
                <w:color w:val="auto"/>
              </w:rPr>
              <w:t>Kevin Clothier</w:t>
            </w:r>
          </w:p>
        </w:tc>
        <w:tc>
          <w:tcPr>
            <w:tcW w:w="680" w:type="dxa"/>
            <w:vAlign w:val="bottom"/>
            <w:shd w:val="clear" w:color="auto" w:fill="D9D9D9"/>
          </w:tcPr>
          <w:p>
            <w:pPr>
              <w:ind w:left="100"/>
              <w:spacing w:after="0" w:line="174" w:lineRule="exact"/>
              <w:rPr>
                <w:sz w:val="20"/>
                <w:szCs w:val="20"/>
                <w:color w:val="auto"/>
              </w:rPr>
            </w:pPr>
            <w:r>
              <w:rPr>
                <w:rFonts w:ascii="Times New Roman" w:cs="Times New Roman" w:eastAsia="Times New Roman" w:hAnsi="Times New Roman"/>
                <w:sz w:val="17"/>
                <w:szCs w:val="17"/>
                <w:color w:val="auto"/>
              </w:rPr>
              <w:t>2025</w:t>
            </w:r>
          </w:p>
        </w:tc>
        <w:tc>
          <w:tcPr>
            <w:tcW w:w="1120" w:type="dxa"/>
            <w:vAlign w:val="bottom"/>
            <w:shd w:val="clear" w:color="auto" w:fill="D9D9D9"/>
          </w:tcPr>
          <w:p>
            <w:pPr>
              <w:jc w:val="right"/>
              <w:ind w:right="15"/>
              <w:spacing w:after="0" w:line="174" w:lineRule="exact"/>
              <w:rPr>
                <w:sz w:val="20"/>
                <w:szCs w:val="20"/>
                <w:color w:val="auto"/>
              </w:rPr>
            </w:pPr>
            <w:r>
              <w:rPr>
                <w:rFonts w:ascii="Times New Roman" w:cs="Times New Roman" w:eastAsia="Times New Roman" w:hAnsi="Times New Roman"/>
                <w:sz w:val="17"/>
                <w:szCs w:val="17"/>
                <w:color w:val="auto"/>
              </w:rPr>
              <w:t>805,000</w:t>
            </w:r>
          </w:p>
        </w:tc>
        <w:tc>
          <w:tcPr>
            <w:tcW w:w="1260" w:type="dxa"/>
            <w:vAlign w:val="bottom"/>
            <w:shd w:val="clear" w:color="auto" w:fill="D9D9D9"/>
          </w:tcPr>
          <w:p>
            <w:pPr>
              <w:jc w:val="right"/>
              <w:ind w:right="56"/>
              <w:spacing w:after="0" w:line="174" w:lineRule="exact"/>
              <w:rPr>
                <w:sz w:val="20"/>
                <w:szCs w:val="20"/>
                <w:color w:val="auto"/>
              </w:rPr>
            </w:pPr>
            <w:r>
              <w:rPr>
                <w:rFonts w:ascii="Times New Roman" w:cs="Times New Roman" w:eastAsia="Times New Roman" w:hAnsi="Times New Roman"/>
                <w:sz w:val="17"/>
                <w:szCs w:val="17"/>
                <w:color w:val="auto"/>
              </w:rPr>
              <w:t>2,012,535</w:t>
            </w:r>
          </w:p>
        </w:tc>
        <w:tc>
          <w:tcPr>
            <w:tcW w:w="1200" w:type="dxa"/>
            <w:vAlign w:val="bottom"/>
            <w:shd w:val="clear" w:color="auto" w:fill="D9D9D9"/>
          </w:tcPr>
          <w:p>
            <w:pPr>
              <w:jc w:val="right"/>
              <w:ind w:right="17"/>
              <w:spacing w:after="0" w:line="174" w:lineRule="exact"/>
              <w:rPr>
                <w:sz w:val="20"/>
                <w:szCs w:val="20"/>
                <w:color w:val="auto"/>
              </w:rPr>
            </w:pPr>
            <w:r>
              <w:rPr>
                <w:rFonts w:ascii="Times New Roman" w:cs="Times New Roman" w:eastAsia="Times New Roman" w:hAnsi="Times New Roman"/>
                <w:sz w:val="17"/>
                <w:szCs w:val="17"/>
                <w:color w:val="auto"/>
              </w:rPr>
              <w:t>1,449,000</w:t>
            </w:r>
          </w:p>
        </w:tc>
        <w:tc>
          <w:tcPr>
            <w:tcW w:w="1380" w:type="dxa"/>
            <w:vAlign w:val="bottom"/>
            <w:shd w:val="clear" w:color="auto" w:fill="D9D9D9"/>
          </w:tcPr>
          <w:p>
            <w:pPr>
              <w:jc w:val="right"/>
              <w:ind w:right="99"/>
              <w:spacing w:after="0" w:line="174" w:lineRule="exact"/>
              <w:rPr>
                <w:sz w:val="20"/>
                <w:szCs w:val="20"/>
                <w:color w:val="auto"/>
              </w:rPr>
            </w:pPr>
            <w:r>
              <w:rPr>
                <w:rFonts w:ascii="Times New Roman" w:cs="Times New Roman" w:eastAsia="Times New Roman" w:hAnsi="Times New Roman"/>
                <w:sz w:val="17"/>
                <w:szCs w:val="17"/>
                <w:color w:val="auto"/>
              </w:rPr>
              <w:t>984,320</w:t>
            </w:r>
          </w:p>
        </w:tc>
        <w:tc>
          <w:tcPr>
            <w:tcW w:w="1420" w:type="dxa"/>
            <w:vAlign w:val="bottom"/>
            <w:shd w:val="clear" w:color="auto" w:fill="D9D9D9"/>
          </w:tcPr>
          <w:p>
            <w:pPr>
              <w:jc w:val="right"/>
              <w:ind w:right="196"/>
              <w:spacing w:after="0" w:line="174" w:lineRule="exact"/>
              <w:rPr>
                <w:sz w:val="20"/>
                <w:szCs w:val="20"/>
                <w:color w:val="auto"/>
              </w:rPr>
            </w:pPr>
            <w:r>
              <w:rPr>
                <w:rFonts w:ascii="Times New Roman" w:cs="Times New Roman" w:eastAsia="Times New Roman" w:hAnsi="Times New Roman"/>
                <w:sz w:val="17"/>
                <w:szCs w:val="17"/>
                <w:color w:val="auto"/>
              </w:rPr>
              <w:t>22,440</w:t>
            </w:r>
          </w:p>
        </w:tc>
        <w:tc>
          <w:tcPr>
            <w:tcW w:w="1240" w:type="dxa"/>
            <w:vAlign w:val="bottom"/>
            <w:tcBorders>
              <w:right w:val="single" w:sz="8" w:color="auto"/>
            </w:tcBorders>
            <w:shd w:val="clear" w:color="auto" w:fill="D9D9D9"/>
          </w:tcPr>
          <w:p>
            <w:pPr>
              <w:jc w:val="right"/>
              <w:spacing w:after="0" w:line="174" w:lineRule="exact"/>
              <w:rPr>
                <w:sz w:val="20"/>
                <w:szCs w:val="20"/>
                <w:color w:val="auto"/>
              </w:rPr>
            </w:pPr>
            <w:r>
              <w:rPr>
                <w:rFonts w:ascii="Times New Roman" w:cs="Times New Roman" w:eastAsia="Times New Roman" w:hAnsi="Times New Roman"/>
                <w:sz w:val="17"/>
                <w:szCs w:val="17"/>
                <w:color w:val="auto"/>
              </w:rPr>
              <w:t>5,273,295</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7"/>
                <w:szCs w:val="17"/>
                <w:color w:val="auto"/>
              </w:rPr>
              <w:t>Senior Vice President</w:t>
            </w:r>
          </w:p>
        </w:tc>
        <w:tc>
          <w:tcPr>
            <w:tcW w:w="6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7"/>
                <w:szCs w:val="17"/>
                <w:color w:val="auto"/>
              </w:rPr>
              <w:t>2024</w:t>
            </w:r>
          </w:p>
        </w:tc>
        <w:tc>
          <w:tcPr>
            <w:tcW w:w="1120" w:type="dxa"/>
            <w:vAlign w:val="bottom"/>
            <w:shd w:val="clear" w:color="auto" w:fill="D9D9D9"/>
          </w:tcPr>
          <w:p>
            <w:pPr>
              <w:jc w:val="right"/>
              <w:ind w:right="15"/>
              <w:spacing w:after="0"/>
              <w:rPr>
                <w:sz w:val="20"/>
                <w:szCs w:val="20"/>
                <w:color w:val="auto"/>
              </w:rPr>
            </w:pPr>
            <w:r>
              <w:rPr>
                <w:rFonts w:ascii="Times New Roman" w:cs="Times New Roman" w:eastAsia="Times New Roman" w:hAnsi="Times New Roman"/>
                <w:sz w:val="17"/>
                <w:szCs w:val="17"/>
                <w:color w:val="auto"/>
              </w:rPr>
              <w:t>750,000</w:t>
            </w:r>
          </w:p>
        </w:tc>
        <w:tc>
          <w:tcPr>
            <w:tcW w:w="1260" w:type="dxa"/>
            <w:vAlign w:val="bottom"/>
            <w:shd w:val="clear" w:color="auto" w:fill="D9D9D9"/>
          </w:tcPr>
          <w:p>
            <w:pPr>
              <w:jc w:val="right"/>
              <w:ind w:right="56"/>
              <w:spacing w:after="0"/>
              <w:rPr>
                <w:sz w:val="20"/>
                <w:szCs w:val="20"/>
                <w:color w:val="auto"/>
              </w:rPr>
            </w:pPr>
            <w:r>
              <w:rPr>
                <w:rFonts w:ascii="Times New Roman" w:cs="Times New Roman" w:eastAsia="Times New Roman" w:hAnsi="Times New Roman"/>
                <w:sz w:val="17"/>
                <w:szCs w:val="17"/>
                <w:color w:val="auto"/>
              </w:rPr>
              <w:t>1,687,492</w:t>
            </w:r>
          </w:p>
        </w:tc>
        <w:tc>
          <w:tcPr>
            <w:tcW w:w="1200" w:type="dxa"/>
            <w:vAlign w:val="bottom"/>
            <w:shd w:val="clear" w:color="auto" w:fill="D9D9D9"/>
          </w:tcPr>
          <w:p>
            <w:pPr>
              <w:jc w:val="right"/>
              <w:ind w:right="17"/>
              <w:spacing w:after="0"/>
              <w:rPr>
                <w:sz w:val="20"/>
                <w:szCs w:val="20"/>
                <w:color w:val="auto"/>
              </w:rPr>
            </w:pPr>
            <w:r>
              <w:rPr>
                <w:rFonts w:ascii="Times New Roman" w:cs="Times New Roman" w:eastAsia="Times New Roman" w:hAnsi="Times New Roman"/>
                <w:sz w:val="17"/>
                <w:szCs w:val="17"/>
                <w:color w:val="auto"/>
              </w:rPr>
              <w:t>1,200,000</w:t>
            </w:r>
          </w:p>
        </w:tc>
        <w:tc>
          <w:tcPr>
            <w:tcW w:w="1380" w:type="dxa"/>
            <w:vAlign w:val="bottom"/>
            <w:shd w:val="clear" w:color="auto" w:fill="D9D9D9"/>
          </w:tcPr>
          <w:p>
            <w:pPr>
              <w:jc w:val="right"/>
              <w:ind w:right="99"/>
              <w:spacing w:after="0"/>
              <w:rPr>
                <w:sz w:val="20"/>
                <w:szCs w:val="20"/>
                <w:color w:val="auto"/>
              </w:rPr>
            </w:pPr>
            <w:r>
              <w:rPr>
                <w:rFonts w:ascii="Times New Roman" w:cs="Times New Roman" w:eastAsia="Times New Roman" w:hAnsi="Times New Roman"/>
                <w:sz w:val="17"/>
                <w:szCs w:val="17"/>
                <w:color w:val="auto"/>
              </w:rPr>
              <w:t>521,183</w:t>
            </w:r>
          </w:p>
        </w:tc>
        <w:tc>
          <w:tcPr>
            <w:tcW w:w="1420" w:type="dxa"/>
            <w:vAlign w:val="bottom"/>
            <w:shd w:val="clear" w:color="auto" w:fill="D9D9D9"/>
          </w:tcPr>
          <w:p>
            <w:pPr>
              <w:jc w:val="right"/>
              <w:ind w:right="196"/>
              <w:spacing w:after="0"/>
              <w:rPr>
                <w:sz w:val="20"/>
                <w:szCs w:val="20"/>
                <w:color w:val="auto"/>
              </w:rPr>
            </w:pPr>
            <w:r>
              <w:rPr>
                <w:rFonts w:ascii="Times New Roman" w:cs="Times New Roman" w:eastAsia="Times New Roman" w:hAnsi="Times New Roman"/>
                <w:sz w:val="17"/>
                <w:szCs w:val="17"/>
                <w:color w:val="auto"/>
              </w:rPr>
              <w:t>18,521</w:t>
            </w:r>
          </w:p>
        </w:tc>
        <w:tc>
          <w:tcPr>
            <w:tcW w:w="124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rPr>
              <w:t>4,177,196</w:t>
            </w:r>
          </w:p>
        </w:tc>
        <w:tc>
          <w:tcPr>
            <w:tcW w:w="0" w:type="dxa"/>
            <w:vAlign w:val="bottom"/>
          </w:tcPr>
          <w:p>
            <w:pPr>
              <w:spacing w:after="0"/>
              <w:rPr>
                <w:sz w:val="1"/>
                <w:szCs w:val="1"/>
                <w:color w:val="auto"/>
              </w:rPr>
            </w:pPr>
          </w:p>
        </w:tc>
      </w:tr>
      <w:tr>
        <w:trPr>
          <w:trHeight w:val="222"/>
        </w:trPr>
        <w:tc>
          <w:tcPr>
            <w:tcW w:w="2940" w:type="dxa"/>
            <w:vAlign w:val="bottom"/>
            <w:tcBorders>
              <w:left w:val="single" w:sz="8" w:color="auto"/>
            </w:tcBorders>
            <w:shd w:val="clear" w:color="auto" w:fill="D9D9D9"/>
          </w:tcPr>
          <w:p>
            <w:pPr>
              <w:ind w:left="260"/>
              <w:spacing w:after="0"/>
              <w:rPr>
                <w:sz w:val="20"/>
                <w:szCs w:val="20"/>
                <w:color w:val="auto"/>
              </w:rPr>
            </w:pPr>
            <w:r>
              <w:rPr>
                <w:rFonts w:ascii="Times New Roman" w:cs="Times New Roman" w:eastAsia="Times New Roman" w:hAnsi="Times New Roman"/>
                <w:sz w:val="17"/>
                <w:szCs w:val="17"/>
                <w:color w:val="auto"/>
              </w:rPr>
              <w:t>and Chief Financial Officer</w:t>
            </w:r>
          </w:p>
        </w:tc>
        <w:tc>
          <w:tcPr>
            <w:tcW w:w="6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shd w:val="clear" w:color="auto" w:fill="D9D9D9"/>
          </w:tcPr>
          <w:p>
            <w:pPr>
              <w:jc w:val="right"/>
              <w:ind w:right="15"/>
              <w:spacing w:after="0"/>
              <w:rPr>
                <w:sz w:val="20"/>
                <w:szCs w:val="20"/>
                <w:color w:val="auto"/>
              </w:rPr>
            </w:pPr>
            <w:r>
              <w:rPr>
                <w:rFonts w:ascii="Times New Roman" w:cs="Times New Roman" w:eastAsia="Times New Roman" w:hAnsi="Times New Roman"/>
                <w:sz w:val="17"/>
                <w:szCs w:val="17"/>
                <w:color w:val="auto"/>
              </w:rPr>
              <w:t>600,000</w:t>
            </w:r>
          </w:p>
        </w:tc>
        <w:tc>
          <w:tcPr>
            <w:tcW w:w="1260" w:type="dxa"/>
            <w:vAlign w:val="bottom"/>
            <w:shd w:val="clear" w:color="auto" w:fill="D9D9D9"/>
          </w:tcPr>
          <w:p>
            <w:pPr>
              <w:jc w:val="right"/>
              <w:ind w:right="56"/>
              <w:spacing w:after="0"/>
              <w:rPr>
                <w:sz w:val="20"/>
                <w:szCs w:val="20"/>
                <w:color w:val="auto"/>
              </w:rPr>
            </w:pPr>
            <w:r>
              <w:rPr>
                <w:rFonts w:ascii="Times New Roman" w:cs="Times New Roman" w:eastAsia="Times New Roman" w:hAnsi="Times New Roman"/>
                <w:sz w:val="17"/>
                <w:szCs w:val="17"/>
                <w:color w:val="auto"/>
              </w:rPr>
              <w:t>1,260,029</w:t>
            </w:r>
          </w:p>
        </w:tc>
        <w:tc>
          <w:tcPr>
            <w:tcW w:w="1200" w:type="dxa"/>
            <w:vAlign w:val="bottom"/>
            <w:shd w:val="clear" w:color="auto" w:fill="D9D9D9"/>
          </w:tcPr>
          <w:p>
            <w:pPr>
              <w:jc w:val="right"/>
              <w:ind w:right="17"/>
              <w:spacing w:after="0"/>
              <w:rPr>
                <w:sz w:val="20"/>
                <w:szCs w:val="20"/>
                <w:color w:val="auto"/>
              </w:rPr>
            </w:pPr>
            <w:r>
              <w:rPr>
                <w:rFonts w:ascii="Times New Roman" w:cs="Times New Roman" w:eastAsia="Times New Roman" w:hAnsi="Times New Roman"/>
                <w:sz w:val="17"/>
                <w:szCs w:val="17"/>
                <w:color w:val="auto"/>
              </w:rPr>
              <w:t>732,000</w:t>
            </w:r>
          </w:p>
        </w:tc>
        <w:tc>
          <w:tcPr>
            <w:tcW w:w="1380" w:type="dxa"/>
            <w:vAlign w:val="bottom"/>
            <w:shd w:val="clear" w:color="auto" w:fill="D9D9D9"/>
          </w:tcPr>
          <w:p>
            <w:pPr>
              <w:jc w:val="right"/>
              <w:ind w:right="99"/>
              <w:spacing w:after="0"/>
              <w:rPr>
                <w:sz w:val="20"/>
                <w:szCs w:val="20"/>
                <w:color w:val="auto"/>
              </w:rPr>
            </w:pPr>
            <w:r>
              <w:rPr>
                <w:rFonts w:ascii="Times New Roman" w:cs="Times New Roman" w:eastAsia="Times New Roman" w:hAnsi="Times New Roman"/>
                <w:sz w:val="17"/>
                <w:szCs w:val="17"/>
                <w:color w:val="auto"/>
              </w:rPr>
              <w:t>592,897</w:t>
            </w:r>
          </w:p>
        </w:tc>
        <w:tc>
          <w:tcPr>
            <w:tcW w:w="1420" w:type="dxa"/>
            <w:vAlign w:val="bottom"/>
            <w:shd w:val="clear" w:color="auto" w:fill="D9D9D9"/>
          </w:tcPr>
          <w:p>
            <w:pPr>
              <w:jc w:val="right"/>
              <w:ind w:right="196"/>
              <w:spacing w:after="0"/>
              <w:rPr>
                <w:sz w:val="20"/>
                <w:szCs w:val="20"/>
                <w:color w:val="auto"/>
              </w:rPr>
            </w:pPr>
            <w:r>
              <w:rPr>
                <w:rFonts w:ascii="Times New Roman" w:cs="Times New Roman" w:eastAsia="Times New Roman" w:hAnsi="Times New Roman"/>
                <w:sz w:val="17"/>
                <w:szCs w:val="17"/>
                <w:color w:val="auto"/>
              </w:rPr>
              <w:t>4,950</w:t>
            </w:r>
          </w:p>
        </w:tc>
        <w:tc>
          <w:tcPr>
            <w:tcW w:w="124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rPr>
              <w:t>3,189,876</w:t>
            </w:r>
          </w:p>
        </w:tc>
        <w:tc>
          <w:tcPr>
            <w:tcW w:w="0" w:type="dxa"/>
            <w:vAlign w:val="bottom"/>
          </w:tcPr>
          <w:p>
            <w:pPr>
              <w:spacing w:after="0"/>
              <w:rPr>
                <w:sz w:val="1"/>
                <w:szCs w:val="1"/>
                <w:color w:val="auto"/>
              </w:rPr>
            </w:pPr>
          </w:p>
        </w:tc>
      </w:tr>
      <w:tr>
        <w:trPr>
          <w:trHeight w:val="245"/>
        </w:trPr>
        <w:tc>
          <w:tcPr>
            <w:tcW w:w="2940" w:type="dxa"/>
            <w:vAlign w:val="bottom"/>
            <w:tcBorders>
              <w:left w:val="single" w:sz="8" w:color="auto"/>
              <w:bottom w:val="single" w:sz="8" w:color="auto"/>
            </w:tcBorders>
            <w:shd w:val="clear" w:color="auto" w:fill="D9D9D9"/>
          </w:tcPr>
          <w:p>
            <w:pPr>
              <w:spacing w:after="0"/>
              <w:rPr>
                <w:sz w:val="21"/>
                <w:szCs w:val="21"/>
                <w:color w:val="auto"/>
              </w:rPr>
            </w:pPr>
          </w:p>
        </w:tc>
        <w:tc>
          <w:tcPr>
            <w:tcW w:w="680" w:type="dxa"/>
            <w:vAlign w:val="bottom"/>
            <w:tcBorders>
              <w:bottom w:val="single" w:sz="8" w:color="auto"/>
            </w:tcBorders>
            <w:shd w:val="clear" w:color="auto" w:fill="D9D9D9"/>
          </w:tcPr>
          <w:p>
            <w:pPr>
              <w:spacing w:after="0"/>
              <w:rPr>
                <w:sz w:val="21"/>
                <w:szCs w:val="21"/>
                <w:color w:val="auto"/>
              </w:rPr>
            </w:pPr>
          </w:p>
        </w:tc>
        <w:tc>
          <w:tcPr>
            <w:tcW w:w="1120" w:type="dxa"/>
            <w:vAlign w:val="bottom"/>
            <w:tcBorders>
              <w:bottom w:val="single" w:sz="8" w:color="auto"/>
            </w:tcBorders>
            <w:shd w:val="clear" w:color="auto" w:fill="D9D9D9"/>
          </w:tcPr>
          <w:p>
            <w:pPr>
              <w:spacing w:after="0"/>
              <w:rPr>
                <w:sz w:val="21"/>
                <w:szCs w:val="21"/>
                <w:color w:val="auto"/>
              </w:rPr>
            </w:pPr>
          </w:p>
        </w:tc>
        <w:tc>
          <w:tcPr>
            <w:tcW w:w="1260" w:type="dxa"/>
            <w:vAlign w:val="bottom"/>
            <w:tcBorders>
              <w:bottom w:val="single" w:sz="8" w:color="auto"/>
            </w:tcBorders>
            <w:shd w:val="clear" w:color="auto" w:fill="D9D9D9"/>
          </w:tcPr>
          <w:p>
            <w:pPr>
              <w:spacing w:after="0"/>
              <w:rPr>
                <w:sz w:val="21"/>
                <w:szCs w:val="21"/>
                <w:color w:val="auto"/>
              </w:rPr>
            </w:pPr>
          </w:p>
        </w:tc>
        <w:tc>
          <w:tcPr>
            <w:tcW w:w="1200" w:type="dxa"/>
            <w:vAlign w:val="bottom"/>
            <w:tcBorders>
              <w:bottom w:val="single" w:sz="8" w:color="auto"/>
            </w:tcBorders>
            <w:shd w:val="clear" w:color="auto" w:fill="D9D9D9"/>
          </w:tcPr>
          <w:p>
            <w:pPr>
              <w:spacing w:after="0"/>
              <w:rPr>
                <w:sz w:val="21"/>
                <w:szCs w:val="21"/>
                <w:color w:val="auto"/>
              </w:rPr>
            </w:pPr>
          </w:p>
        </w:tc>
        <w:tc>
          <w:tcPr>
            <w:tcW w:w="1380" w:type="dxa"/>
            <w:vAlign w:val="bottom"/>
            <w:tcBorders>
              <w:bottom w:val="single" w:sz="8" w:color="auto"/>
            </w:tcBorders>
            <w:shd w:val="clear" w:color="auto" w:fill="D9D9D9"/>
          </w:tcPr>
          <w:p>
            <w:pPr>
              <w:spacing w:after="0"/>
              <w:rPr>
                <w:sz w:val="21"/>
                <w:szCs w:val="21"/>
                <w:color w:val="auto"/>
              </w:rPr>
            </w:pPr>
          </w:p>
        </w:tc>
        <w:tc>
          <w:tcPr>
            <w:tcW w:w="1420" w:type="dxa"/>
            <w:vAlign w:val="bottom"/>
            <w:tcBorders>
              <w:bottom w:val="single" w:sz="8" w:color="auto"/>
            </w:tcBorders>
            <w:shd w:val="clear" w:color="auto" w:fill="D9D9D9"/>
          </w:tcPr>
          <w:p>
            <w:pPr>
              <w:spacing w:after="0"/>
              <w:rPr>
                <w:sz w:val="21"/>
                <w:szCs w:val="21"/>
                <w:color w:val="auto"/>
              </w:rPr>
            </w:pPr>
          </w:p>
        </w:tc>
        <w:tc>
          <w:tcPr>
            <w:tcW w:w="1240" w:type="dxa"/>
            <w:vAlign w:val="bottom"/>
            <w:tcBorders>
              <w:bottom w:val="single" w:sz="8" w:color="auto"/>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940" w:type="dxa"/>
            <w:vAlign w:val="bottom"/>
            <w:tcBorders>
              <w:left w:val="single" w:sz="8" w:color="auto"/>
            </w:tcBorders>
          </w:tcPr>
          <w:p>
            <w:pPr>
              <w:ind w:left="120"/>
              <w:spacing w:after="0" w:line="174" w:lineRule="exact"/>
              <w:rPr>
                <w:sz w:val="20"/>
                <w:szCs w:val="20"/>
                <w:color w:val="auto"/>
              </w:rPr>
            </w:pPr>
            <w:r>
              <w:rPr>
                <w:rFonts w:ascii="Times New Roman" w:cs="Times New Roman" w:eastAsia="Times New Roman" w:hAnsi="Times New Roman"/>
                <w:sz w:val="17"/>
                <w:szCs w:val="17"/>
                <w:color w:val="auto"/>
              </w:rPr>
              <w:t>Gerard Gifford</w:t>
            </w:r>
          </w:p>
        </w:tc>
        <w:tc>
          <w:tcPr>
            <w:tcW w:w="680" w:type="dxa"/>
            <w:vAlign w:val="bottom"/>
          </w:tcPr>
          <w:p>
            <w:pPr>
              <w:ind w:left="100"/>
              <w:spacing w:after="0" w:line="174" w:lineRule="exact"/>
              <w:rPr>
                <w:sz w:val="20"/>
                <w:szCs w:val="20"/>
                <w:color w:val="auto"/>
              </w:rPr>
            </w:pPr>
            <w:r>
              <w:rPr>
                <w:rFonts w:ascii="Times New Roman" w:cs="Times New Roman" w:eastAsia="Times New Roman" w:hAnsi="Times New Roman"/>
                <w:sz w:val="17"/>
                <w:szCs w:val="17"/>
                <w:color w:val="auto"/>
              </w:rPr>
              <w:t>2025</w:t>
            </w:r>
          </w:p>
        </w:tc>
        <w:tc>
          <w:tcPr>
            <w:tcW w:w="1120" w:type="dxa"/>
            <w:vAlign w:val="bottom"/>
          </w:tcPr>
          <w:p>
            <w:pPr>
              <w:jc w:val="right"/>
              <w:ind w:right="15"/>
              <w:spacing w:after="0" w:line="174" w:lineRule="exact"/>
              <w:rPr>
                <w:sz w:val="20"/>
                <w:szCs w:val="20"/>
                <w:color w:val="auto"/>
              </w:rPr>
            </w:pPr>
            <w:r>
              <w:rPr>
                <w:rFonts w:ascii="Times New Roman" w:cs="Times New Roman" w:eastAsia="Times New Roman" w:hAnsi="Times New Roman"/>
                <w:sz w:val="17"/>
                <w:szCs w:val="17"/>
                <w:color w:val="auto"/>
              </w:rPr>
              <w:t>972,000</w:t>
            </w:r>
          </w:p>
        </w:tc>
        <w:tc>
          <w:tcPr>
            <w:tcW w:w="1260" w:type="dxa"/>
            <w:vAlign w:val="bottom"/>
          </w:tcPr>
          <w:p>
            <w:pPr>
              <w:jc w:val="right"/>
              <w:ind w:right="56"/>
              <w:spacing w:after="0" w:line="174" w:lineRule="exact"/>
              <w:rPr>
                <w:sz w:val="20"/>
                <w:szCs w:val="20"/>
                <w:color w:val="auto"/>
              </w:rPr>
            </w:pPr>
            <w:r>
              <w:rPr>
                <w:rFonts w:ascii="Times New Roman" w:cs="Times New Roman" w:eastAsia="Times New Roman" w:hAnsi="Times New Roman"/>
                <w:sz w:val="17"/>
                <w:szCs w:val="17"/>
                <w:color w:val="auto"/>
              </w:rPr>
              <w:t>3,353,379</w:t>
            </w:r>
          </w:p>
        </w:tc>
        <w:tc>
          <w:tcPr>
            <w:tcW w:w="1200" w:type="dxa"/>
            <w:vAlign w:val="bottom"/>
          </w:tcPr>
          <w:p>
            <w:pPr>
              <w:jc w:val="right"/>
              <w:ind w:right="17"/>
              <w:spacing w:after="0" w:line="174" w:lineRule="exact"/>
              <w:rPr>
                <w:sz w:val="20"/>
                <w:szCs w:val="20"/>
                <w:color w:val="auto"/>
              </w:rPr>
            </w:pPr>
            <w:r>
              <w:rPr>
                <w:rFonts w:ascii="Times New Roman" w:cs="Times New Roman" w:eastAsia="Times New Roman" w:hAnsi="Times New Roman"/>
                <w:sz w:val="17"/>
                <w:szCs w:val="17"/>
                <w:color w:val="auto"/>
              </w:rPr>
              <w:t>2,138,400</w:t>
            </w:r>
          </w:p>
        </w:tc>
        <w:tc>
          <w:tcPr>
            <w:tcW w:w="1380" w:type="dxa"/>
            <w:vAlign w:val="bottom"/>
          </w:tcPr>
          <w:p>
            <w:pPr>
              <w:jc w:val="right"/>
              <w:ind w:right="99"/>
              <w:spacing w:after="0" w:line="174" w:lineRule="exact"/>
              <w:rPr>
                <w:sz w:val="20"/>
                <w:szCs w:val="20"/>
                <w:color w:val="auto"/>
              </w:rPr>
            </w:pPr>
            <w:r>
              <w:rPr>
                <w:rFonts w:ascii="Times New Roman" w:cs="Times New Roman" w:eastAsia="Times New Roman" w:hAnsi="Times New Roman"/>
                <w:sz w:val="17"/>
                <w:szCs w:val="17"/>
                <w:color w:val="auto"/>
              </w:rPr>
              <w:t>0</w:t>
            </w:r>
          </w:p>
        </w:tc>
        <w:tc>
          <w:tcPr>
            <w:tcW w:w="1420" w:type="dxa"/>
            <w:vAlign w:val="bottom"/>
          </w:tcPr>
          <w:p>
            <w:pPr>
              <w:jc w:val="right"/>
              <w:ind w:right="196"/>
              <w:spacing w:after="0" w:line="174" w:lineRule="exact"/>
              <w:rPr>
                <w:sz w:val="20"/>
                <w:szCs w:val="20"/>
                <w:color w:val="auto"/>
              </w:rPr>
            </w:pPr>
            <w:r>
              <w:rPr>
                <w:rFonts w:ascii="Times New Roman" w:cs="Times New Roman" w:eastAsia="Times New Roman" w:hAnsi="Times New Roman"/>
                <w:sz w:val="17"/>
                <w:szCs w:val="17"/>
                <w:color w:val="auto"/>
              </w:rPr>
              <w:t>124,261</w:t>
            </w:r>
          </w:p>
        </w:tc>
        <w:tc>
          <w:tcPr>
            <w:tcW w:w="124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6,588,040</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Executive Vice President and Chief</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2024</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930,000</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3,208,511</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2,046,000</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42,598</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6,227,109</w:t>
            </w:r>
          </w:p>
        </w:tc>
        <w:tc>
          <w:tcPr>
            <w:tcW w:w="0" w:type="dxa"/>
            <w:vAlign w:val="bottom"/>
          </w:tcPr>
          <w:p>
            <w:pPr>
              <w:spacing w:after="0"/>
              <w:rPr>
                <w:sz w:val="1"/>
                <w:szCs w:val="1"/>
                <w:color w:val="auto"/>
              </w:rPr>
            </w:pPr>
          </w:p>
        </w:tc>
      </w:tr>
      <w:tr>
        <w:trPr>
          <w:trHeight w:val="222"/>
        </w:trPr>
        <w:tc>
          <w:tcPr>
            <w:tcW w:w="2940" w:type="dxa"/>
            <w:vAlign w:val="bottom"/>
            <w:tcBorders>
              <w:left w:val="single" w:sz="8" w:color="auto"/>
            </w:tcBorders>
          </w:tcPr>
          <w:p>
            <w:pPr>
              <w:ind w:left="160"/>
              <w:spacing w:after="0"/>
              <w:rPr>
                <w:sz w:val="20"/>
                <w:szCs w:val="20"/>
                <w:color w:val="auto"/>
              </w:rPr>
            </w:pPr>
            <w:r>
              <w:rPr>
                <w:rFonts w:ascii="Times New Roman" w:cs="Times New Roman" w:eastAsia="Times New Roman" w:hAnsi="Times New Roman"/>
                <w:sz w:val="17"/>
                <w:szCs w:val="17"/>
                <w:color w:val="auto"/>
              </w:rPr>
              <w:t>Administrative Officer</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875,000</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3,018,757</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1,401,094</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5,223</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5,300,074</w:t>
            </w:r>
          </w:p>
        </w:tc>
        <w:tc>
          <w:tcPr>
            <w:tcW w:w="0" w:type="dxa"/>
            <w:vAlign w:val="bottom"/>
          </w:tcPr>
          <w:p>
            <w:pPr>
              <w:spacing w:after="0"/>
              <w:rPr>
                <w:sz w:val="1"/>
                <w:szCs w:val="1"/>
                <w:color w:val="auto"/>
              </w:rPr>
            </w:pPr>
          </w:p>
        </w:tc>
      </w:tr>
      <w:tr>
        <w:trPr>
          <w:trHeight w:val="245"/>
        </w:trPr>
        <w:tc>
          <w:tcPr>
            <w:tcW w:w="294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940" w:type="dxa"/>
            <w:vAlign w:val="bottom"/>
            <w:tcBorders>
              <w:left w:val="single" w:sz="8" w:color="auto"/>
            </w:tcBorders>
            <w:shd w:val="clear" w:color="auto" w:fill="D9D9D9"/>
          </w:tcPr>
          <w:p>
            <w:pPr>
              <w:ind w:left="120"/>
              <w:spacing w:after="0" w:line="174" w:lineRule="exact"/>
              <w:rPr>
                <w:sz w:val="20"/>
                <w:szCs w:val="20"/>
                <w:color w:val="auto"/>
              </w:rPr>
            </w:pPr>
            <w:r>
              <w:rPr>
                <w:rFonts w:ascii="Times New Roman" w:cs="Times New Roman" w:eastAsia="Times New Roman" w:hAnsi="Times New Roman"/>
                <w:sz w:val="17"/>
                <w:szCs w:val="17"/>
                <w:color w:val="auto"/>
              </w:rPr>
              <w:t>Djalma Novaes</w:t>
            </w:r>
          </w:p>
        </w:tc>
        <w:tc>
          <w:tcPr>
            <w:tcW w:w="680" w:type="dxa"/>
            <w:vAlign w:val="bottom"/>
            <w:shd w:val="clear" w:color="auto" w:fill="D9D9D9"/>
          </w:tcPr>
          <w:p>
            <w:pPr>
              <w:ind w:left="100"/>
              <w:spacing w:after="0" w:line="174" w:lineRule="exact"/>
              <w:rPr>
                <w:sz w:val="20"/>
                <w:szCs w:val="20"/>
                <w:color w:val="auto"/>
              </w:rPr>
            </w:pPr>
            <w:r>
              <w:rPr>
                <w:rFonts w:ascii="Times New Roman" w:cs="Times New Roman" w:eastAsia="Times New Roman" w:hAnsi="Times New Roman"/>
                <w:sz w:val="17"/>
                <w:szCs w:val="17"/>
                <w:color w:val="auto"/>
              </w:rPr>
              <w:t>2025</w:t>
            </w:r>
          </w:p>
        </w:tc>
        <w:tc>
          <w:tcPr>
            <w:tcW w:w="1120" w:type="dxa"/>
            <w:vAlign w:val="bottom"/>
            <w:shd w:val="clear" w:color="auto" w:fill="D9D9D9"/>
          </w:tcPr>
          <w:p>
            <w:pPr>
              <w:jc w:val="right"/>
              <w:ind w:right="15"/>
              <w:spacing w:after="0" w:line="174" w:lineRule="exact"/>
              <w:rPr>
                <w:sz w:val="20"/>
                <w:szCs w:val="20"/>
                <w:color w:val="auto"/>
              </w:rPr>
            </w:pPr>
            <w:r>
              <w:rPr>
                <w:rFonts w:ascii="Times New Roman" w:cs="Times New Roman" w:eastAsia="Times New Roman" w:hAnsi="Times New Roman"/>
                <w:sz w:val="17"/>
                <w:szCs w:val="17"/>
                <w:color w:val="auto"/>
              </w:rPr>
              <w:t>780,000</w:t>
            </w:r>
          </w:p>
        </w:tc>
        <w:tc>
          <w:tcPr>
            <w:tcW w:w="1260" w:type="dxa"/>
            <w:vAlign w:val="bottom"/>
            <w:shd w:val="clear" w:color="auto" w:fill="D9D9D9"/>
          </w:tcPr>
          <w:p>
            <w:pPr>
              <w:jc w:val="right"/>
              <w:ind w:right="56"/>
              <w:spacing w:after="0" w:line="174" w:lineRule="exact"/>
              <w:rPr>
                <w:sz w:val="20"/>
                <w:szCs w:val="20"/>
                <w:color w:val="auto"/>
              </w:rPr>
            </w:pPr>
            <w:r>
              <w:rPr>
                <w:rFonts w:ascii="Times New Roman" w:cs="Times New Roman" w:eastAsia="Times New Roman" w:hAnsi="Times New Roman"/>
                <w:sz w:val="17"/>
                <w:szCs w:val="17"/>
                <w:color w:val="auto"/>
              </w:rPr>
              <w:t>1,760,061</w:t>
            </w:r>
          </w:p>
        </w:tc>
        <w:tc>
          <w:tcPr>
            <w:tcW w:w="1200" w:type="dxa"/>
            <w:vAlign w:val="bottom"/>
            <w:shd w:val="clear" w:color="auto" w:fill="D9D9D9"/>
          </w:tcPr>
          <w:p>
            <w:pPr>
              <w:jc w:val="right"/>
              <w:ind w:right="17"/>
              <w:spacing w:after="0" w:line="174" w:lineRule="exact"/>
              <w:rPr>
                <w:sz w:val="20"/>
                <w:szCs w:val="20"/>
                <w:color w:val="auto"/>
              </w:rPr>
            </w:pPr>
            <w:r>
              <w:rPr>
                <w:rFonts w:ascii="Times New Roman" w:cs="Times New Roman" w:eastAsia="Times New Roman" w:hAnsi="Times New Roman"/>
                <w:sz w:val="17"/>
                <w:szCs w:val="17"/>
                <w:color w:val="auto"/>
              </w:rPr>
              <w:t>1,408,000</w:t>
            </w:r>
          </w:p>
        </w:tc>
        <w:tc>
          <w:tcPr>
            <w:tcW w:w="1380" w:type="dxa"/>
            <w:vAlign w:val="bottom"/>
            <w:shd w:val="clear" w:color="auto" w:fill="D9D9D9"/>
          </w:tcPr>
          <w:p>
            <w:pPr>
              <w:jc w:val="right"/>
              <w:ind w:right="99"/>
              <w:spacing w:after="0" w:line="174" w:lineRule="exact"/>
              <w:rPr>
                <w:sz w:val="20"/>
                <w:szCs w:val="20"/>
                <w:color w:val="auto"/>
              </w:rPr>
            </w:pPr>
            <w:r>
              <w:rPr>
                <w:rFonts w:ascii="Times New Roman" w:cs="Times New Roman" w:eastAsia="Times New Roman" w:hAnsi="Times New Roman"/>
                <w:sz w:val="17"/>
                <w:szCs w:val="17"/>
                <w:color w:val="auto"/>
              </w:rPr>
              <w:t>863,936</w:t>
            </w:r>
          </w:p>
        </w:tc>
        <w:tc>
          <w:tcPr>
            <w:tcW w:w="1420" w:type="dxa"/>
            <w:vAlign w:val="bottom"/>
            <w:shd w:val="clear" w:color="auto" w:fill="D9D9D9"/>
          </w:tcPr>
          <w:p>
            <w:pPr>
              <w:jc w:val="right"/>
              <w:ind w:right="196"/>
              <w:spacing w:after="0" w:line="174" w:lineRule="exact"/>
              <w:rPr>
                <w:sz w:val="20"/>
                <w:szCs w:val="20"/>
                <w:color w:val="auto"/>
              </w:rPr>
            </w:pPr>
            <w:r>
              <w:rPr>
                <w:rFonts w:ascii="Times New Roman" w:cs="Times New Roman" w:eastAsia="Times New Roman" w:hAnsi="Times New Roman"/>
                <w:sz w:val="17"/>
                <w:szCs w:val="17"/>
                <w:color w:val="auto"/>
              </w:rPr>
              <w:t>19,299</w:t>
            </w:r>
          </w:p>
        </w:tc>
        <w:tc>
          <w:tcPr>
            <w:tcW w:w="1240" w:type="dxa"/>
            <w:vAlign w:val="bottom"/>
            <w:tcBorders>
              <w:right w:val="single" w:sz="8" w:color="auto"/>
            </w:tcBorders>
            <w:shd w:val="clear" w:color="auto" w:fill="D9D9D9"/>
          </w:tcPr>
          <w:p>
            <w:pPr>
              <w:jc w:val="right"/>
              <w:spacing w:after="0" w:line="174" w:lineRule="exact"/>
              <w:rPr>
                <w:sz w:val="20"/>
                <w:szCs w:val="20"/>
                <w:color w:val="auto"/>
              </w:rPr>
            </w:pPr>
            <w:r>
              <w:rPr>
                <w:rFonts w:ascii="Times New Roman" w:cs="Times New Roman" w:eastAsia="Times New Roman" w:hAnsi="Times New Roman"/>
                <w:sz w:val="17"/>
                <w:szCs w:val="17"/>
                <w:color w:val="auto"/>
              </w:rPr>
              <w:t>4,831,296</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shd w:val="clear" w:color="auto" w:fill="D9D9D9"/>
          </w:tcPr>
          <w:p>
            <w:pPr>
              <w:ind w:left="160"/>
              <w:spacing w:after="0"/>
              <w:rPr>
                <w:sz w:val="20"/>
                <w:szCs w:val="20"/>
                <w:color w:val="auto"/>
              </w:rPr>
            </w:pPr>
            <w:r>
              <w:rPr>
                <w:rFonts w:ascii="Times New Roman" w:cs="Times New Roman" w:eastAsia="Times New Roman" w:hAnsi="Times New Roman"/>
                <w:sz w:val="17"/>
                <w:szCs w:val="17"/>
                <w:color w:val="auto"/>
              </w:rPr>
              <w:t>Executive Vice President and Chief</w:t>
            </w:r>
          </w:p>
        </w:tc>
        <w:tc>
          <w:tcPr>
            <w:tcW w:w="6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7"/>
                <w:szCs w:val="17"/>
                <w:color w:val="auto"/>
              </w:rPr>
              <w:t>2024</w:t>
            </w:r>
          </w:p>
        </w:tc>
        <w:tc>
          <w:tcPr>
            <w:tcW w:w="1120" w:type="dxa"/>
            <w:vAlign w:val="bottom"/>
            <w:shd w:val="clear" w:color="auto" w:fill="D9D9D9"/>
          </w:tcPr>
          <w:p>
            <w:pPr>
              <w:jc w:val="right"/>
              <w:ind w:right="15"/>
              <w:spacing w:after="0"/>
              <w:rPr>
                <w:sz w:val="20"/>
                <w:szCs w:val="20"/>
                <w:color w:val="auto"/>
              </w:rPr>
            </w:pPr>
            <w:r>
              <w:rPr>
                <w:rFonts w:ascii="Times New Roman" w:cs="Times New Roman" w:eastAsia="Times New Roman" w:hAnsi="Times New Roman"/>
                <w:sz w:val="17"/>
                <w:szCs w:val="17"/>
                <w:color w:val="auto"/>
              </w:rPr>
              <w:t>725,000</w:t>
            </w:r>
          </w:p>
        </w:tc>
        <w:tc>
          <w:tcPr>
            <w:tcW w:w="1260" w:type="dxa"/>
            <w:vAlign w:val="bottom"/>
            <w:shd w:val="clear" w:color="auto" w:fill="D9D9D9"/>
          </w:tcPr>
          <w:p>
            <w:pPr>
              <w:jc w:val="right"/>
              <w:ind w:right="56"/>
              <w:spacing w:after="0"/>
              <w:rPr>
                <w:sz w:val="20"/>
                <w:szCs w:val="20"/>
                <w:color w:val="auto"/>
              </w:rPr>
            </w:pPr>
            <w:r>
              <w:rPr>
                <w:rFonts w:ascii="Times New Roman" w:cs="Times New Roman" w:eastAsia="Times New Roman" w:hAnsi="Times New Roman"/>
                <w:sz w:val="17"/>
                <w:szCs w:val="17"/>
                <w:color w:val="auto"/>
              </w:rPr>
              <w:t>1,449,949</w:t>
            </w:r>
          </w:p>
        </w:tc>
        <w:tc>
          <w:tcPr>
            <w:tcW w:w="1200" w:type="dxa"/>
            <w:vAlign w:val="bottom"/>
            <w:shd w:val="clear" w:color="auto" w:fill="D9D9D9"/>
          </w:tcPr>
          <w:p>
            <w:pPr>
              <w:jc w:val="right"/>
              <w:ind w:right="17"/>
              <w:spacing w:after="0"/>
              <w:rPr>
                <w:sz w:val="20"/>
                <w:szCs w:val="20"/>
                <w:color w:val="auto"/>
              </w:rPr>
            </w:pPr>
            <w:r>
              <w:rPr>
                <w:rFonts w:ascii="Times New Roman" w:cs="Times New Roman" w:eastAsia="Times New Roman" w:hAnsi="Times New Roman"/>
                <w:sz w:val="17"/>
                <w:szCs w:val="17"/>
                <w:color w:val="auto"/>
              </w:rPr>
              <w:t>1,160,000</w:t>
            </w:r>
          </w:p>
        </w:tc>
        <w:tc>
          <w:tcPr>
            <w:tcW w:w="1380" w:type="dxa"/>
            <w:vAlign w:val="bottom"/>
            <w:shd w:val="clear" w:color="auto" w:fill="D9D9D9"/>
          </w:tcPr>
          <w:p>
            <w:pPr>
              <w:jc w:val="right"/>
              <w:ind w:right="99"/>
              <w:spacing w:after="0"/>
              <w:rPr>
                <w:sz w:val="20"/>
                <w:szCs w:val="20"/>
                <w:color w:val="auto"/>
              </w:rPr>
            </w:pPr>
            <w:r>
              <w:rPr>
                <w:rFonts w:ascii="Times New Roman" w:cs="Times New Roman" w:eastAsia="Times New Roman" w:hAnsi="Times New Roman"/>
                <w:sz w:val="17"/>
                <w:szCs w:val="17"/>
                <w:color w:val="auto"/>
              </w:rPr>
              <w:t>319,008</w:t>
            </w:r>
          </w:p>
        </w:tc>
        <w:tc>
          <w:tcPr>
            <w:tcW w:w="1420" w:type="dxa"/>
            <w:vAlign w:val="bottom"/>
            <w:shd w:val="clear" w:color="auto" w:fill="D9D9D9"/>
          </w:tcPr>
          <w:p>
            <w:pPr>
              <w:jc w:val="right"/>
              <w:ind w:right="196"/>
              <w:spacing w:after="0"/>
              <w:rPr>
                <w:sz w:val="20"/>
                <w:szCs w:val="20"/>
                <w:color w:val="auto"/>
              </w:rPr>
            </w:pPr>
            <w:r>
              <w:rPr>
                <w:rFonts w:ascii="Times New Roman" w:cs="Times New Roman" w:eastAsia="Times New Roman" w:hAnsi="Times New Roman"/>
                <w:sz w:val="17"/>
                <w:szCs w:val="17"/>
                <w:color w:val="auto"/>
              </w:rPr>
              <w:t>26,842</w:t>
            </w:r>
          </w:p>
        </w:tc>
        <w:tc>
          <w:tcPr>
            <w:tcW w:w="124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rPr>
              <w:t>3,680,799</w:t>
            </w:r>
          </w:p>
        </w:tc>
        <w:tc>
          <w:tcPr>
            <w:tcW w:w="0" w:type="dxa"/>
            <w:vAlign w:val="bottom"/>
          </w:tcPr>
          <w:p>
            <w:pPr>
              <w:spacing w:after="0"/>
              <w:rPr>
                <w:sz w:val="1"/>
                <w:szCs w:val="1"/>
                <w:color w:val="auto"/>
              </w:rPr>
            </w:pPr>
          </w:p>
        </w:tc>
      </w:tr>
      <w:tr>
        <w:trPr>
          <w:trHeight w:val="222"/>
        </w:trPr>
        <w:tc>
          <w:tcPr>
            <w:tcW w:w="2940" w:type="dxa"/>
            <w:vAlign w:val="bottom"/>
            <w:tcBorders>
              <w:left w:val="single" w:sz="8" w:color="auto"/>
            </w:tcBorders>
            <w:shd w:val="clear" w:color="auto" w:fill="D9D9D9"/>
          </w:tcPr>
          <w:p>
            <w:pPr>
              <w:ind w:left="160"/>
              <w:spacing w:after="0"/>
              <w:rPr>
                <w:sz w:val="20"/>
                <w:szCs w:val="20"/>
                <w:color w:val="auto"/>
              </w:rPr>
            </w:pPr>
            <w:r>
              <w:rPr>
                <w:rFonts w:ascii="Times New Roman" w:cs="Times New Roman" w:eastAsia="Times New Roman" w:hAnsi="Times New Roman"/>
                <w:sz w:val="17"/>
                <w:szCs w:val="17"/>
                <w:color w:val="auto"/>
              </w:rPr>
              <w:t>Operating Officer</w:t>
            </w:r>
          </w:p>
        </w:tc>
        <w:tc>
          <w:tcPr>
            <w:tcW w:w="68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17"/>
                <w:szCs w:val="17"/>
                <w:color w:val="auto"/>
              </w:rPr>
              <w:t>2023</w:t>
            </w:r>
          </w:p>
        </w:tc>
        <w:tc>
          <w:tcPr>
            <w:tcW w:w="1120" w:type="dxa"/>
            <w:vAlign w:val="bottom"/>
            <w:shd w:val="clear" w:color="auto" w:fill="D9D9D9"/>
          </w:tcPr>
          <w:p>
            <w:pPr>
              <w:jc w:val="right"/>
              <w:ind w:right="15"/>
              <w:spacing w:after="0"/>
              <w:rPr>
                <w:sz w:val="20"/>
                <w:szCs w:val="20"/>
                <w:color w:val="auto"/>
              </w:rPr>
            </w:pPr>
            <w:r>
              <w:rPr>
                <w:rFonts w:ascii="Times New Roman" w:cs="Times New Roman" w:eastAsia="Times New Roman" w:hAnsi="Times New Roman"/>
                <w:sz w:val="17"/>
                <w:szCs w:val="17"/>
                <w:color w:val="auto"/>
              </w:rPr>
              <w:t>680,000</w:t>
            </w:r>
          </w:p>
        </w:tc>
        <w:tc>
          <w:tcPr>
            <w:tcW w:w="1260" w:type="dxa"/>
            <w:vAlign w:val="bottom"/>
            <w:shd w:val="clear" w:color="auto" w:fill="D9D9D9"/>
          </w:tcPr>
          <w:p>
            <w:pPr>
              <w:jc w:val="right"/>
              <w:ind w:right="56"/>
              <w:spacing w:after="0"/>
              <w:rPr>
                <w:sz w:val="20"/>
                <w:szCs w:val="20"/>
                <w:color w:val="auto"/>
              </w:rPr>
            </w:pPr>
            <w:r>
              <w:rPr>
                <w:rFonts w:ascii="Times New Roman" w:cs="Times New Roman" w:eastAsia="Times New Roman" w:hAnsi="Times New Roman"/>
                <w:sz w:val="17"/>
                <w:szCs w:val="17"/>
                <w:color w:val="auto"/>
              </w:rPr>
              <w:t>1,224,028</w:t>
            </w:r>
          </w:p>
        </w:tc>
        <w:tc>
          <w:tcPr>
            <w:tcW w:w="1200" w:type="dxa"/>
            <w:vAlign w:val="bottom"/>
            <w:shd w:val="clear" w:color="auto" w:fill="D9D9D9"/>
          </w:tcPr>
          <w:p>
            <w:pPr>
              <w:jc w:val="right"/>
              <w:ind w:right="17"/>
              <w:spacing w:after="0"/>
              <w:rPr>
                <w:sz w:val="20"/>
                <w:szCs w:val="20"/>
                <w:color w:val="auto"/>
              </w:rPr>
            </w:pPr>
            <w:r>
              <w:rPr>
                <w:rFonts w:ascii="Times New Roman" w:cs="Times New Roman" w:eastAsia="Times New Roman" w:hAnsi="Times New Roman"/>
                <w:sz w:val="17"/>
                <w:szCs w:val="17"/>
                <w:color w:val="auto"/>
              </w:rPr>
              <w:t>680,544</w:t>
            </w:r>
          </w:p>
        </w:tc>
        <w:tc>
          <w:tcPr>
            <w:tcW w:w="1380" w:type="dxa"/>
            <w:vAlign w:val="bottom"/>
            <w:shd w:val="clear" w:color="auto" w:fill="D9D9D9"/>
          </w:tcPr>
          <w:p>
            <w:pPr>
              <w:jc w:val="right"/>
              <w:ind w:right="99"/>
              <w:spacing w:after="0"/>
              <w:rPr>
                <w:sz w:val="20"/>
                <w:szCs w:val="20"/>
                <w:color w:val="auto"/>
              </w:rPr>
            </w:pPr>
            <w:r>
              <w:rPr>
                <w:rFonts w:ascii="Times New Roman" w:cs="Times New Roman" w:eastAsia="Times New Roman" w:hAnsi="Times New Roman"/>
                <w:sz w:val="17"/>
                <w:szCs w:val="17"/>
                <w:color w:val="auto"/>
              </w:rPr>
              <w:t>0</w:t>
            </w:r>
          </w:p>
        </w:tc>
        <w:tc>
          <w:tcPr>
            <w:tcW w:w="1420" w:type="dxa"/>
            <w:vAlign w:val="bottom"/>
            <w:shd w:val="clear" w:color="auto" w:fill="D9D9D9"/>
          </w:tcPr>
          <w:p>
            <w:pPr>
              <w:jc w:val="right"/>
              <w:ind w:right="196"/>
              <w:spacing w:after="0"/>
              <w:rPr>
                <w:sz w:val="20"/>
                <w:szCs w:val="20"/>
                <w:color w:val="auto"/>
              </w:rPr>
            </w:pPr>
            <w:r>
              <w:rPr>
                <w:rFonts w:ascii="Times New Roman" w:cs="Times New Roman" w:eastAsia="Times New Roman" w:hAnsi="Times New Roman"/>
                <w:sz w:val="17"/>
                <w:szCs w:val="17"/>
                <w:color w:val="auto"/>
              </w:rPr>
              <w:t>8,250</w:t>
            </w:r>
          </w:p>
        </w:tc>
        <w:tc>
          <w:tcPr>
            <w:tcW w:w="1240" w:type="dxa"/>
            <w:vAlign w:val="bottom"/>
            <w:tcBorders>
              <w:right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17"/>
                <w:szCs w:val="17"/>
                <w:color w:val="auto"/>
              </w:rPr>
              <w:t>2,592,822</w:t>
            </w:r>
          </w:p>
        </w:tc>
        <w:tc>
          <w:tcPr>
            <w:tcW w:w="0" w:type="dxa"/>
            <w:vAlign w:val="bottom"/>
          </w:tcPr>
          <w:p>
            <w:pPr>
              <w:spacing w:after="0"/>
              <w:rPr>
                <w:sz w:val="1"/>
                <w:szCs w:val="1"/>
                <w:color w:val="auto"/>
              </w:rPr>
            </w:pPr>
          </w:p>
        </w:tc>
      </w:tr>
      <w:tr>
        <w:trPr>
          <w:trHeight w:val="245"/>
        </w:trPr>
        <w:tc>
          <w:tcPr>
            <w:tcW w:w="2940" w:type="dxa"/>
            <w:vAlign w:val="bottom"/>
            <w:tcBorders>
              <w:left w:val="single" w:sz="8" w:color="auto"/>
              <w:bottom w:val="single" w:sz="8" w:color="auto"/>
            </w:tcBorders>
            <w:shd w:val="clear" w:color="auto" w:fill="D9D9D9"/>
          </w:tcPr>
          <w:p>
            <w:pPr>
              <w:spacing w:after="0"/>
              <w:rPr>
                <w:sz w:val="21"/>
                <w:szCs w:val="21"/>
                <w:color w:val="auto"/>
              </w:rPr>
            </w:pPr>
          </w:p>
        </w:tc>
        <w:tc>
          <w:tcPr>
            <w:tcW w:w="680" w:type="dxa"/>
            <w:vAlign w:val="bottom"/>
            <w:tcBorders>
              <w:bottom w:val="single" w:sz="8" w:color="auto"/>
            </w:tcBorders>
            <w:shd w:val="clear" w:color="auto" w:fill="D9D9D9"/>
          </w:tcPr>
          <w:p>
            <w:pPr>
              <w:spacing w:after="0"/>
              <w:rPr>
                <w:sz w:val="21"/>
                <w:szCs w:val="21"/>
                <w:color w:val="auto"/>
              </w:rPr>
            </w:pPr>
          </w:p>
        </w:tc>
        <w:tc>
          <w:tcPr>
            <w:tcW w:w="1120" w:type="dxa"/>
            <w:vAlign w:val="bottom"/>
            <w:tcBorders>
              <w:bottom w:val="single" w:sz="8" w:color="auto"/>
            </w:tcBorders>
            <w:shd w:val="clear" w:color="auto" w:fill="D9D9D9"/>
          </w:tcPr>
          <w:p>
            <w:pPr>
              <w:spacing w:after="0"/>
              <w:rPr>
                <w:sz w:val="21"/>
                <w:szCs w:val="21"/>
                <w:color w:val="auto"/>
              </w:rPr>
            </w:pPr>
          </w:p>
        </w:tc>
        <w:tc>
          <w:tcPr>
            <w:tcW w:w="1260" w:type="dxa"/>
            <w:vAlign w:val="bottom"/>
            <w:tcBorders>
              <w:bottom w:val="single" w:sz="8" w:color="auto"/>
            </w:tcBorders>
            <w:shd w:val="clear" w:color="auto" w:fill="D9D9D9"/>
          </w:tcPr>
          <w:p>
            <w:pPr>
              <w:spacing w:after="0"/>
              <w:rPr>
                <w:sz w:val="21"/>
                <w:szCs w:val="21"/>
                <w:color w:val="auto"/>
              </w:rPr>
            </w:pPr>
          </w:p>
        </w:tc>
        <w:tc>
          <w:tcPr>
            <w:tcW w:w="1200" w:type="dxa"/>
            <w:vAlign w:val="bottom"/>
            <w:tcBorders>
              <w:bottom w:val="single" w:sz="8" w:color="auto"/>
            </w:tcBorders>
            <w:shd w:val="clear" w:color="auto" w:fill="D9D9D9"/>
          </w:tcPr>
          <w:p>
            <w:pPr>
              <w:spacing w:after="0"/>
              <w:rPr>
                <w:sz w:val="21"/>
                <w:szCs w:val="21"/>
                <w:color w:val="auto"/>
              </w:rPr>
            </w:pPr>
          </w:p>
        </w:tc>
        <w:tc>
          <w:tcPr>
            <w:tcW w:w="1380" w:type="dxa"/>
            <w:vAlign w:val="bottom"/>
            <w:tcBorders>
              <w:bottom w:val="single" w:sz="8" w:color="auto"/>
            </w:tcBorders>
            <w:shd w:val="clear" w:color="auto" w:fill="D9D9D9"/>
          </w:tcPr>
          <w:p>
            <w:pPr>
              <w:spacing w:after="0"/>
              <w:rPr>
                <w:sz w:val="21"/>
                <w:szCs w:val="21"/>
                <w:color w:val="auto"/>
              </w:rPr>
            </w:pPr>
          </w:p>
        </w:tc>
        <w:tc>
          <w:tcPr>
            <w:tcW w:w="1420" w:type="dxa"/>
            <w:vAlign w:val="bottom"/>
            <w:tcBorders>
              <w:bottom w:val="single" w:sz="8" w:color="auto"/>
            </w:tcBorders>
            <w:shd w:val="clear" w:color="auto" w:fill="D9D9D9"/>
          </w:tcPr>
          <w:p>
            <w:pPr>
              <w:spacing w:after="0"/>
              <w:rPr>
                <w:sz w:val="21"/>
                <w:szCs w:val="21"/>
                <w:color w:val="auto"/>
              </w:rPr>
            </w:pPr>
          </w:p>
        </w:tc>
        <w:tc>
          <w:tcPr>
            <w:tcW w:w="1240" w:type="dxa"/>
            <w:vAlign w:val="bottom"/>
            <w:tcBorders>
              <w:bottom w:val="single" w:sz="8" w:color="auto"/>
              <w:right w:val="single" w:sz="8" w:color="auto"/>
            </w:tcBorders>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940" w:type="dxa"/>
            <w:vAlign w:val="bottom"/>
            <w:tcBorders>
              <w:left w:val="single" w:sz="8" w:color="auto"/>
            </w:tcBorders>
          </w:tcPr>
          <w:p>
            <w:pPr>
              <w:ind w:left="120"/>
              <w:spacing w:after="0" w:line="174" w:lineRule="exact"/>
              <w:rPr>
                <w:sz w:val="20"/>
                <w:szCs w:val="20"/>
                <w:color w:val="auto"/>
              </w:rPr>
            </w:pPr>
            <w:r>
              <w:rPr>
                <w:rFonts w:ascii="Times New Roman" w:cs="Times New Roman" w:eastAsia="Times New Roman" w:hAnsi="Times New Roman"/>
                <w:sz w:val="17"/>
                <w:szCs w:val="17"/>
                <w:color w:val="auto"/>
              </w:rPr>
              <w:t>Adam Dickstein (4)</w:t>
            </w:r>
          </w:p>
        </w:tc>
        <w:tc>
          <w:tcPr>
            <w:tcW w:w="680" w:type="dxa"/>
            <w:vAlign w:val="bottom"/>
          </w:tcPr>
          <w:p>
            <w:pPr>
              <w:ind w:left="100"/>
              <w:spacing w:after="0" w:line="174" w:lineRule="exact"/>
              <w:rPr>
                <w:sz w:val="20"/>
                <w:szCs w:val="20"/>
                <w:color w:val="auto"/>
              </w:rPr>
            </w:pPr>
            <w:r>
              <w:rPr>
                <w:rFonts w:ascii="Times New Roman" w:cs="Times New Roman" w:eastAsia="Times New Roman" w:hAnsi="Times New Roman"/>
                <w:sz w:val="17"/>
                <w:szCs w:val="17"/>
                <w:color w:val="auto"/>
              </w:rPr>
              <w:t>2025</w:t>
            </w:r>
          </w:p>
        </w:tc>
        <w:tc>
          <w:tcPr>
            <w:tcW w:w="1120" w:type="dxa"/>
            <w:vAlign w:val="bottom"/>
          </w:tcPr>
          <w:p>
            <w:pPr>
              <w:jc w:val="right"/>
              <w:ind w:right="15"/>
              <w:spacing w:after="0" w:line="174" w:lineRule="exact"/>
              <w:rPr>
                <w:sz w:val="20"/>
                <w:szCs w:val="20"/>
                <w:color w:val="auto"/>
              </w:rPr>
            </w:pPr>
            <w:r>
              <w:rPr>
                <w:rFonts w:ascii="Times New Roman" w:cs="Times New Roman" w:eastAsia="Times New Roman" w:hAnsi="Times New Roman"/>
                <w:sz w:val="17"/>
                <w:szCs w:val="17"/>
                <w:color w:val="auto"/>
              </w:rPr>
              <w:t>675,000</w:t>
            </w:r>
          </w:p>
        </w:tc>
        <w:tc>
          <w:tcPr>
            <w:tcW w:w="1260" w:type="dxa"/>
            <w:vAlign w:val="bottom"/>
          </w:tcPr>
          <w:p>
            <w:pPr>
              <w:jc w:val="right"/>
              <w:ind w:right="56"/>
              <w:spacing w:after="0" w:line="174" w:lineRule="exact"/>
              <w:rPr>
                <w:sz w:val="20"/>
                <w:szCs w:val="20"/>
                <w:color w:val="auto"/>
              </w:rPr>
            </w:pPr>
            <w:r>
              <w:rPr>
                <w:rFonts w:ascii="Times New Roman" w:cs="Times New Roman" w:eastAsia="Times New Roman" w:hAnsi="Times New Roman"/>
                <w:sz w:val="17"/>
                <w:szCs w:val="17"/>
                <w:color w:val="auto"/>
              </w:rPr>
              <w:t>1,248,788</w:t>
            </w:r>
          </w:p>
        </w:tc>
        <w:tc>
          <w:tcPr>
            <w:tcW w:w="1200" w:type="dxa"/>
            <w:vAlign w:val="bottom"/>
          </w:tcPr>
          <w:p>
            <w:pPr>
              <w:jc w:val="right"/>
              <w:ind w:right="17"/>
              <w:spacing w:after="0" w:line="174" w:lineRule="exact"/>
              <w:rPr>
                <w:sz w:val="20"/>
                <w:szCs w:val="20"/>
                <w:color w:val="auto"/>
              </w:rPr>
            </w:pPr>
            <w:r>
              <w:rPr>
                <w:rFonts w:ascii="Times New Roman" w:cs="Times New Roman" w:eastAsia="Times New Roman" w:hAnsi="Times New Roman"/>
                <w:sz w:val="17"/>
                <w:szCs w:val="17"/>
                <w:color w:val="auto"/>
              </w:rPr>
              <w:t>1,080,000</w:t>
            </w:r>
          </w:p>
        </w:tc>
        <w:tc>
          <w:tcPr>
            <w:tcW w:w="1380" w:type="dxa"/>
            <w:vAlign w:val="bottom"/>
          </w:tcPr>
          <w:p>
            <w:pPr>
              <w:jc w:val="right"/>
              <w:ind w:right="99"/>
              <w:spacing w:after="0" w:line="174" w:lineRule="exact"/>
              <w:rPr>
                <w:sz w:val="20"/>
                <w:szCs w:val="20"/>
                <w:color w:val="auto"/>
              </w:rPr>
            </w:pPr>
            <w:r>
              <w:rPr>
                <w:rFonts w:ascii="Times New Roman" w:cs="Times New Roman" w:eastAsia="Times New Roman" w:hAnsi="Times New Roman"/>
                <w:sz w:val="17"/>
                <w:szCs w:val="17"/>
                <w:color w:val="auto"/>
              </w:rPr>
              <w:t>485,344</w:t>
            </w:r>
          </w:p>
        </w:tc>
        <w:tc>
          <w:tcPr>
            <w:tcW w:w="1420" w:type="dxa"/>
            <w:vAlign w:val="bottom"/>
          </w:tcPr>
          <w:p>
            <w:pPr>
              <w:jc w:val="right"/>
              <w:ind w:right="196"/>
              <w:spacing w:after="0" w:line="174" w:lineRule="exact"/>
              <w:rPr>
                <w:sz w:val="20"/>
                <w:szCs w:val="20"/>
                <w:color w:val="auto"/>
              </w:rPr>
            </w:pPr>
            <w:r>
              <w:rPr>
                <w:rFonts w:ascii="Times New Roman" w:cs="Times New Roman" w:eastAsia="Times New Roman" w:hAnsi="Times New Roman"/>
                <w:sz w:val="17"/>
                <w:szCs w:val="17"/>
                <w:color w:val="auto"/>
              </w:rPr>
              <w:t>11,896</w:t>
            </w:r>
          </w:p>
        </w:tc>
        <w:tc>
          <w:tcPr>
            <w:tcW w:w="1240" w:type="dxa"/>
            <w:vAlign w:val="bottom"/>
            <w:tcBorders>
              <w:right w:val="single" w:sz="8" w:color="auto"/>
            </w:tcBorders>
          </w:tcPr>
          <w:p>
            <w:pPr>
              <w:jc w:val="right"/>
              <w:spacing w:after="0" w:line="174" w:lineRule="exact"/>
              <w:rPr>
                <w:sz w:val="20"/>
                <w:szCs w:val="20"/>
                <w:color w:val="auto"/>
              </w:rPr>
            </w:pPr>
            <w:r>
              <w:rPr>
                <w:rFonts w:ascii="Times New Roman" w:cs="Times New Roman" w:eastAsia="Times New Roman" w:hAnsi="Times New Roman"/>
                <w:sz w:val="17"/>
                <w:szCs w:val="17"/>
                <w:color w:val="auto"/>
              </w:rPr>
              <w:t>3,501,028</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Senior Vice President, General</w:t>
            </w:r>
          </w:p>
        </w:tc>
        <w:tc>
          <w:tcPr>
            <w:tcW w:w="6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2024</w:t>
            </w:r>
          </w:p>
        </w:tc>
        <w:tc>
          <w:tcPr>
            <w:tcW w:w="112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650,000</w:t>
            </w:r>
          </w:p>
        </w:tc>
        <w:tc>
          <w:tcPr>
            <w:tcW w:w="126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rPr>
              <w:t>1,202,416</w:t>
            </w:r>
          </w:p>
        </w:tc>
        <w:tc>
          <w:tcPr>
            <w:tcW w:w="1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rPr>
              <w:t>910,000</w:t>
            </w:r>
          </w:p>
        </w:tc>
        <w:tc>
          <w:tcPr>
            <w:tcW w:w="1380" w:type="dxa"/>
            <w:vAlign w:val="bottom"/>
          </w:tcPr>
          <w:p>
            <w:pPr>
              <w:jc w:val="right"/>
              <w:ind w:right="99"/>
              <w:spacing w:after="0"/>
              <w:rPr>
                <w:sz w:val="20"/>
                <w:szCs w:val="20"/>
                <w:color w:val="auto"/>
              </w:rPr>
            </w:pPr>
            <w:r>
              <w:rPr>
                <w:rFonts w:ascii="Times New Roman" w:cs="Times New Roman" w:eastAsia="Times New Roman" w:hAnsi="Times New Roman"/>
                <w:sz w:val="17"/>
                <w:szCs w:val="17"/>
                <w:color w:val="auto"/>
              </w:rPr>
              <w:t>326,930</w:t>
            </w:r>
          </w:p>
        </w:tc>
        <w:tc>
          <w:tcPr>
            <w:tcW w:w="142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rPr>
              <w:t>12,446</w:t>
            </w:r>
          </w:p>
        </w:tc>
        <w:tc>
          <w:tcPr>
            <w:tcW w:w="124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3,101,792</w:t>
            </w:r>
          </w:p>
        </w:tc>
        <w:tc>
          <w:tcPr>
            <w:tcW w:w="0" w:type="dxa"/>
            <w:vAlign w:val="bottom"/>
          </w:tcPr>
          <w:p>
            <w:pPr>
              <w:spacing w:after="0"/>
              <w:rPr>
                <w:sz w:val="1"/>
                <w:szCs w:val="1"/>
                <w:color w:val="auto"/>
              </w:rPr>
            </w:pPr>
          </w:p>
        </w:tc>
      </w:tr>
      <w:tr>
        <w:trPr>
          <w:trHeight w:val="203"/>
        </w:trPr>
        <w:tc>
          <w:tcPr>
            <w:tcW w:w="2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Counsel and Corporate</w:t>
            </w:r>
          </w:p>
        </w:tc>
        <w:tc>
          <w:tcPr>
            <w:tcW w:w="6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94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7"/>
                <w:szCs w:val="17"/>
                <w:color w:val="auto"/>
              </w:rPr>
              <w:t>Secretary</w:t>
            </w:r>
          </w:p>
        </w:tc>
        <w:tc>
          <w:tcPr>
            <w:tcW w:w="6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940" w:type="dxa"/>
            <w:vAlign w:val="bottom"/>
            <w:tcBorders>
              <w:left w:val="single" w:sz="8" w:color="auto"/>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jc w:val="both"/>
        <w:ind w:left="340" w:hanging="332"/>
        <w:spacing w:after="0" w:line="242" w:lineRule="auto"/>
        <w:tabs>
          <w:tab w:leader="none" w:pos="3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in this column, computed in accordance with current Financial Accounting Standards Board guidance for accounting for and reporting of stock-based compensation, represent the aggregate grant-date fair value of time-based restricted stock and performance-based restricted stock awards (market condition for TSR, performance condition for ROIC and assuming that the target level of performance conditions were achieved) issued by the Company for the respective fiscal years. The grant-date fair values of the time-based restricted stock awards were as follows: Mr. Donahue: $2,875,826 for 2025, $2,659,911 for 2024 and $2,557,298 for 2023; Mr. Clothier: $670,809 for 2025, $562,482 for 2024 and $420,030 for 2023; Mr. Gifford: $1,117,777 for 2025, $1,069,523 for 2024 and $1,006,274 for 2023; Mr. Novaes: $586,664 for 2025, $483,357 for 2024 and $408,036 for 2023; and Mr. Dickstein: $416,271 for 2025 and $400,824 for 2024. The grant-date fair values of the performance-based restricted stock, assuming instead that the highest level of performance conditions were to be achieved, would be as follows: Mr. Donahue: $11,503,298 for 2025, $10,639,938 for 2024 and $10,229,294 for 2023; Mr. Clothier: $2,683,452 for 2025, $2,250,020 for 2024 and $1,679,998 for 2023; Mr. Gifford: $4,471,204 for 2025, $4,277,976 for 2024 and $4,024,966 for 2023; Mr. Novaes: $2,346,794 for 2025, $1,933,184 for 2024 and $1,631,982 for 2023; and Mr. Dickstein: $1,665,034 for 2025 and $1,603,184 for 2024. If the minimum level of performance conditions</w:t>
      </w:r>
    </w:p>
    <w:p>
      <w:pPr>
        <w:spacing w:after="0" w:line="7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52</w:t>
      </w:r>
    </w:p>
    <w:p>
      <w:pPr>
        <w:sectPr>
          <w:pgSz w:w="11900" w:h="16838" w:orient="portrait"/>
          <w:cols w:equalWidth="0" w:num="1">
            <w:col w:w="11240"/>
          </w:cols>
          <w:pgMar w:left="320" w:top="551" w:right="339" w:bottom="1440" w:gutter="0" w:footer="0" w:header="0"/>
        </w:sectPr>
      </w:pPr>
    </w:p>
    <w:bookmarkStart w:id="55" w:name="page56"/>
    <w:bookmarkEnd w:id="55"/>
    <w:p>
      <w:pPr>
        <w:jc w:val="both"/>
        <w:ind w:left="332"/>
        <w:spacing w:after="0" w:line="249" w:lineRule="auto"/>
        <w:rPr>
          <w:sz w:val="20"/>
          <w:szCs w:val="20"/>
          <w:color w:val="auto"/>
        </w:rPr>
      </w:pPr>
      <w:r>
        <w:rPr>
          <w:rFonts w:ascii="Times New Roman" w:cs="Times New Roman" w:eastAsia="Times New Roman" w:hAnsi="Times New Roman"/>
          <w:sz w:val="20"/>
          <w:szCs w:val="20"/>
          <w:color w:val="auto"/>
        </w:rPr>
        <w:t>were not to be achieved, the value of the performance-based restricted stock awards would be $0 in all cases. Further detail surrounding the shares awarded, the method of valuation and the assumptions made are set forth in Note X, “Stock-Based Compensation” to the financial statements in the Company’s Annual Report on Form 10-K for the fiscal year ended December 31, 2025. There can be no assurance that the amounts related to performance-based shares will ever be realized by the NEOs.</w:t>
      </w:r>
    </w:p>
    <w:p>
      <w:pPr>
        <w:spacing w:after="0" w:line="180" w:lineRule="exact"/>
        <w:rPr>
          <w:sz w:val="20"/>
          <w:szCs w:val="20"/>
          <w:color w:val="auto"/>
        </w:rPr>
      </w:pPr>
    </w:p>
    <w:p>
      <w:pPr>
        <w:jc w:val="both"/>
        <w:ind w:left="332" w:hanging="332"/>
        <w:spacing w:after="0" w:line="243" w:lineRule="auto"/>
        <w:tabs>
          <w:tab w:leader="none" w:pos="33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Positive amounts in this column reflect the increase in actuarial lump-sum present value of defined benefit retirement plans, including supplemental plans, for the respective fiscal years. A decrease in actuarial lump-sum present value is required to be excluded from the amount reported in this column and is indicated in this column with a $0 value. Actuarial valuations were based on assumptions that were in accordance with the guidelines of FASB ASC Topic 715 and that are discussed in Note S, “Pension and Other Postretirement Benefits” to the financial statements in the Company’s Annual Report on Form 10-K for the fiscal year ended December 31, 2025. Not all of the pension benefits payable to our NEOs will be paid in a lump sum. Future changes in interest rates could cause significant changes in the lump-sum value of such benefits. See footnote 5 on page 59 for more information. The change in value represents the difference between the highest year-end value disclosed for such benefit in prior years and the value of such benefit at the end of the reporting year.</w:t>
      </w:r>
    </w:p>
    <w:p>
      <w:pPr>
        <w:spacing w:after="0" w:line="185" w:lineRule="exact"/>
        <w:rPr>
          <w:rFonts w:ascii="Times New Roman" w:cs="Times New Roman" w:eastAsia="Times New Roman" w:hAnsi="Times New Roman"/>
          <w:sz w:val="20"/>
          <w:szCs w:val="20"/>
          <w:color w:val="auto"/>
        </w:rPr>
      </w:pPr>
    </w:p>
    <w:p>
      <w:pPr>
        <w:ind w:left="332" w:hanging="332"/>
        <w:spacing w:after="0"/>
        <w:tabs>
          <w:tab w:leader="none" w:pos="332"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in this column for 2025 include the following items:</w:t>
      </w:r>
    </w:p>
    <w:p>
      <w:pPr>
        <w:spacing w:after="0" w:line="200" w:lineRule="exact"/>
        <w:rPr>
          <w:sz w:val="20"/>
          <w:szCs w:val="20"/>
          <w:color w:val="auto"/>
        </w:rPr>
      </w:pPr>
    </w:p>
    <w:p>
      <w:pPr>
        <w:spacing w:after="0" w:line="254" w:lineRule="exact"/>
        <w:rPr>
          <w:sz w:val="20"/>
          <w:szCs w:val="20"/>
          <w:color w:val="auto"/>
        </w:rPr>
      </w:pPr>
    </w:p>
    <w:tbl>
      <w:tblPr>
        <w:tblLayout w:type="fixed"/>
        <w:tblInd w:w="572" w:type="dxa"/>
        <w:tblCellMar>
          <w:top w:w="0" w:type="dxa"/>
          <w:left w:w="0" w:type="dxa"/>
          <w:bottom w:w="0" w:type="dxa"/>
          <w:right w:w="0" w:type="dxa"/>
        </w:tblCellMar>
      </w:tblPr>
      <w:tr>
        <w:trPr>
          <w:trHeight w:val="244"/>
        </w:trPr>
        <w:tc>
          <w:tcPr>
            <w:tcW w:w="2620" w:type="dxa"/>
            <w:vAlign w:val="bottom"/>
          </w:tcPr>
          <w:p>
            <w:pPr>
              <w:spacing w:after="0"/>
              <w:rPr>
                <w:sz w:val="21"/>
                <w:szCs w:val="21"/>
                <w:color w:val="auto"/>
              </w:rPr>
            </w:pPr>
          </w:p>
        </w:tc>
        <w:tc>
          <w:tcPr>
            <w:tcW w:w="1760" w:type="dxa"/>
            <w:vAlign w:val="bottom"/>
            <w:shd w:val="clear" w:color="auto" w:fill="29650B"/>
          </w:tcPr>
          <w:p>
            <w:pPr>
              <w:jc w:val="right"/>
              <w:ind w:right="401"/>
              <w:spacing w:after="0"/>
              <w:rPr>
                <w:sz w:val="20"/>
                <w:szCs w:val="20"/>
                <w:color w:val="auto"/>
              </w:rPr>
            </w:pPr>
            <w:r>
              <w:rPr>
                <w:rFonts w:ascii="Times New Roman" w:cs="Times New Roman" w:eastAsia="Times New Roman" w:hAnsi="Times New Roman"/>
                <w:sz w:val="20"/>
                <w:szCs w:val="20"/>
                <w:b w:val="1"/>
                <w:bCs w:val="1"/>
                <w:color w:val="FFFFFF"/>
              </w:rPr>
              <w:t>T. Donahue</w:t>
            </w:r>
          </w:p>
        </w:tc>
        <w:tc>
          <w:tcPr>
            <w:tcW w:w="1480" w:type="dxa"/>
            <w:vAlign w:val="bottom"/>
            <w:shd w:val="clear" w:color="auto" w:fill="29650B"/>
          </w:tcPr>
          <w:p>
            <w:pPr>
              <w:jc w:val="right"/>
              <w:ind w:right="201"/>
              <w:spacing w:after="0"/>
              <w:rPr>
                <w:sz w:val="20"/>
                <w:szCs w:val="20"/>
                <w:color w:val="auto"/>
              </w:rPr>
            </w:pPr>
            <w:r>
              <w:rPr>
                <w:rFonts w:ascii="Times New Roman" w:cs="Times New Roman" w:eastAsia="Times New Roman" w:hAnsi="Times New Roman"/>
                <w:sz w:val="20"/>
                <w:szCs w:val="20"/>
                <w:b w:val="1"/>
                <w:bCs w:val="1"/>
                <w:color w:val="FFFFFF"/>
              </w:rPr>
              <w:t>K. Clothier</w:t>
            </w:r>
          </w:p>
        </w:tc>
        <w:tc>
          <w:tcPr>
            <w:tcW w:w="1480" w:type="dxa"/>
            <w:vAlign w:val="bottom"/>
            <w:shd w:val="clear" w:color="auto" w:fill="29650B"/>
          </w:tcPr>
          <w:p>
            <w:pPr>
              <w:jc w:val="right"/>
              <w:ind w:right="281"/>
              <w:spacing w:after="0"/>
              <w:rPr>
                <w:sz w:val="20"/>
                <w:szCs w:val="20"/>
                <w:color w:val="auto"/>
              </w:rPr>
            </w:pPr>
            <w:r>
              <w:rPr>
                <w:rFonts w:ascii="Times New Roman" w:cs="Times New Roman" w:eastAsia="Times New Roman" w:hAnsi="Times New Roman"/>
                <w:sz w:val="20"/>
                <w:szCs w:val="20"/>
                <w:b w:val="1"/>
                <w:bCs w:val="1"/>
                <w:color w:val="FFFFFF"/>
              </w:rPr>
              <w:t>G. Gifford</w:t>
            </w:r>
          </w:p>
        </w:tc>
        <w:tc>
          <w:tcPr>
            <w:tcW w:w="1480" w:type="dxa"/>
            <w:vAlign w:val="bottom"/>
            <w:shd w:val="clear" w:color="auto" w:fill="29650B"/>
          </w:tcPr>
          <w:p>
            <w:pPr>
              <w:jc w:val="right"/>
              <w:ind w:right="241"/>
              <w:spacing w:after="0"/>
              <w:rPr>
                <w:sz w:val="20"/>
                <w:szCs w:val="20"/>
                <w:color w:val="auto"/>
              </w:rPr>
            </w:pPr>
            <w:r>
              <w:rPr>
                <w:rFonts w:ascii="Times New Roman" w:cs="Times New Roman" w:eastAsia="Times New Roman" w:hAnsi="Times New Roman"/>
                <w:sz w:val="20"/>
                <w:szCs w:val="20"/>
                <w:b w:val="1"/>
                <w:bCs w:val="1"/>
                <w:color w:val="FFFFFF"/>
              </w:rPr>
              <w:t>D. Novaes</w:t>
            </w:r>
          </w:p>
        </w:tc>
        <w:tc>
          <w:tcPr>
            <w:tcW w:w="1280" w:type="dxa"/>
            <w:vAlign w:val="bottom"/>
            <w:shd w:val="clear" w:color="auto" w:fill="29650B"/>
          </w:tcPr>
          <w:p>
            <w:pPr>
              <w:jc w:val="right"/>
              <w:spacing w:after="0"/>
              <w:rPr>
                <w:sz w:val="20"/>
                <w:szCs w:val="20"/>
                <w:color w:val="auto"/>
              </w:rPr>
            </w:pPr>
            <w:r>
              <w:rPr>
                <w:rFonts w:ascii="Times New Roman" w:cs="Times New Roman" w:eastAsia="Times New Roman" w:hAnsi="Times New Roman"/>
                <w:sz w:val="20"/>
                <w:szCs w:val="20"/>
                <w:b w:val="1"/>
                <w:bCs w:val="1"/>
                <w:color w:val="FFFFFF"/>
              </w:rPr>
              <w:t>A. Dickstein</w:t>
            </w:r>
          </w:p>
        </w:tc>
        <w:tc>
          <w:tcPr>
            <w:tcW w:w="0" w:type="dxa"/>
            <w:vAlign w:val="bottom"/>
          </w:tcPr>
          <w:p>
            <w:pPr>
              <w:spacing w:after="0"/>
              <w:rPr>
                <w:sz w:val="1"/>
                <w:szCs w:val="1"/>
                <w:color w:val="auto"/>
              </w:rPr>
            </w:pPr>
          </w:p>
        </w:tc>
      </w:tr>
      <w:tr>
        <w:trPr>
          <w:trHeight w:val="315"/>
        </w:trPr>
        <w:tc>
          <w:tcPr>
            <w:tcW w:w="2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FICA on Change in</w:t>
            </w:r>
          </w:p>
        </w:tc>
        <w:tc>
          <w:tcPr>
            <w:tcW w:w="176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rPr>
              <w:t>$55,148</w:t>
            </w:r>
          </w:p>
        </w:tc>
        <w:tc>
          <w:tcPr>
            <w:tcW w:w="148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rPr>
              <w:t>$17,190</w:t>
            </w:r>
          </w:p>
        </w:tc>
        <w:tc>
          <w:tcPr>
            <w:tcW w:w="148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rPr>
              <w:t>$28,714</w:t>
            </w:r>
          </w:p>
        </w:tc>
        <w:tc>
          <w:tcPr>
            <w:tcW w:w="148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$14,049</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$6,646</w:t>
            </w:r>
          </w:p>
        </w:tc>
        <w:tc>
          <w:tcPr>
            <w:tcW w:w="0" w:type="dxa"/>
            <w:vAlign w:val="bottom"/>
          </w:tcPr>
          <w:p>
            <w:pPr>
              <w:spacing w:after="0"/>
              <w:rPr>
                <w:sz w:val="1"/>
                <w:szCs w:val="1"/>
                <w:color w:val="auto"/>
              </w:rPr>
            </w:pPr>
          </w:p>
        </w:tc>
      </w:tr>
      <w:tr>
        <w:trPr>
          <w:trHeight w:val="137"/>
        </w:trPr>
        <w:tc>
          <w:tcPr>
            <w:tcW w:w="26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SERP/Restoration Valuation</w:t>
            </w:r>
          </w:p>
        </w:tc>
        <w:tc>
          <w:tcPr>
            <w:tcW w:w="176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12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6"/>
        </w:trPr>
        <w:tc>
          <w:tcPr>
            <w:tcW w:w="262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8"/>
        </w:trPr>
        <w:tc>
          <w:tcPr>
            <w:tcW w:w="262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Change in Value of SERP Life</w:t>
            </w:r>
          </w:p>
        </w:tc>
        <w:tc>
          <w:tcPr>
            <w:tcW w:w="1760" w:type="dxa"/>
            <w:vAlign w:val="bottom"/>
            <w:shd w:val="clear" w:color="auto" w:fill="D9D9D9"/>
          </w:tcPr>
          <w:p>
            <w:pPr>
              <w:jc w:val="right"/>
              <w:ind w:right="121"/>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D9D9D9"/>
          </w:tcPr>
          <w:p>
            <w:pPr>
              <w:jc w:val="right"/>
              <w:ind w:right="101"/>
              <w:spacing w:after="0"/>
              <w:rPr>
                <w:sz w:val="20"/>
                <w:szCs w:val="20"/>
                <w:color w:val="auto"/>
              </w:rPr>
            </w:pPr>
            <w:r>
              <w:rPr>
                <w:rFonts w:ascii="Times New Roman" w:cs="Times New Roman" w:eastAsia="Times New Roman" w:hAnsi="Times New Roman"/>
                <w:sz w:val="20"/>
                <w:szCs w:val="20"/>
                <w:color w:val="auto"/>
              </w:rPr>
              <w:t>-</w:t>
            </w:r>
          </w:p>
        </w:tc>
        <w:tc>
          <w:tcPr>
            <w:tcW w:w="1480" w:type="dxa"/>
            <w:vAlign w:val="bottom"/>
            <w:shd w:val="clear" w:color="auto" w:fill="D9D9D9"/>
          </w:tcPr>
          <w:p>
            <w:pPr>
              <w:jc w:val="right"/>
              <w:ind w:right="181"/>
              <w:spacing w:after="0"/>
              <w:rPr>
                <w:sz w:val="20"/>
                <w:szCs w:val="20"/>
                <w:color w:val="auto"/>
              </w:rPr>
            </w:pPr>
            <w:r>
              <w:rPr>
                <w:rFonts w:ascii="Times New Roman" w:cs="Times New Roman" w:eastAsia="Times New Roman" w:hAnsi="Times New Roman"/>
                <w:sz w:val="20"/>
                <w:szCs w:val="20"/>
                <w:color w:val="auto"/>
              </w:rPr>
              <w:t>90,297</w:t>
            </w:r>
          </w:p>
        </w:tc>
        <w:tc>
          <w:tcPr>
            <w:tcW w:w="1480" w:type="dxa"/>
            <w:vAlign w:val="bottom"/>
            <w:shd w:val="clear" w:color="auto" w:fill="D9D9D9"/>
          </w:tcPr>
          <w:p>
            <w:pPr>
              <w:jc w:val="right"/>
              <w:ind w:right="141"/>
              <w:spacing w:after="0"/>
              <w:rPr>
                <w:sz w:val="20"/>
                <w:szCs w:val="20"/>
                <w:color w:val="auto"/>
              </w:rPr>
            </w:pPr>
            <w:r>
              <w:rPr>
                <w:rFonts w:ascii="Times New Roman" w:cs="Times New Roman" w:eastAsia="Times New Roman" w:hAnsi="Times New Roman"/>
                <w:sz w:val="20"/>
                <w:szCs w:val="20"/>
                <w:color w:val="auto"/>
              </w:rPr>
              <w:t>-</w:t>
            </w:r>
          </w:p>
        </w:tc>
        <w:tc>
          <w:tcPr>
            <w:tcW w:w="128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262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Insurance</w:t>
            </w:r>
          </w:p>
        </w:tc>
        <w:tc>
          <w:tcPr>
            <w:tcW w:w="1760" w:type="dxa"/>
            <w:vAlign w:val="bottom"/>
            <w:shd w:val="clear" w:color="auto" w:fill="D9D9D9"/>
          </w:tcPr>
          <w:p>
            <w:pPr>
              <w:spacing w:after="0"/>
              <w:rPr>
                <w:sz w:val="19"/>
                <w:szCs w:val="19"/>
                <w:color w:val="auto"/>
              </w:rPr>
            </w:pPr>
          </w:p>
        </w:tc>
        <w:tc>
          <w:tcPr>
            <w:tcW w:w="1480" w:type="dxa"/>
            <w:vAlign w:val="bottom"/>
            <w:shd w:val="clear" w:color="auto" w:fill="D9D9D9"/>
          </w:tcPr>
          <w:p>
            <w:pPr>
              <w:spacing w:after="0"/>
              <w:rPr>
                <w:sz w:val="19"/>
                <w:szCs w:val="19"/>
                <w:color w:val="auto"/>
              </w:rPr>
            </w:pPr>
          </w:p>
        </w:tc>
        <w:tc>
          <w:tcPr>
            <w:tcW w:w="1480" w:type="dxa"/>
            <w:vAlign w:val="bottom"/>
            <w:shd w:val="clear" w:color="auto" w:fill="D9D9D9"/>
          </w:tcPr>
          <w:p>
            <w:pPr>
              <w:spacing w:after="0"/>
              <w:rPr>
                <w:sz w:val="19"/>
                <w:szCs w:val="19"/>
                <w:color w:val="auto"/>
              </w:rPr>
            </w:pPr>
          </w:p>
        </w:tc>
        <w:tc>
          <w:tcPr>
            <w:tcW w:w="1480" w:type="dxa"/>
            <w:vAlign w:val="bottom"/>
            <w:shd w:val="clear" w:color="auto" w:fill="D9D9D9"/>
          </w:tcPr>
          <w:p>
            <w:pPr>
              <w:spacing w:after="0"/>
              <w:rPr>
                <w:sz w:val="19"/>
                <w:szCs w:val="19"/>
                <w:color w:val="auto"/>
              </w:rPr>
            </w:pPr>
          </w:p>
        </w:tc>
        <w:tc>
          <w:tcPr>
            <w:tcW w:w="1280" w:type="dxa"/>
            <w:vAlign w:val="bottom"/>
            <w:shd w:val="clear" w:color="auto" w:fill="D9D9D9"/>
          </w:tcPr>
          <w:p>
            <w:pPr>
              <w:spacing w:after="0"/>
              <w:rPr>
                <w:sz w:val="19"/>
                <w:szCs w:val="19"/>
                <w:color w:val="auto"/>
              </w:rPr>
            </w:pPr>
          </w:p>
        </w:tc>
        <w:tc>
          <w:tcPr>
            <w:tcW w:w="0" w:type="dxa"/>
            <w:vAlign w:val="bottom"/>
          </w:tcPr>
          <w:p>
            <w:pPr>
              <w:spacing w:after="0"/>
              <w:rPr>
                <w:sz w:val="1"/>
                <w:szCs w:val="1"/>
                <w:color w:val="auto"/>
              </w:rPr>
            </w:pPr>
          </w:p>
        </w:tc>
      </w:tr>
      <w:tr>
        <w:trPr>
          <w:trHeight w:val="315"/>
        </w:trPr>
        <w:tc>
          <w:tcPr>
            <w:tcW w:w="2620" w:type="dxa"/>
            <w:vAlign w:val="bottom"/>
          </w:tcPr>
          <w:p>
            <w:pPr>
              <w:ind w:left="100"/>
              <w:spacing w:after="0"/>
              <w:rPr>
                <w:sz w:val="20"/>
                <w:szCs w:val="20"/>
                <w:color w:val="auto"/>
              </w:rPr>
            </w:pPr>
            <w:r>
              <w:rPr>
                <w:rFonts w:ascii="Times New Roman" w:cs="Times New Roman" w:eastAsia="Times New Roman" w:hAnsi="Times New Roman"/>
                <w:sz w:val="20"/>
                <w:szCs w:val="20"/>
                <w:color w:val="auto"/>
              </w:rPr>
              <w:t>Defined Contribution Plan</w:t>
            </w:r>
          </w:p>
        </w:tc>
        <w:tc>
          <w:tcPr>
            <w:tcW w:w="1760" w:type="dxa"/>
            <w:vAlign w:val="bottom"/>
            <w:vMerge w:val="restart"/>
          </w:tcPr>
          <w:p>
            <w:pPr>
              <w:jc w:val="right"/>
              <w:ind w:right="121"/>
              <w:spacing w:after="0"/>
              <w:rPr>
                <w:sz w:val="20"/>
                <w:szCs w:val="20"/>
                <w:color w:val="auto"/>
              </w:rPr>
            </w:pPr>
            <w:r>
              <w:rPr>
                <w:rFonts w:ascii="Times New Roman" w:cs="Times New Roman" w:eastAsia="Times New Roman" w:hAnsi="Times New Roman"/>
                <w:sz w:val="20"/>
                <w:szCs w:val="20"/>
                <w:color w:val="auto"/>
              </w:rPr>
              <w:t>5,250</w:t>
            </w:r>
          </w:p>
        </w:tc>
        <w:tc>
          <w:tcPr>
            <w:tcW w:w="1480" w:type="dxa"/>
            <w:vAlign w:val="bottom"/>
            <w:vMerge w:val="restart"/>
          </w:tcPr>
          <w:p>
            <w:pPr>
              <w:jc w:val="right"/>
              <w:ind w:right="101"/>
              <w:spacing w:after="0"/>
              <w:rPr>
                <w:sz w:val="20"/>
                <w:szCs w:val="20"/>
                <w:color w:val="auto"/>
              </w:rPr>
            </w:pPr>
            <w:r>
              <w:rPr>
                <w:rFonts w:ascii="Times New Roman" w:cs="Times New Roman" w:eastAsia="Times New Roman" w:hAnsi="Times New Roman"/>
                <w:sz w:val="20"/>
                <w:szCs w:val="20"/>
                <w:color w:val="auto"/>
              </w:rPr>
              <w:t>5,250</w:t>
            </w:r>
          </w:p>
        </w:tc>
        <w:tc>
          <w:tcPr>
            <w:tcW w:w="1480" w:type="dxa"/>
            <w:vAlign w:val="bottom"/>
            <w:vMerge w:val="restart"/>
          </w:tcPr>
          <w:p>
            <w:pPr>
              <w:jc w:val="right"/>
              <w:ind w:right="181"/>
              <w:spacing w:after="0"/>
              <w:rPr>
                <w:sz w:val="20"/>
                <w:szCs w:val="20"/>
                <w:color w:val="auto"/>
              </w:rPr>
            </w:pPr>
            <w:r>
              <w:rPr>
                <w:rFonts w:ascii="Times New Roman" w:cs="Times New Roman" w:eastAsia="Times New Roman" w:hAnsi="Times New Roman"/>
                <w:sz w:val="20"/>
                <w:szCs w:val="20"/>
                <w:color w:val="auto"/>
              </w:rPr>
              <w:t>5,250</w:t>
            </w:r>
          </w:p>
        </w:tc>
        <w:tc>
          <w:tcPr>
            <w:tcW w:w="1480" w:type="dxa"/>
            <w:vAlign w:val="bottom"/>
            <w:vMerge w:val="restart"/>
          </w:tcPr>
          <w:p>
            <w:pPr>
              <w:jc w:val="right"/>
              <w:ind w:right="141"/>
              <w:spacing w:after="0"/>
              <w:rPr>
                <w:sz w:val="20"/>
                <w:szCs w:val="20"/>
                <w:color w:val="auto"/>
              </w:rPr>
            </w:pPr>
            <w:r>
              <w:rPr>
                <w:rFonts w:ascii="Times New Roman" w:cs="Times New Roman" w:eastAsia="Times New Roman" w:hAnsi="Times New Roman"/>
                <w:sz w:val="20"/>
                <w:szCs w:val="20"/>
                <w:color w:val="auto"/>
              </w:rPr>
              <w:t>5,250</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rPr>
              <w:t>5,250</w:t>
            </w:r>
          </w:p>
        </w:tc>
        <w:tc>
          <w:tcPr>
            <w:tcW w:w="0" w:type="dxa"/>
            <w:vAlign w:val="bottom"/>
          </w:tcPr>
          <w:p>
            <w:pPr>
              <w:spacing w:after="0"/>
              <w:rPr>
                <w:sz w:val="1"/>
                <w:szCs w:val="1"/>
                <w:color w:val="auto"/>
              </w:rPr>
            </w:pPr>
          </w:p>
        </w:tc>
      </w:tr>
      <w:tr>
        <w:trPr>
          <w:trHeight w:val="150"/>
        </w:trPr>
        <w:tc>
          <w:tcPr>
            <w:tcW w:w="2620" w:type="dxa"/>
            <w:vAlign w:val="bottom"/>
            <w:vMerge w:val="restart"/>
          </w:tcPr>
          <w:p>
            <w:pPr>
              <w:ind w:left="100"/>
              <w:spacing w:after="0"/>
              <w:rPr>
                <w:sz w:val="20"/>
                <w:szCs w:val="20"/>
                <w:color w:val="auto"/>
              </w:rPr>
            </w:pPr>
            <w:r>
              <w:rPr>
                <w:rFonts w:ascii="Times New Roman" w:cs="Times New Roman" w:eastAsia="Times New Roman" w:hAnsi="Times New Roman"/>
                <w:sz w:val="20"/>
                <w:szCs w:val="20"/>
                <w:color w:val="auto"/>
              </w:rPr>
              <w:t>Company Contributions *</w:t>
            </w:r>
          </w:p>
        </w:tc>
        <w:tc>
          <w:tcPr>
            <w:tcW w:w="176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620" w:type="dxa"/>
            <w:vAlign w:val="bottom"/>
            <w:tcBorders>
              <w:bottom w:val="single" w:sz="8" w:color="D9D9D9"/>
            </w:tcBorders>
            <w:vMerge w:val="continue"/>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38"/>
        </w:trPr>
        <w:tc>
          <w:tcPr>
            <w:tcW w:w="2620" w:type="dxa"/>
            <w:vAlign w:val="bottom"/>
            <w:tcBorders>
              <w:bottom w:val="single" w:sz="8" w:color="D9D9D9"/>
            </w:tcBorders>
            <w:shd w:val="clear" w:color="auto" w:fill="D9D9D9"/>
          </w:tcPr>
          <w:p>
            <w:pPr>
              <w:ind w:left="100"/>
              <w:spacing w:after="0"/>
              <w:rPr>
                <w:sz w:val="20"/>
                <w:szCs w:val="20"/>
                <w:color w:val="auto"/>
              </w:rPr>
            </w:pPr>
            <w:r>
              <w:rPr>
                <w:rFonts w:ascii="Times New Roman" w:cs="Times New Roman" w:eastAsia="Times New Roman" w:hAnsi="Times New Roman"/>
                <w:sz w:val="20"/>
                <w:szCs w:val="20"/>
                <w:color w:val="auto"/>
              </w:rPr>
              <w:t>Total</w:t>
            </w:r>
          </w:p>
        </w:tc>
        <w:tc>
          <w:tcPr>
            <w:tcW w:w="1760" w:type="dxa"/>
            <w:vAlign w:val="bottom"/>
            <w:tcBorders>
              <w:bottom w:val="single" w:sz="8" w:color="auto"/>
            </w:tcBorders>
            <w:shd w:val="clear" w:color="auto" w:fill="D9D9D9"/>
          </w:tcPr>
          <w:p>
            <w:pPr>
              <w:jc w:val="right"/>
              <w:ind w:right="121"/>
              <w:spacing w:after="0"/>
              <w:rPr>
                <w:sz w:val="20"/>
                <w:szCs w:val="20"/>
                <w:color w:val="auto"/>
              </w:rPr>
            </w:pPr>
            <w:r>
              <w:rPr>
                <w:rFonts w:ascii="Times New Roman" w:cs="Times New Roman" w:eastAsia="Times New Roman" w:hAnsi="Times New Roman"/>
                <w:sz w:val="20"/>
                <w:szCs w:val="20"/>
                <w:color w:val="auto"/>
              </w:rPr>
              <w:t>$60,398</w:t>
            </w:r>
          </w:p>
        </w:tc>
        <w:tc>
          <w:tcPr>
            <w:tcW w:w="1480" w:type="dxa"/>
            <w:vAlign w:val="bottom"/>
            <w:tcBorders>
              <w:bottom w:val="single" w:sz="8" w:color="auto"/>
            </w:tcBorders>
            <w:shd w:val="clear" w:color="auto" w:fill="D9D9D9"/>
          </w:tcPr>
          <w:p>
            <w:pPr>
              <w:jc w:val="right"/>
              <w:ind w:right="101"/>
              <w:spacing w:after="0"/>
              <w:rPr>
                <w:sz w:val="20"/>
                <w:szCs w:val="20"/>
                <w:color w:val="auto"/>
              </w:rPr>
            </w:pPr>
            <w:r>
              <w:rPr>
                <w:rFonts w:ascii="Times New Roman" w:cs="Times New Roman" w:eastAsia="Times New Roman" w:hAnsi="Times New Roman"/>
                <w:sz w:val="20"/>
                <w:szCs w:val="20"/>
                <w:color w:val="auto"/>
              </w:rPr>
              <w:t>$22,440</w:t>
            </w:r>
          </w:p>
        </w:tc>
        <w:tc>
          <w:tcPr>
            <w:tcW w:w="1480" w:type="dxa"/>
            <w:vAlign w:val="bottom"/>
            <w:tcBorders>
              <w:bottom w:val="single" w:sz="8" w:color="auto"/>
            </w:tcBorders>
            <w:shd w:val="clear" w:color="auto" w:fill="D9D9D9"/>
          </w:tcPr>
          <w:p>
            <w:pPr>
              <w:jc w:val="right"/>
              <w:ind w:right="181"/>
              <w:spacing w:after="0"/>
              <w:rPr>
                <w:sz w:val="20"/>
                <w:szCs w:val="20"/>
                <w:color w:val="auto"/>
              </w:rPr>
            </w:pPr>
            <w:r>
              <w:rPr>
                <w:rFonts w:ascii="Times New Roman" w:cs="Times New Roman" w:eastAsia="Times New Roman" w:hAnsi="Times New Roman"/>
                <w:sz w:val="20"/>
                <w:szCs w:val="20"/>
                <w:color w:val="auto"/>
              </w:rPr>
              <w:t>$124,261</w:t>
            </w:r>
          </w:p>
        </w:tc>
        <w:tc>
          <w:tcPr>
            <w:tcW w:w="1480" w:type="dxa"/>
            <w:vAlign w:val="bottom"/>
            <w:tcBorders>
              <w:bottom w:val="single" w:sz="8" w:color="auto"/>
            </w:tcBorders>
            <w:shd w:val="clear" w:color="auto" w:fill="D9D9D9"/>
          </w:tcPr>
          <w:p>
            <w:pPr>
              <w:jc w:val="right"/>
              <w:ind w:right="141"/>
              <w:spacing w:after="0"/>
              <w:rPr>
                <w:sz w:val="20"/>
                <w:szCs w:val="20"/>
                <w:color w:val="auto"/>
              </w:rPr>
            </w:pPr>
            <w:r>
              <w:rPr>
                <w:rFonts w:ascii="Times New Roman" w:cs="Times New Roman" w:eastAsia="Times New Roman" w:hAnsi="Times New Roman"/>
                <w:sz w:val="20"/>
                <w:szCs w:val="20"/>
                <w:color w:val="auto"/>
              </w:rPr>
              <w:t>$19,299</w:t>
            </w:r>
          </w:p>
        </w:tc>
        <w:tc>
          <w:tcPr>
            <w:tcW w:w="1280" w:type="dxa"/>
            <w:vAlign w:val="bottom"/>
            <w:tcBorders>
              <w:bottom w:val="single" w:sz="8" w:color="auto"/>
            </w:tcBorders>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$11,896</w:t>
            </w:r>
          </w:p>
        </w:tc>
        <w:tc>
          <w:tcPr>
            <w:tcW w:w="0" w:type="dxa"/>
            <w:vAlign w:val="bottom"/>
          </w:tcPr>
          <w:p>
            <w:pPr>
              <w:spacing w:after="0"/>
              <w:rPr>
                <w:sz w:val="1"/>
                <w:szCs w:val="1"/>
                <w:color w:val="auto"/>
              </w:rPr>
            </w:pPr>
          </w:p>
        </w:tc>
      </w:tr>
    </w:tbl>
    <w:p>
      <w:pPr>
        <w:spacing w:after="0" w:line="288" w:lineRule="exact"/>
        <w:rPr>
          <w:sz w:val="20"/>
          <w:szCs w:val="20"/>
          <w:color w:val="auto"/>
        </w:rPr>
      </w:pPr>
    </w:p>
    <w:p>
      <w:pPr>
        <w:ind w:left="332" w:hanging="332"/>
        <w:spacing w:after="0" w:line="269" w:lineRule="auto"/>
        <w:tabs>
          <w:tab w:leader="none" w:pos="332"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See the “Retirement Benefits” subsection of the Compensation Discussion and Analysis section of this Proxy Statement for a more complete description of the defined contribution benefit plans applicable to the NEOs.</w:t>
      </w:r>
    </w:p>
    <w:p>
      <w:pPr>
        <w:spacing w:after="0" w:line="159" w:lineRule="exact"/>
        <w:rPr>
          <w:sz w:val="20"/>
          <w:szCs w:val="20"/>
          <w:color w:val="auto"/>
        </w:rPr>
      </w:pPr>
    </w:p>
    <w:p>
      <w:pPr>
        <w:ind w:left="332" w:hanging="332"/>
        <w:spacing w:after="0"/>
        <w:tabs>
          <w:tab w:leader="none" w:pos="33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Mr. Dickstein was not an NEO prior to 2024, as such only information related to 2025 and 2024 is presented.</w:t>
      </w:r>
    </w:p>
    <w:p>
      <w:pPr>
        <w:spacing w:after="0" w:line="102" w:lineRule="exact"/>
        <w:rPr>
          <w:rFonts w:ascii="Times New Roman" w:cs="Times New Roman" w:eastAsia="Times New Roman" w:hAnsi="Times New Roman"/>
          <w:sz w:val="20"/>
          <w:szCs w:val="20"/>
          <w:color w:val="auto"/>
        </w:rPr>
      </w:pPr>
    </w:p>
    <w:p>
      <w:pPr>
        <w:ind w:left="5472"/>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53</w:t>
      </w:r>
    </w:p>
    <w:p>
      <w:pPr>
        <w:sectPr>
          <w:pgSz w:w="11900" w:h="16838" w:orient="portrait"/>
          <w:cols w:equalWidth="0" w:num="1">
            <w:col w:w="11232"/>
          </w:cols>
          <w:pgMar w:left="328" w:top="684"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2"/>
          <w:szCs w:val="22"/>
          <w:b w:val="1"/>
          <w:bCs w:val="1"/>
          <w:color w:val="auto"/>
        </w:rPr>
        <w:t>Grants of Plan-Based Awards</w:t>
      </w:r>
    </w:p>
    <w:p>
      <w:pPr>
        <w:spacing w:after="0" w:line="210"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following table provides information about the annual incentive bonuses that the Company’s NEOs were eligible to receive for 2025 under the Company’s Economic Profit Incentive Plan (the “EP Plan”) and stock-based awards granted in 2025 to each of the Company’s NEOs under the Company’s 2022 Stock-Based Incentive Compensation Plan. There can be no assurance that the fair value of the performance-based stock awarded to the Company’s NEOs in 2025 will ever be realized by the NEOs. For further information and the assumptions made in determining the grant-date fair values of the stock awards, see Notes A and X to the Company’s financial statements in the Company’s Annual Report on Form 10-K for the fiscal year ended December 31, 2025.</w:t>
      </w:r>
    </w:p>
    <w:p>
      <w:pPr>
        <w:spacing w:after="0" w:line="191" w:lineRule="exact"/>
        <w:rPr>
          <w:sz w:val="20"/>
          <w:szCs w:val="20"/>
          <w:color w:val="auto"/>
        </w:rPr>
      </w:pPr>
    </w:p>
    <w:tbl>
      <w:tblPr>
        <w:tblLayout w:type="fixed"/>
        <w:tblInd w:w="10" w:type="dxa"/>
        <w:tblCellMar>
          <w:top w:w="0" w:type="dxa"/>
          <w:left w:w="0" w:type="dxa"/>
          <w:bottom w:w="0" w:type="dxa"/>
          <w:right w:w="0" w:type="dxa"/>
        </w:tblCellMar>
      </w:tblPr>
      <w:tr>
        <w:trPr>
          <w:trHeight w:val="225"/>
        </w:trPr>
        <w:tc>
          <w:tcPr>
            <w:tcW w:w="1080" w:type="dxa"/>
            <w:vAlign w:val="bottom"/>
            <w:tcBorders>
              <w:top w:val="single" w:sz="8" w:color="auto"/>
              <w:left w:val="single" w:sz="8" w:color="auto"/>
              <w:right w:val="single" w:sz="8" w:color="auto"/>
            </w:tcBorders>
            <w:shd w:val="clear" w:color="auto" w:fill="29650B"/>
          </w:tcPr>
          <w:p>
            <w:pPr>
              <w:spacing w:after="0"/>
              <w:rPr>
                <w:sz w:val="19"/>
                <w:szCs w:val="19"/>
                <w:color w:val="auto"/>
              </w:rPr>
            </w:pPr>
          </w:p>
        </w:tc>
        <w:tc>
          <w:tcPr>
            <w:tcW w:w="1100" w:type="dxa"/>
            <w:vAlign w:val="bottom"/>
            <w:tcBorders>
              <w:top w:val="single" w:sz="8" w:color="auto"/>
              <w:right w:val="single" w:sz="8" w:color="auto"/>
            </w:tcBorders>
            <w:shd w:val="clear" w:color="auto" w:fill="29650B"/>
          </w:tcPr>
          <w:p>
            <w:pPr>
              <w:spacing w:after="0"/>
              <w:rPr>
                <w:sz w:val="19"/>
                <w:szCs w:val="19"/>
                <w:color w:val="auto"/>
              </w:rPr>
            </w:pPr>
          </w:p>
        </w:tc>
        <w:tc>
          <w:tcPr>
            <w:tcW w:w="1160" w:type="dxa"/>
            <w:vAlign w:val="bottom"/>
            <w:tcBorders>
              <w:top w:val="single" w:sz="8" w:color="auto"/>
              <w:right w:val="single" w:sz="8" w:color="29650B"/>
            </w:tcBorders>
            <w:shd w:val="clear" w:color="auto" w:fill="29650B"/>
          </w:tcPr>
          <w:p>
            <w:pPr>
              <w:spacing w:after="0"/>
              <w:rPr>
                <w:sz w:val="19"/>
                <w:szCs w:val="19"/>
                <w:color w:val="auto"/>
              </w:rPr>
            </w:pPr>
          </w:p>
        </w:tc>
        <w:tc>
          <w:tcPr>
            <w:tcW w:w="1080" w:type="dxa"/>
            <w:vAlign w:val="bottom"/>
            <w:tcBorders>
              <w:top w:val="single" w:sz="8" w:color="auto"/>
              <w:right w:val="single" w:sz="8" w:color="29650B"/>
            </w:tcBorders>
            <w:shd w:val="clear" w:color="auto" w:fill="29650B"/>
          </w:tcPr>
          <w:p>
            <w:pPr>
              <w:spacing w:after="0"/>
              <w:rPr>
                <w:sz w:val="19"/>
                <w:szCs w:val="19"/>
                <w:color w:val="auto"/>
              </w:rPr>
            </w:pPr>
          </w:p>
        </w:tc>
        <w:tc>
          <w:tcPr>
            <w:tcW w:w="1400" w:type="dxa"/>
            <w:vAlign w:val="bottom"/>
            <w:tcBorders>
              <w:top w:val="single" w:sz="8" w:color="auto"/>
              <w:right w:val="single" w:sz="8" w:color="auto"/>
            </w:tcBorders>
            <w:shd w:val="clear" w:color="auto" w:fill="29650B"/>
          </w:tcPr>
          <w:p>
            <w:pPr>
              <w:spacing w:after="0"/>
              <w:rPr>
                <w:sz w:val="19"/>
                <w:szCs w:val="19"/>
                <w:color w:val="auto"/>
              </w:rPr>
            </w:pPr>
          </w:p>
        </w:tc>
        <w:tc>
          <w:tcPr>
            <w:tcW w:w="1140" w:type="dxa"/>
            <w:vAlign w:val="bottom"/>
            <w:tcBorders>
              <w:top w:val="single" w:sz="8" w:color="auto"/>
              <w:right w:val="single" w:sz="8" w:color="29650B"/>
            </w:tcBorders>
            <w:shd w:val="clear" w:color="auto" w:fill="29650B"/>
          </w:tcPr>
          <w:p>
            <w:pPr>
              <w:spacing w:after="0"/>
              <w:rPr>
                <w:sz w:val="19"/>
                <w:szCs w:val="19"/>
                <w:color w:val="auto"/>
              </w:rPr>
            </w:pPr>
          </w:p>
        </w:tc>
        <w:tc>
          <w:tcPr>
            <w:tcW w:w="1000" w:type="dxa"/>
            <w:vAlign w:val="bottom"/>
            <w:tcBorders>
              <w:top w:val="single" w:sz="8" w:color="auto"/>
              <w:right w:val="single" w:sz="8" w:color="29650B"/>
            </w:tcBorders>
            <w:shd w:val="clear" w:color="auto" w:fill="29650B"/>
          </w:tcPr>
          <w:p>
            <w:pPr>
              <w:spacing w:after="0"/>
              <w:rPr>
                <w:sz w:val="19"/>
                <w:szCs w:val="19"/>
                <w:color w:val="auto"/>
              </w:rPr>
            </w:pPr>
          </w:p>
        </w:tc>
        <w:tc>
          <w:tcPr>
            <w:tcW w:w="1180" w:type="dxa"/>
            <w:vAlign w:val="bottom"/>
            <w:tcBorders>
              <w:top w:val="single" w:sz="8" w:color="auto"/>
              <w:right w:val="single" w:sz="8" w:color="auto"/>
            </w:tcBorders>
            <w:shd w:val="clear" w:color="auto" w:fill="29650B"/>
          </w:tcPr>
          <w:p>
            <w:pPr>
              <w:spacing w:after="0"/>
              <w:rPr>
                <w:sz w:val="19"/>
                <w:szCs w:val="19"/>
                <w:color w:val="auto"/>
              </w:rPr>
            </w:pPr>
          </w:p>
        </w:tc>
        <w:tc>
          <w:tcPr>
            <w:tcW w:w="1060" w:type="dxa"/>
            <w:vAlign w:val="bottom"/>
            <w:tcBorders>
              <w:top w:val="single" w:sz="8" w:color="auto"/>
              <w:right w:val="single" w:sz="8" w:color="auto"/>
            </w:tcBorders>
            <w:shd w:val="clear" w:color="auto" w:fill="29650B"/>
          </w:tcPr>
          <w:p>
            <w:pPr>
              <w:spacing w:after="0"/>
              <w:rPr>
                <w:sz w:val="19"/>
                <w:szCs w:val="19"/>
                <w:color w:val="auto"/>
              </w:rPr>
            </w:pPr>
          </w:p>
        </w:tc>
        <w:tc>
          <w:tcPr>
            <w:tcW w:w="1040" w:type="dxa"/>
            <w:vAlign w:val="bottom"/>
            <w:tcBorders>
              <w:top w:val="single" w:sz="8" w:color="auto"/>
              <w:right w:val="single" w:sz="8" w:color="auto"/>
            </w:tcBorders>
            <w:shd w:val="clear" w:color="auto" w:fill="29650B"/>
          </w:tcPr>
          <w:p>
            <w:pPr>
              <w:jc w:val="center"/>
              <w:spacing w:after="0" w:line="225" w:lineRule="exact"/>
              <w:rPr>
                <w:sz w:val="20"/>
                <w:szCs w:val="20"/>
                <w:color w:val="auto"/>
              </w:rPr>
            </w:pPr>
            <w:r>
              <w:rPr>
                <w:rFonts w:ascii="Times New Roman" w:cs="Times New Roman" w:eastAsia="Times New Roman" w:hAnsi="Times New Roman"/>
                <w:sz w:val="22"/>
                <w:szCs w:val="22"/>
                <w:b w:val="1"/>
                <w:bCs w:val="1"/>
                <w:color w:val="FFFFFF"/>
                <w:w w:val="95"/>
              </w:rPr>
              <w:t>2025</w:t>
            </w: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right w:val="single" w:sz="8" w:color="auto"/>
            </w:tcBorders>
            <w:shd w:val="clear" w:color="auto" w:fill="29650B"/>
          </w:tcPr>
          <w:p>
            <w:pPr>
              <w:spacing w:after="0"/>
              <w:rPr>
                <w:sz w:val="21"/>
                <w:szCs w:val="21"/>
                <w:color w:val="auto"/>
              </w:rPr>
            </w:pPr>
          </w:p>
        </w:tc>
        <w:tc>
          <w:tcPr>
            <w:tcW w:w="1100" w:type="dxa"/>
            <w:vAlign w:val="bottom"/>
            <w:tcBorders>
              <w:right w:val="single" w:sz="8" w:color="auto"/>
            </w:tcBorders>
            <w:shd w:val="clear" w:color="auto" w:fill="29650B"/>
          </w:tcPr>
          <w:p>
            <w:pPr>
              <w:spacing w:after="0"/>
              <w:rPr>
                <w:sz w:val="21"/>
                <w:szCs w:val="21"/>
                <w:color w:val="auto"/>
              </w:rPr>
            </w:pPr>
          </w:p>
        </w:tc>
        <w:tc>
          <w:tcPr>
            <w:tcW w:w="1160" w:type="dxa"/>
            <w:vAlign w:val="bottom"/>
            <w:tcBorders>
              <w:right w:val="single" w:sz="8" w:color="29650B"/>
            </w:tcBorders>
            <w:shd w:val="clear" w:color="auto" w:fill="29650B"/>
          </w:tcPr>
          <w:p>
            <w:pPr>
              <w:spacing w:after="0"/>
              <w:rPr>
                <w:sz w:val="21"/>
                <w:szCs w:val="21"/>
                <w:color w:val="auto"/>
              </w:rPr>
            </w:pPr>
          </w:p>
        </w:tc>
        <w:tc>
          <w:tcPr>
            <w:tcW w:w="1080" w:type="dxa"/>
            <w:vAlign w:val="bottom"/>
            <w:tcBorders>
              <w:right w:val="single" w:sz="8" w:color="29650B"/>
            </w:tcBorders>
            <w:shd w:val="clear" w:color="auto" w:fill="29650B"/>
          </w:tcPr>
          <w:p>
            <w:pPr>
              <w:spacing w:after="0"/>
              <w:rPr>
                <w:sz w:val="21"/>
                <w:szCs w:val="21"/>
                <w:color w:val="auto"/>
              </w:rPr>
            </w:pPr>
          </w:p>
        </w:tc>
        <w:tc>
          <w:tcPr>
            <w:tcW w:w="1400" w:type="dxa"/>
            <w:vAlign w:val="bottom"/>
            <w:tcBorders>
              <w:right w:val="single" w:sz="8" w:color="auto"/>
            </w:tcBorders>
            <w:shd w:val="clear" w:color="auto" w:fill="29650B"/>
          </w:tcPr>
          <w:p>
            <w:pPr>
              <w:spacing w:after="0"/>
              <w:rPr>
                <w:sz w:val="21"/>
                <w:szCs w:val="21"/>
                <w:color w:val="auto"/>
              </w:rPr>
            </w:pPr>
          </w:p>
        </w:tc>
        <w:tc>
          <w:tcPr>
            <w:tcW w:w="1140" w:type="dxa"/>
            <w:vAlign w:val="bottom"/>
            <w:tcBorders>
              <w:right w:val="single" w:sz="8" w:color="29650B"/>
            </w:tcBorders>
            <w:shd w:val="clear" w:color="auto" w:fill="29650B"/>
          </w:tcPr>
          <w:p>
            <w:pPr>
              <w:spacing w:after="0"/>
              <w:rPr>
                <w:sz w:val="21"/>
                <w:szCs w:val="21"/>
                <w:color w:val="auto"/>
              </w:rPr>
            </w:pPr>
          </w:p>
        </w:tc>
        <w:tc>
          <w:tcPr>
            <w:tcW w:w="1000" w:type="dxa"/>
            <w:vAlign w:val="bottom"/>
            <w:tcBorders>
              <w:right w:val="single" w:sz="8" w:color="29650B"/>
            </w:tcBorders>
            <w:shd w:val="clear" w:color="auto" w:fill="29650B"/>
          </w:tcPr>
          <w:p>
            <w:pPr>
              <w:spacing w:after="0"/>
              <w:rPr>
                <w:sz w:val="21"/>
                <w:szCs w:val="21"/>
                <w:color w:val="auto"/>
              </w:rPr>
            </w:pPr>
          </w:p>
        </w:tc>
        <w:tc>
          <w:tcPr>
            <w:tcW w:w="1180" w:type="dxa"/>
            <w:vAlign w:val="bottom"/>
            <w:tcBorders>
              <w:right w:val="single" w:sz="8" w:color="auto"/>
            </w:tcBorders>
            <w:shd w:val="clear" w:color="auto" w:fill="29650B"/>
          </w:tcPr>
          <w:p>
            <w:pPr>
              <w:spacing w:after="0"/>
              <w:rPr>
                <w:sz w:val="21"/>
                <w:szCs w:val="21"/>
                <w:color w:val="auto"/>
              </w:rPr>
            </w:pPr>
          </w:p>
        </w:tc>
        <w:tc>
          <w:tcPr>
            <w:tcW w:w="106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9"/>
              </w:rPr>
              <w:t>All</w:t>
            </w:r>
          </w:p>
        </w:tc>
        <w:tc>
          <w:tcPr>
            <w:tcW w:w="104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7"/>
              </w:rPr>
              <w:t>Grant</w:t>
            </w: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right w:val="single" w:sz="8" w:color="auto"/>
            </w:tcBorders>
            <w:shd w:val="clear" w:color="auto" w:fill="29650B"/>
          </w:tcPr>
          <w:p>
            <w:pPr>
              <w:spacing w:after="0"/>
              <w:rPr>
                <w:sz w:val="21"/>
                <w:szCs w:val="21"/>
                <w:color w:val="auto"/>
              </w:rPr>
            </w:pPr>
          </w:p>
        </w:tc>
        <w:tc>
          <w:tcPr>
            <w:tcW w:w="1100" w:type="dxa"/>
            <w:vAlign w:val="bottom"/>
            <w:tcBorders>
              <w:right w:val="single" w:sz="8" w:color="auto"/>
            </w:tcBorders>
            <w:shd w:val="clear" w:color="auto" w:fill="29650B"/>
          </w:tcPr>
          <w:p>
            <w:pPr>
              <w:spacing w:after="0"/>
              <w:rPr>
                <w:sz w:val="21"/>
                <w:szCs w:val="21"/>
                <w:color w:val="auto"/>
              </w:rPr>
            </w:pPr>
          </w:p>
        </w:tc>
        <w:tc>
          <w:tcPr>
            <w:tcW w:w="1160" w:type="dxa"/>
            <w:vAlign w:val="bottom"/>
            <w:tcBorders>
              <w:right w:val="single" w:sz="8" w:color="29650B"/>
            </w:tcBorders>
            <w:shd w:val="clear" w:color="auto" w:fill="29650B"/>
          </w:tcPr>
          <w:p>
            <w:pPr>
              <w:spacing w:after="0"/>
              <w:rPr>
                <w:sz w:val="21"/>
                <w:szCs w:val="21"/>
                <w:color w:val="auto"/>
              </w:rPr>
            </w:pPr>
          </w:p>
        </w:tc>
        <w:tc>
          <w:tcPr>
            <w:tcW w:w="1080" w:type="dxa"/>
            <w:vAlign w:val="bottom"/>
            <w:tcBorders>
              <w:right w:val="single" w:sz="8" w:color="29650B"/>
            </w:tcBorders>
            <w:shd w:val="clear" w:color="auto" w:fill="29650B"/>
          </w:tcPr>
          <w:p>
            <w:pPr>
              <w:spacing w:after="0"/>
              <w:rPr>
                <w:sz w:val="21"/>
                <w:szCs w:val="21"/>
                <w:color w:val="auto"/>
              </w:rPr>
            </w:pPr>
          </w:p>
        </w:tc>
        <w:tc>
          <w:tcPr>
            <w:tcW w:w="1400" w:type="dxa"/>
            <w:vAlign w:val="bottom"/>
            <w:tcBorders>
              <w:right w:val="single" w:sz="8" w:color="auto"/>
            </w:tcBorders>
            <w:shd w:val="clear" w:color="auto" w:fill="29650B"/>
          </w:tcPr>
          <w:p>
            <w:pPr>
              <w:spacing w:after="0"/>
              <w:rPr>
                <w:sz w:val="21"/>
                <w:szCs w:val="21"/>
                <w:color w:val="auto"/>
              </w:rPr>
            </w:pPr>
          </w:p>
        </w:tc>
        <w:tc>
          <w:tcPr>
            <w:tcW w:w="1140" w:type="dxa"/>
            <w:vAlign w:val="bottom"/>
            <w:tcBorders>
              <w:right w:val="single" w:sz="8" w:color="29650B"/>
            </w:tcBorders>
            <w:shd w:val="clear" w:color="auto" w:fill="29650B"/>
          </w:tcPr>
          <w:p>
            <w:pPr>
              <w:spacing w:after="0"/>
              <w:rPr>
                <w:sz w:val="21"/>
                <w:szCs w:val="21"/>
                <w:color w:val="auto"/>
              </w:rPr>
            </w:pPr>
          </w:p>
        </w:tc>
        <w:tc>
          <w:tcPr>
            <w:tcW w:w="1000" w:type="dxa"/>
            <w:vAlign w:val="bottom"/>
            <w:tcBorders>
              <w:right w:val="single" w:sz="8" w:color="29650B"/>
            </w:tcBorders>
            <w:shd w:val="clear" w:color="auto" w:fill="29650B"/>
          </w:tcPr>
          <w:p>
            <w:pPr>
              <w:spacing w:after="0"/>
              <w:rPr>
                <w:sz w:val="21"/>
                <w:szCs w:val="21"/>
                <w:color w:val="auto"/>
              </w:rPr>
            </w:pPr>
          </w:p>
        </w:tc>
        <w:tc>
          <w:tcPr>
            <w:tcW w:w="1180" w:type="dxa"/>
            <w:vAlign w:val="bottom"/>
            <w:tcBorders>
              <w:right w:val="single" w:sz="8" w:color="auto"/>
            </w:tcBorders>
            <w:shd w:val="clear" w:color="auto" w:fill="29650B"/>
          </w:tcPr>
          <w:p>
            <w:pPr>
              <w:spacing w:after="0"/>
              <w:rPr>
                <w:sz w:val="21"/>
                <w:szCs w:val="21"/>
                <w:color w:val="auto"/>
              </w:rPr>
            </w:pPr>
          </w:p>
        </w:tc>
        <w:tc>
          <w:tcPr>
            <w:tcW w:w="106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5"/>
              </w:rPr>
              <w:t>Other</w:t>
            </w:r>
          </w:p>
        </w:tc>
        <w:tc>
          <w:tcPr>
            <w:tcW w:w="104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5"/>
              </w:rPr>
              <w:t>Date</w:t>
            </w:r>
          </w:p>
        </w:tc>
        <w:tc>
          <w:tcPr>
            <w:tcW w:w="0" w:type="dxa"/>
            <w:vAlign w:val="bottom"/>
          </w:tcPr>
          <w:p>
            <w:pPr>
              <w:spacing w:after="0"/>
              <w:rPr>
                <w:sz w:val="1"/>
                <w:szCs w:val="1"/>
                <w:color w:val="auto"/>
              </w:rPr>
            </w:pPr>
          </w:p>
        </w:tc>
      </w:tr>
      <w:tr>
        <w:trPr>
          <w:trHeight w:val="288"/>
        </w:trPr>
        <w:tc>
          <w:tcPr>
            <w:tcW w:w="1080" w:type="dxa"/>
            <w:vAlign w:val="bottom"/>
            <w:tcBorders>
              <w:left w:val="single" w:sz="8" w:color="auto"/>
              <w:right w:val="single" w:sz="8" w:color="auto"/>
            </w:tcBorders>
            <w:shd w:val="clear" w:color="auto" w:fill="29650B"/>
          </w:tcPr>
          <w:p>
            <w:pPr>
              <w:spacing w:after="0"/>
              <w:rPr>
                <w:sz w:val="24"/>
                <w:szCs w:val="24"/>
                <w:color w:val="auto"/>
              </w:rPr>
            </w:pPr>
          </w:p>
        </w:tc>
        <w:tc>
          <w:tcPr>
            <w:tcW w:w="1100" w:type="dxa"/>
            <w:vAlign w:val="bottom"/>
            <w:tcBorders>
              <w:right w:val="single" w:sz="8" w:color="auto"/>
            </w:tcBorders>
            <w:shd w:val="clear" w:color="auto" w:fill="29650B"/>
          </w:tcPr>
          <w:p>
            <w:pPr>
              <w:spacing w:after="0"/>
              <w:rPr>
                <w:sz w:val="24"/>
                <w:szCs w:val="24"/>
                <w:color w:val="auto"/>
              </w:rPr>
            </w:pPr>
          </w:p>
        </w:tc>
        <w:tc>
          <w:tcPr>
            <w:tcW w:w="364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Estimated Future Payouts under</w:t>
            </w:r>
          </w:p>
        </w:tc>
        <w:tc>
          <w:tcPr>
            <w:tcW w:w="1140" w:type="dxa"/>
            <w:vAlign w:val="bottom"/>
            <w:tcBorders>
              <w:right w:val="single" w:sz="8" w:color="29650B"/>
            </w:tcBorders>
            <w:shd w:val="clear" w:color="auto" w:fill="29650B"/>
          </w:tcPr>
          <w:p>
            <w:pPr>
              <w:spacing w:after="0"/>
              <w:rPr>
                <w:sz w:val="24"/>
                <w:szCs w:val="24"/>
                <w:color w:val="auto"/>
              </w:rPr>
            </w:pPr>
          </w:p>
        </w:tc>
        <w:tc>
          <w:tcPr>
            <w:tcW w:w="1000" w:type="dxa"/>
            <w:vAlign w:val="bottom"/>
            <w:tcBorders>
              <w:right w:val="single" w:sz="8" w:color="29650B"/>
            </w:tcBorders>
            <w:shd w:val="clear" w:color="auto" w:fill="29650B"/>
          </w:tcPr>
          <w:p>
            <w:pPr>
              <w:spacing w:after="0"/>
              <w:rPr>
                <w:sz w:val="24"/>
                <w:szCs w:val="24"/>
                <w:color w:val="auto"/>
              </w:rPr>
            </w:pPr>
          </w:p>
        </w:tc>
        <w:tc>
          <w:tcPr>
            <w:tcW w:w="1180" w:type="dxa"/>
            <w:vAlign w:val="bottom"/>
            <w:tcBorders>
              <w:right w:val="single" w:sz="8" w:color="auto"/>
            </w:tcBorders>
            <w:shd w:val="clear" w:color="auto" w:fill="29650B"/>
          </w:tcPr>
          <w:p>
            <w:pPr>
              <w:spacing w:after="0"/>
              <w:rPr>
                <w:sz w:val="24"/>
                <w:szCs w:val="24"/>
                <w:color w:val="auto"/>
              </w:rPr>
            </w:pPr>
          </w:p>
        </w:tc>
        <w:tc>
          <w:tcPr>
            <w:tcW w:w="10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Stock</w:t>
            </w:r>
          </w:p>
        </w:tc>
        <w:tc>
          <w:tcPr>
            <w:tcW w:w="10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9"/>
              </w:rPr>
              <w:t>Fair</w:t>
            </w: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right w:val="single" w:sz="8" w:color="auto"/>
            </w:tcBorders>
            <w:shd w:val="clear" w:color="auto" w:fill="29650B"/>
          </w:tcPr>
          <w:p>
            <w:pPr>
              <w:spacing w:after="0"/>
              <w:rPr>
                <w:sz w:val="21"/>
                <w:szCs w:val="21"/>
                <w:color w:val="auto"/>
              </w:rPr>
            </w:pPr>
          </w:p>
        </w:tc>
        <w:tc>
          <w:tcPr>
            <w:tcW w:w="1100" w:type="dxa"/>
            <w:vAlign w:val="bottom"/>
            <w:tcBorders>
              <w:right w:val="single" w:sz="8" w:color="auto"/>
            </w:tcBorders>
            <w:shd w:val="clear" w:color="auto" w:fill="29650B"/>
          </w:tcPr>
          <w:p>
            <w:pPr>
              <w:spacing w:after="0"/>
              <w:rPr>
                <w:sz w:val="21"/>
                <w:szCs w:val="21"/>
                <w:color w:val="auto"/>
              </w:rPr>
            </w:pPr>
          </w:p>
        </w:tc>
        <w:tc>
          <w:tcPr>
            <w:tcW w:w="3640" w:type="dxa"/>
            <w:vAlign w:val="bottom"/>
            <w:tcBorders>
              <w:right w:val="single" w:sz="8" w:color="auto"/>
            </w:tcBorders>
            <w:gridSpan w:val="3"/>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7"/>
              </w:rPr>
              <w:t>Non-Equity Incentive Plan Awards</w:t>
            </w:r>
          </w:p>
        </w:tc>
        <w:tc>
          <w:tcPr>
            <w:tcW w:w="3320" w:type="dxa"/>
            <w:vAlign w:val="bottom"/>
            <w:tcBorders>
              <w:right w:val="single" w:sz="8" w:color="auto"/>
            </w:tcBorders>
            <w:gridSpan w:val="3"/>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8"/>
              </w:rPr>
              <w:t>Estimated Future Payouts under</w:t>
            </w:r>
          </w:p>
        </w:tc>
        <w:tc>
          <w:tcPr>
            <w:tcW w:w="106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6"/>
              </w:rPr>
              <w:t>Awards:</w:t>
            </w:r>
          </w:p>
        </w:tc>
        <w:tc>
          <w:tcPr>
            <w:tcW w:w="104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6"/>
              </w:rPr>
              <w:t>Value of</w:t>
            </w: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right w:val="single" w:sz="8" w:color="auto"/>
            </w:tcBorders>
            <w:shd w:val="clear" w:color="auto" w:fill="29650B"/>
          </w:tcPr>
          <w:p>
            <w:pPr>
              <w:spacing w:after="0"/>
              <w:rPr>
                <w:sz w:val="21"/>
                <w:szCs w:val="21"/>
                <w:color w:val="auto"/>
              </w:rPr>
            </w:pPr>
          </w:p>
        </w:tc>
        <w:tc>
          <w:tcPr>
            <w:tcW w:w="1100" w:type="dxa"/>
            <w:vAlign w:val="bottom"/>
            <w:tcBorders>
              <w:right w:val="single" w:sz="8" w:color="auto"/>
            </w:tcBorders>
            <w:shd w:val="clear" w:color="auto" w:fill="29650B"/>
          </w:tcPr>
          <w:p>
            <w:pPr>
              <w:spacing w:after="0"/>
              <w:rPr>
                <w:sz w:val="21"/>
                <w:szCs w:val="21"/>
                <w:color w:val="auto"/>
              </w:rPr>
            </w:pPr>
          </w:p>
        </w:tc>
        <w:tc>
          <w:tcPr>
            <w:tcW w:w="1160" w:type="dxa"/>
            <w:vAlign w:val="bottom"/>
            <w:tcBorders>
              <w:right w:val="single" w:sz="8" w:color="29650B"/>
            </w:tcBorders>
            <w:shd w:val="clear" w:color="auto" w:fill="29650B"/>
          </w:tcPr>
          <w:p>
            <w:pPr>
              <w:spacing w:after="0"/>
              <w:rPr>
                <w:sz w:val="21"/>
                <w:szCs w:val="21"/>
                <w:color w:val="auto"/>
              </w:rPr>
            </w:pPr>
          </w:p>
        </w:tc>
        <w:tc>
          <w:tcPr>
            <w:tcW w:w="1080" w:type="dxa"/>
            <w:vAlign w:val="bottom"/>
            <w:tcBorders>
              <w:right w:val="single" w:sz="8" w:color="29650B"/>
            </w:tcBorders>
            <w:shd w:val="clear" w:color="auto" w:fill="29650B"/>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FFFFFF"/>
              </w:rPr>
              <w:t>(1)</w:t>
            </w:r>
          </w:p>
        </w:tc>
        <w:tc>
          <w:tcPr>
            <w:tcW w:w="1400" w:type="dxa"/>
            <w:vAlign w:val="bottom"/>
            <w:tcBorders>
              <w:right w:val="single" w:sz="8" w:color="auto"/>
            </w:tcBorders>
            <w:shd w:val="clear" w:color="auto" w:fill="29650B"/>
          </w:tcPr>
          <w:p>
            <w:pPr>
              <w:spacing w:after="0"/>
              <w:rPr>
                <w:sz w:val="21"/>
                <w:szCs w:val="21"/>
                <w:color w:val="auto"/>
              </w:rPr>
            </w:pPr>
          </w:p>
        </w:tc>
        <w:tc>
          <w:tcPr>
            <w:tcW w:w="3320" w:type="dxa"/>
            <w:vAlign w:val="bottom"/>
            <w:tcBorders>
              <w:right w:val="single" w:sz="8" w:color="auto"/>
            </w:tcBorders>
            <w:gridSpan w:val="3"/>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7"/>
              </w:rPr>
              <w:t>Equity Incentive Plan Awards (2)</w:t>
            </w:r>
          </w:p>
        </w:tc>
        <w:tc>
          <w:tcPr>
            <w:tcW w:w="106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9"/>
              </w:rPr>
              <w:t>Number</w:t>
            </w:r>
          </w:p>
        </w:tc>
        <w:tc>
          <w:tcPr>
            <w:tcW w:w="104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8"/>
              </w:rPr>
              <w:t>Stock</w:t>
            </w:r>
          </w:p>
        </w:tc>
        <w:tc>
          <w:tcPr>
            <w:tcW w:w="0" w:type="dxa"/>
            <w:vAlign w:val="bottom"/>
          </w:tcPr>
          <w:p>
            <w:pPr>
              <w:spacing w:after="0"/>
              <w:rPr>
                <w:sz w:val="1"/>
                <w:szCs w:val="1"/>
                <w:color w:val="auto"/>
              </w:rPr>
            </w:pPr>
          </w:p>
        </w:tc>
      </w:tr>
      <w:tr>
        <w:trPr>
          <w:trHeight w:val="198"/>
        </w:trPr>
        <w:tc>
          <w:tcPr>
            <w:tcW w:w="1080" w:type="dxa"/>
            <w:vAlign w:val="bottom"/>
            <w:tcBorders>
              <w:left w:val="single" w:sz="8" w:color="auto"/>
              <w:right w:val="single" w:sz="8" w:color="auto"/>
            </w:tcBorders>
            <w:shd w:val="clear" w:color="auto" w:fill="29650B"/>
          </w:tcPr>
          <w:p>
            <w:pPr>
              <w:spacing w:after="0"/>
              <w:rPr>
                <w:sz w:val="17"/>
                <w:szCs w:val="17"/>
                <w:color w:val="auto"/>
              </w:rPr>
            </w:pPr>
          </w:p>
        </w:tc>
        <w:tc>
          <w:tcPr>
            <w:tcW w:w="1100" w:type="dxa"/>
            <w:vAlign w:val="bottom"/>
            <w:tcBorders>
              <w:right w:val="single" w:sz="8" w:color="auto"/>
            </w:tcBorders>
            <w:shd w:val="clear" w:color="auto" w:fill="29650B"/>
          </w:tcPr>
          <w:p>
            <w:pPr>
              <w:spacing w:after="0"/>
              <w:rPr>
                <w:sz w:val="17"/>
                <w:szCs w:val="17"/>
                <w:color w:val="auto"/>
              </w:rPr>
            </w:pPr>
          </w:p>
        </w:tc>
        <w:tc>
          <w:tcPr>
            <w:tcW w:w="1160" w:type="dxa"/>
            <w:vAlign w:val="bottom"/>
            <w:tcBorders>
              <w:right w:val="single" w:sz="8" w:color="29650B"/>
            </w:tcBorders>
            <w:shd w:val="clear" w:color="auto" w:fill="29650B"/>
          </w:tcPr>
          <w:p>
            <w:pPr>
              <w:spacing w:after="0"/>
              <w:rPr>
                <w:sz w:val="17"/>
                <w:szCs w:val="17"/>
                <w:color w:val="auto"/>
              </w:rPr>
            </w:pPr>
          </w:p>
        </w:tc>
        <w:tc>
          <w:tcPr>
            <w:tcW w:w="1080" w:type="dxa"/>
            <w:vAlign w:val="bottom"/>
            <w:tcBorders>
              <w:right w:val="single" w:sz="8" w:color="29650B"/>
            </w:tcBorders>
            <w:shd w:val="clear" w:color="auto" w:fill="29650B"/>
          </w:tcPr>
          <w:p>
            <w:pPr>
              <w:spacing w:after="0"/>
              <w:rPr>
                <w:sz w:val="17"/>
                <w:szCs w:val="17"/>
                <w:color w:val="auto"/>
              </w:rPr>
            </w:pPr>
          </w:p>
        </w:tc>
        <w:tc>
          <w:tcPr>
            <w:tcW w:w="1400" w:type="dxa"/>
            <w:vAlign w:val="bottom"/>
            <w:tcBorders>
              <w:right w:val="single" w:sz="8" w:color="auto"/>
            </w:tcBorders>
            <w:shd w:val="clear" w:color="auto" w:fill="29650B"/>
          </w:tcPr>
          <w:p>
            <w:pPr>
              <w:spacing w:after="0"/>
              <w:rPr>
                <w:sz w:val="17"/>
                <w:szCs w:val="17"/>
                <w:color w:val="auto"/>
              </w:rPr>
            </w:pPr>
          </w:p>
        </w:tc>
        <w:tc>
          <w:tcPr>
            <w:tcW w:w="1140" w:type="dxa"/>
            <w:vAlign w:val="bottom"/>
            <w:tcBorders>
              <w:right w:val="single" w:sz="8" w:color="29650B"/>
            </w:tcBorders>
            <w:shd w:val="clear" w:color="auto" w:fill="29650B"/>
          </w:tcPr>
          <w:p>
            <w:pPr>
              <w:spacing w:after="0"/>
              <w:rPr>
                <w:sz w:val="17"/>
                <w:szCs w:val="17"/>
                <w:color w:val="auto"/>
              </w:rPr>
            </w:pPr>
          </w:p>
        </w:tc>
        <w:tc>
          <w:tcPr>
            <w:tcW w:w="1000" w:type="dxa"/>
            <w:vAlign w:val="bottom"/>
            <w:tcBorders>
              <w:right w:val="single" w:sz="8" w:color="29650B"/>
            </w:tcBorders>
            <w:shd w:val="clear" w:color="auto" w:fill="29650B"/>
          </w:tcPr>
          <w:p>
            <w:pPr>
              <w:spacing w:after="0"/>
              <w:rPr>
                <w:sz w:val="17"/>
                <w:szCs w:val="17"/>
                <w:color w:val="auto"/>
              </w:rPr>
            </w:pPr>
          </w:p>
        </w:tc>
        <w:tc>
          <w:tcPr>
            <w:tcW w:w="1180" w:type="dxa"/>
            <w:vAlign w:val="bottom"/>
            <w:tcBorders>
              <w:right w:val="single" w:sz="8" w:color="auto"/>
            </w:tcBorders>
            <w:shd w:val="clear" w:color="auto" w:fill="29650B"/>
          </w:tcPr>
          <w:p>
            <w:pPr>
              <w:spacing w:after="0"/>
              <w:rPr>
                <w:sz w:val="17"/>
                <w:szCs w:val="17"/>
                <w:color w:val="auto"/>
              </w:rPr>
            </w:pPr>
          </w:p>
        </w:tc>
        <w:tc>
          <w:tcPr>
            <w:tcW w:w="1060" w:type="dxa"/>
            <w:vAlign w:val="bottom"/>
            <w:tcBorders>
              <w:right w:val="single" w:sz="8" w:color="auto"/>
            </w:tcBorders>
            <w:shd w:val="clear" w:color="auto" w:fill="29650B"/>
          </w:tcPr>
          <w:p>
            <w:pPr>
              <w:jc w:val="center"/>
              <w:spacing w:after="0" w:line="198" w:lineRule="exact"/>
              <w:rPr>
                <w:sz w:val="20"/>
                <w:szCs w:val="20"/>
                <w:color w:val="auto"/>
              </w:rPr>
            </w:pPr>
            <w:r>
              <w:rPr>
                <w:rFonts w:ascii="Times New Roman" w:cs="Times New Roman" w:eastAsia="Times New Roman" w:hAnsi="Times New Roman"/>
                <w:sz w:val="22"/>
                <w:szCs w:val="22"/>
                <w:b w:val="1"/>
                <w:bCs w:val="1"/>
                <w:color w:val="FFFFFF"/>
                <w:w w:val="97"/>
              </w:rPr>
              <w:t>of</w:t>
            </w:r>
          </w:p>
        </w:tc>
        <w:tc>
          <w:tcPr>
            <w:tcW w:w="1040" w:type="dxa"/>
            <w:vAlign w:val="bottom"/>
            <w:tcBorders>
              <w:right w:val="single" w:sz="8" w:color="auto"/>
            </w:tcBorders>
            <w:shd w:val="clear" w:color="auto" w:fill="29650B"/>
          </w:tcPr>
          <w:p>
            <w:pPr>
              <w:jc w:val="center"/>
              <w:spacing w:after="0" w:line="198" w:lineRule="exact"/>
              <w:rPr>
                <w:sz w:val="20"/>
                <w:szCs w:val="20"/>
                <w:color w:val="auto"/>
              </w:rPr>
            </w:pPr>
            <w:r>
              <w:rPr>
                <w:rFonts w:ascii="Times New Roman" w:cs="Times New Roman" w:eastAsia="Times New Roman" w:hAnsi="Times New Roman"/>
                <w:sz w:val="22"/>
                <w:szCs w:val="22"/>
                <w:b w:val="1"/>
                <w:bCs w:val="1"/>
                <w:color w:val="FFFFFF"/>
                <w:w w:val="95"/>
              </w:rPr>
              <w:t>and</w:t>
            </w:r>
          </w:p>
        </w:tc>
        <w:tc>
          <w:tcPr>
            <w:tcW w:w="0" w:type="dxa"/>
            <w:vAlign w:val="bottom"/>
          </w:tcPr>
          <w:p>
            <w:pPr>
              <w:spacing w:after="0"/>
              <w:rPr>
                <w:sz w:val="1"/>
                <w:szCs w:val="1"/>
                <w:color w:val="auto"/>
              </w:rPr>
            </w:pPr>
          </w:p>
        </w:tc>
      </w:tr>
      <w:tr>
        <w:trPr>
          <w:trHeight w:val="99"/>
        </w:trPr>
        <w:tc>
          <w:tcPr>
            <w:tcW w:w="1080" w:type="dxa"/>
            <w:vAlign w:val="bottom"/>
            <w:tcBorders>
              <w:left w:val="single" w:sz="8" w:color="auto"/>
              <w:bottom w:val="single" w:sz="8" w:color="29650B"/>
              <w:right w:val="single" w:sz="8" w:color="auto"/>
            </w:tcBorders>
            <w:shd w:val="clear" w:color="auto" w:fill="29650B"/>
          </w:tcPr>
          <w:p>
            <w:pPr>
              <w:spacing w:after="0"/>
              <w:rPr>
                <w:sz w:val="8"/>
                <w:szCs w:val="8"/>
                <w:color w:val="auto"/>
              </w:rPr>
            </w:pPr>
          </w:p>
        </w:tc>
        <w:tc>
          <w:tcPr>
            <w:tcW w:w="1100" w:type="dxa"/>
            <w:vAlign w:val="bottom"/>
            <w:tcBorders>
              <w:bottom w:val="single" w:sz="8" w:color="29650B"/>
              <w:right w:val="single" w:sz="8" w:color="auto"/>
            </w:tcBorders>
            <w:vMerge w:val="restart"/>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7"/>
              </w:rPr>
              <w:t>Grant</w:t>
            </w:r>
          </w:p>
        </w:tc>
        <w:tc>
          <w:tcPr>
            <w:tcW w:w="1160" w:type="dxa"/>
            <w:vAlign w:val="bottom"/>
            <w:tcBorders>
              <w:bottom w:val="single" w:sz="8" w:color="auto"/>
              <w:right w:val="single" w:sz="8" w:color="29650B"/>
            </w:tcBorders>
            <w:shd w:val="clear" w:color="auto" w:fill="29650B"/>
          </w:tcPr>
          <w:p>
            <w:pPr>
              <w:spacing w:after="0"/>
              <w:rPr>
                <w:sz w:val="8"/>
                <w:szCs w:val="8"/>
                <w:color w:val="auto"/>
              </w:rPr>
            </w:pPr>
          </w:p>
        </w:tc>
        <w:tc>
          <w:tcPr>
            <w:tcW w:w="1080" w:type="dxa"/>
            <w:vAlign w:val="bottom"/>
            <w:tcBorders>
              <w:bottom w:val="single" w:sz="8" w:color="auto"/>
              <w:right w:val="single" w:sz="8" w:color="29650B"/>
            </w:tcBorders>
            <w:shd w:val="clear" w:color="auto" w:fill="29650B"/>
          </w:tcPr>
          <w:p>
            <w:pPr>
              <w:spacing w:after="0"/>
              <w:rPr>
                <w:sz w:val="8"/>
                <w:szCs w:val="8"/>
                <w:color w:val="auto"/>
              </w:rPr>
            </w:pPr>
          </w:p>
        </w:tc>
        <w:tc>
          <w:tcPr>
            <w:tcW w:w="1400" w:type="dxa"/>
            <w:vAlign w:val="bottom"/>
            <w:tcBorders>
              <w:bottom w:val="single" w:sz="8" w:color="auto"/>
              <w:right w:val="single" w:sz="8" w:color="auto"/>
            </w:tcBorders>
            <w:shd w:val="clear" w:color="auto" w:fill="29650B"/>
          </w:tcPr>
          <w:p>
            <w:pPr>
              <w:spacing w:after="0"/>
              <w:rPr>
                <w:sz w:val="8"/>
                <w:szCs w:val="8"/>
                <w:color w:val="auto"/>
              </w:rPr>
            </w:pPr>
          </w:p>
        </w:tc>
        <w:tc>
          <w:tcPr>
            <w:tcW w:w="1140" w:type="dxa"/>
            <w:vAlign w:val="bottom"/>
            <w:tcBorders>
              <w:bottom w:val="single" w:sz="8" w:color="auto"/>
              <w:right w:val="single" w:sz="8" w:color="29650B"/>
            </w:tcBorders>
            <w:shd w:val="clear" w:color="auto" w:fill="29650B"/>
          </w:tcPr>
          <w:p>
            <w:pPr>
              <w:spacing w:after="0"/>
              <w:rPr>
                <w:sz w:val="8"/>
                <w:szCs w:val="8"/>
                <w:color w:val="auto"/>
              </w:rPr>
            </w:pPr>
          </w:p>
        </w:tc>
        <w:tc>
          <w:tcPr>
            <w:tcW w:w="1000" w:type="dxa"/>
            <w:vAlign w:val="bottom"/>
            <w:tcBorders>
              <w:bottom w:val="single" w:sz="8" w:color="auto"/>
              <w:right w:val="single" w:sz="8" w:color="29650B"/>
            </w:tcBorders>
            <w:shd w:val="clear" w:color="auto" w:fill="29650B"/>
          </w:tcPr>
          <w:p>
            <w:pPr>
              <w:spacing w:after="0"/>
              <w:rPr>
                <w:sz w:val="8"/>
                <w:szCs w:val="8"/>
                <w:color w:val="auto"/>
              </w:rPr>
            </w:pPr>
          </w:p>
        </w:tc>
        <w:tc>
          <w:tcPr>
            <w:tcW w:w="1180" w:type="dxa"/>
            <w:vAlign w:val="bottom"/>
            <w:tcBorders>
              <w:bottom w:val="single" w:sz="8" w:color="auto"/>
              <w:right w:val="single" w:sz="8" w:color="auto"/>
            </w:tcBorders>
            <w:shd w:val="clear" w:color="auto" w:fill="29650B"/>
          </w:tcPr>
          <w:p>
            <w:pPr>
              <w:spacing w:after="0"/>
              <w:rPr>
                <w:sz w:val="8"/>
                <w:szCs w:val="8"/>
                <w:color w:val="auto"/>
              </w:rPr>
            </w:pPr>
          </w:p>
        </w:tc>
        <w:tc>
          <w:tcPr>
            <w:tcW w:w="1060" w:type="dxa"/>
            <w:vAlign w:val="bottom"/>
            <w:tcBorders>
              <w:bottom w:val="single" w:sz="8" w:color="29650B"/>
              <w:right w:val="single" w:sz="8" w:color="auto"/>
            </w:tcBorders>
            <w:vMerge w:val="restart"/>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7"/>
              </w:rPr>
              <w:t>Shares</w:t>
            </w:r>
          </w:p>
        </w:tc>
        <w:tc>
          <w:tcPr>
            <w:tcW w:w="1040" w:type="dxa"/>
            <w:vAlign w:val="bottom"/>
            <w:tcBorders>
              <w:bottom w:val="single" w:sz="8" w:color="29650B"/>
              <w:right w:val="single" w:sz="8" w:color="auto"/>
            </w:tcBorders>
            <w:vMerge w:val="restart"/>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9"/>
              </w:rPr>
              <w:t>Option</w:t>
            </w:r>
          </w:p>
        </w:tc>
        <w:tc>
          <w:tcPr>
            <w:tcW w:w="0" w:type="dxa"/>
            <w:vAlign w:val="bottom"/>
          </w:tcPr>
          <w:p>
            <w:pPr>
              <w:spacing w:after="0"/>
              <w:rPr>
                <w:sz w:val="1"/>
                <w:szCs w:val="1"/>
                <w:color w:val="auto"/>
              </w:rPr>
            </w:pPr>
          </w:p>
        </w:tc>
      </w:tr>
      <w:tr>
        <w:trPr>
          <w:trHeight w:val="124"/>
        </w:trPr>
        <w:tc>
          <w:tcPr>
            <w:tcW w:w="1080" w:type="dxa"/>
            <w:vAlign w:val="bottom"/>
            <w:tcBorders>
              <w:left w:val="single" w:sz="8" w:color="auto"/>
              <w:right w:val="single" w:sz="8" w:color="auto"/>
            </w:tcBorders>
            <w:shd w:val="clear" w:color="auto" w:fill="29650B"/>
          </w:tcPr>
          <w:p>
            <w:pPr>
              <w:spacing w:after="0"/>
              <w:rPr>
                <w:sz w:val="10"/>
                <w:szCs w:val="10"/>
                <w:color w:val="auto"/>
              </w:rPr>
            </w:pPr>
          </w:p>
        </w:tc>
        <w:tc>
          <w:tcPr>
            <w:tcW w:w="1100" w:type="dxa"/>
            <w:vAlign w:val="bottom"/>
            <w:tcBorders>
              <w:right w:val="single" w:sz="8" w:color="auto"/>
            </w:tcBorders>
            <w:vMerge w:val="continue"/>
            <w:shd w:val="clear" w:color="auto" w:fill="29650B"/>
          </w:tcPr>
          <w:p>
            <w:pPr>
              <w:spacing w:after="0"/>
              <w:rPr>
                <w:sz w:val="10"/>
                <w:szCs w:val="10"/>
                <w:color w:val="auto"/>
              </w:rPr>
            </w:pPr>
          </w:p>
        </w:tc>
        <w:tc>
          <w:tcPr>
            <w:tcW w:w="1160" w:type="dxa"/>
            <w:vAlign w:val="bottom"/>
            <w:tcBorders>
              <w:right w:val="single" w:sz="8" w:color="auto"/>
            </w:tcBorders>
            <w:shd w:val="clear" w:color="auto" w:fill="29650B"/>
          </w:tcPr>
          <w:p>
            <w:pPr>
              <w:spacing w:after="0"/>
              <w:rPr>
                <w:sz w:val="10"/>
                <w:szCs w:val="10"/>
                <w:color w:val="auto"/>
              </w:rPr>
            </w:pPr>
          </w:p>
        </w:tc>
        <w:tc>
          <w:tcPr>
            <w:tcW w:w="1080" w:type="dxa"/>
            <w:vAlign w:val="bottom"/>
            <w:tcBorders>
              <w:right w:val="single" w:sz="8" w:color="auto"/>
            </w:tcBorders>
            <w:shd w:val="clear" w:color="auto" w:fill="29650B"/>
          </w:tcPr>
          <w:p>
            <w:pPr>
              <w:spacing w:after="0"/>
              <w:rPr>
                <w:sz w:val="10"/>
                <w:szCs w:val="10"/>
                <w:color w:val="auto"/>
              </w:rPr>
            </w:pPr>
          </w:p>
        </w:tc>
        <w:tc>
          <w:tcPr>
            <w:tcW w:w="1400" w:type="dxa"/>
            <w:vAlign w:val="bottom"/>
            <w:tcBorders>
              <w:right w:val="single" w:sz="8" w:color="auto"/>
            </w:tcBorders>
            <w:shd w:val="clear" w:color="auto" w:fill="29650B"/>
          </w:tcPr>
          <w:p>
            <w:pPr>
              <w:spacing w:after="0"/>
              <w:rPr>
                <w:sz w:val="10"/>
                <w:szCs w:val="10"/>
                <w:color w:val="auto"/>
              </w:rPr>
            </w:pPr>
          </w:p>
        </w:tc>
        <w:tc>
          <w:tcPr>
            <w:tcW w:w="1140" w:type="dxa"/>
            <w:vAlign w:val="bottom"/>
            <w:tcBorders>
              <w:right w:val="single" w:sz="8" w:color="auto"/>
            </w:tcBorders>
            <w:shd w:val="clear" w:color="auto" w:fill="29650B"/>
          </w:tcPr>
          <w:p>
            <w:pPr>
              <w:spacing w:after="0"/>
              <w:rPr>
                <w:sz w:val="10"/>
                <w:szCs w:val="10"/>
                <w:color w:val="auto"/>
              </w:rPr>
            </w:pPr>
          </w:p>
        </w:tc>
        <w:tc>
          <w:tcPr>
            <w:tcW w:w="1000" w:type="dxa"/>
            <w:vAlign w:val="bottom"/>
            <w:tcBorders>
              <w:right w:val="single" w:sz="8" w:color="auto"/>
            </w:tcBorders>
            <w:shd w:val="clear" w:color="auto" w:fill="29650B"/>
          </w:tcPr>
          <w:p>
            <w:pPr>
              <w:spacing w:after="0"/>
              <w:rPr>
                <w:sz w:val="10"/>
                <w:szCs w:val="10"/>
                <w:color w:val="auto"/>
              </w:rPr>
            </w:pPr>
          </w:p>
        </w:tc>
        <w:tc>
          <w:tcPr>
            <w:tcW w:w="1180" w:type="dxa"/>
            <w:vAlign w:val="bottom"/>
            <w:tcBorders>
              <w:right w:val="single" w:sz="8" w:color="auto"/>
            </w:tcBorders>
            <w:shd w:val="clear" w:color="auto" w:fill="29650B"/>
          </w:tcPr>
          <w:p>
            <w:pPr>
              <w:spacing w:after="0"/>
              <w:rPr>
                <w:sz w:val="10"/>
                <w:szCs w:val="10"/>
                <w:color w:val="auto"/>
              </w:rPr>
            </w:pPr>
          </w:p>
        </w:tc>
        <w:tc>
          <w:tcPr>
            <w:tcW w:w="1060" w:type="dxa"/>
            <w:vAlign w:val="bottom"/>
            <w:tcBorders>
              <w:right w:val="single" w:sz="8" w:color="auto"/>
            </w:tcBorders>
            <w:vMerge w:val="continue"/>
            <w:shd w:val="clear" w:color="auto" w:fill="29650B"/>
          </w:tcPr>
          <w:p>
            <w:pPr>
              <w:spacing w:after="0"/>
              <w:rPr>
                <w:sz w:val="10"/>
                <w:szCs w:val="10"/>
                <w:color w:val="auto"/>
              </w:rPr>
            </w:pPr>
          </w:p>
        </w:tc>
        <w:tc>
          <w:tcPr>
            <w:tcW w:w="1040" w:type="dxa"/>
            <w:vAlign w:val="bottom"/>
            <w:tcBorders>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right w:val="single" w:sz="8" w:color="auto"/>
            </w:tcBorders>
            <w:shd w:val="clear" w:color="auto" w:fill="29650B"/>
          </w:tcPr>
          <w:p>
            <w:pPr>
              <w:spacing w:after="0"/>
              <w:rPr>
                <w:sz w:val="21"/>
                <w:szCs w:val="21"/>
                <w:color w:val="auto"/>
              </w:rPr>
            </w:pPr>
          </w:p>
        </w:tc>
        <w:tc>
          <w:tcPr>
            <w:tcW w:w="110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8"/>
              </w:rPr>
              <w:t>Dates</w:t>
            </w:r>
          </w:p>
        </w:tc>
        <w:tc>
          <w:tcPr>
            <w:tcW w:w="1160" w:type="dxa"/>
            <w:vAlign w:val="bottom"/>
            <w:tcBorders>
              <w:right w:val="single" w:sz="8" w:color="auto"/>
            </w:tcBorders>
            <w:shd w:val="clear" w:color="auto" w:fill="29650B"/>
          </w:tcPr>
          <w:p>
            <w:pPr>
              <w:spacing w:after="0"/>
              <w:rPr>
                <w:sz w:val="21"/>
                <w:szCs w:val="21"/>
                <w:color w:val="auto"/>
              </w:rPr>
            </w:pPr>
          </w:p>
        </w:tc>
        <w:tc>
          <w:tcPr>
            <w:tcW w:w="1080" w:type="dxa"/>
            <w:vAlign w:val="bottom"/>
            <w:tcBorders>
              <w:right w:val="single" w:sz="8" w:color="auto"/>
            </w:tcBorders>
            <w:shd w:val="clear" w:color="auto" w:fill="29650B"/>
          </w:tcPr>
          <w:p>
            <w:pPr>
              <w:spacing w:after="0"/>
              <w:rPr>
                <w:sz w:val="21"/>
                <w:szCs w:val="21"/>
                <w:color w:val="auto"/>
              </w:rPr>
            </w:pPr>
          </w:p>
        </w:tc>
        <w:tc>
          <w:tcPr>
            <w:tcW w:w="1400" w:type="dxa"/>
            <w:vAlign w:val="bottom"/>
            <w:tcBorders>
              <w:right w:val="single" w:sz="8" w:color="auto"/>
            </w:tcBorders>
            <w:shd w:val="clear" w:color="auto" w:fill="29650B"/>
          </w:tcPr>
          <w:p>
            <w:pPr>
              <w:spacing w:after="0"/>
              <w:rPr>
                <w:sz w:val="21"/>
                <w:szCs w:val="21"/>
                <w:color w:val="auto"/>
              </w:rPr>
            </w:pPr>
          </w:p>
        </w:tc>
        <w:tc>
          <w:tcPr>
            <w:tcW w:w="1140" w:type="dxa"/>
            <w:vAlign w:val="bottom"/>
            <w:tcBorders>
              <w:right w:val="single" w:sz="8" w:color="auto"/>
            </w:tcBorders>
            <w:shd w:val="clear" w:color="auto" w:fill="29650B"/>
          </w:tcPr>
          <w:p>
            <w:pPr>
              <w:spacing w:after="0"/>
              <w:rPr>
                <w:sz w:val="21"/>
                <w:szCs w:val="21"/>
                <w:color w:val="auto"/>
              </w:rPr>
            </w:pPr>
          </w:p>
        </w:tc>
        <w:tc>
          <w:tcPr>
            <w:tcW w:w="1000" w:type="dxa"/>
            <w:vAlign w:val="bottom"/>
            <w:tcBorders>
              <w:right w:val="single" w:sz="8" w:color="auto"/>
            </w:tcBorders>
            <w:shd w:val="clear" w:color="auto" w:fill="29650B"/>
          </w:tcPr>
          <w:p>
            <w:pPr>
              <w:spacing w:after="0"/>
              <w:rPr>
                <w:sz w:val="21"/>
                <w:szCs w:val="21"/>
                <w:color w:val="auto"/>
              </w:rPr>
            </w:pPr>
          </w:p>
        </w:tc>
        <w:tc>
          <w:tcPr>
            <w:tcW w:w="1180" w:type="dxa"/>
            <w:vAlign w:val="bottom"/>
            <w:tcBorders>
              <w:right w:val="single" w:sz="8" w:color="auto"/>
            </w:tcBorders>
            <w:shd w:val="clear" w:color="auto" w:fill="29650B"/>
          </w:tcPr>
          <w:p>
            <w:pPr>
              <w:spacing w:after="0"/>
              <w:rPr>
                <w:sz w:val="21"/>
                <w:szCs w:val="21"/>
                <w:color w:val="auto"/>
              </w:rPr>
            </w:pPr>
          </w:p>
        </w:tc>
        <w:tc>
          <w:tcPr>
            <w:tcW w:w="106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6"/>
              </w:rPr>
              <w:t>of Stock</w:t>
            </w:r>
          </w:p>
        </w:tc>
        <w:tc>
          <w:tcPr>
            <w:tcW w:w="104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5"/>
              </w:rPr>
              <w:t>Awards</w:t>
            </w: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right w:val="single" w:sz="8" w:color="auto"/>
            </w:tcBorders>
            <w:shd w:val="clear" w:color="auto" w:fill="29650B"/>
          </w:tcPr>
          <w:p>
            <w:pPr>
              <w:ind w:left="280"/>
              <w:spacing w:after="0" w:line="243" w:lineRule="exact"/>
              <w:rPr>
                <w:sz w:val="20"/>
                <w:szCs w:val="20"/>
                <w:color w:val="auto"/>
              </w:rPr>
            </w:pPr>
            <w:r>
              <w:rPr>
                <w:rFonts w:ascii="Times New Roman" w:cs="Times New Roman" w:eastAsia="Times New Roman" w:hAnsi="Times New Roman"/>
                <w:sz w:val="22"/>
                <w:szCs w:val="22"/>
                <w:b w:val="1"/>
                <w:bCs w:val="1"/>
                <w:color w:val="FFFFFF"/>
              </w:rPr>
              <w:t>Name</w:t>
            </w:r>
          </w:p>
        </w:tc>
        <w:tc>
          <w:tcPr>
            <w:tcW w:w="110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8"/>
              </w:rPr>
              <w:t>of Equity</w:t>
            </w:r>
          </w:p>
        </w:tc>
        <w:tc>
          <w:tcPr>
            <w:tcW w:w="1160" w:type="dxa"/>
            <w:vAlign w:val="bottom"/>
            <w:tcBorders>
              <w:right w:val="single" w:sz="8" w:color="auto"/>
            </w:tcBorders>
            <w:shd w:val="clear" w:color="auto" w:fill="29650B"/>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FFFFFF"/>
              </w:rPr>
              <w:t>Minimum</w:t>
            </w:r>
          </w:p>
        </w:tc>
        <w:tc>
          <w:tcPr>
            <w:tcW w:w="1080" w:type="dxa"/>
            <w:vAlign w:val="bottom"/>
            <w:tcBorders>
              <w:right w:val="single" w:sz="8" w:color="auto"/>
            </w:tcBorders>
            <w:shd w:val="clear" w:color="auto" w:fill="29650B"/>
          </w:tcPr>
          <w:p>
            <w:pPr>
              <w:jc w:val="right"/>
              <w:ind w:right="172"/>
              <w:spacing w:after="0" w:line="243" w:lineRule="exact"/>
              <w:rPr>
                <w:sz w:val="20"/>
                <w:szCs w:val="20"/>
                <w:color w:val="auto"/>
              </w:rPr>
            </w:pPr>
            <w:r>
              <w:rPr>
                <w:rFonts w:ascii="Times New Roman" w:cs="Times New Roman" w:eastAsia="Times New Roman" w:hAnsi="Times New Roman"/>
                <w:sz w:val="22"/>
                <w:szCs w:val="22"/>
                <w:b w:val="1"/>
                <w:bCs w:val="1"/>
                <w:color w:val="FFFFFF"/>
              </w:rPr>
              <w:t>Target</w:t>
            </w:r>
          </w:p>
        </w:tc>
        <w:tc>
          <w:tcPr>
            <w:tcW w:w="1400" w:type="dxa"/>
            <w:vAlign w:val="bottom"/>
            <w:tcBorders>
              <w:right w:val="single" w:sz="8" w:color="auto"/>
            </w:tcBorders>
            <w:shd w:val="clear" w:color="auto" w:fill="29650B"/>
          </w:tcPr>
          <w:p>
            <w:pPr>
              <w:jc w:val="right"/>
              <w:ind w:right="152"/>
              <w:spacing w:after="0" w:line="243" w:lineRule="exact"/>
              <w:rPr>
                <w:sz w:val="20"/>
                <w:szCs w:val="20"/>
                <w:color w:val="auto"/>
              </w:rPr>
            </w:pPr>
            <w:r>
              <w:rPr>
                <w:rFonts w:ascii="Times New Roman" w:cs="Times New Roman" w:eastAsia="Times New Roman" w:hAnsi="Times New Roman"/>
                <w:sz w:val="22"/>
                <w:szCs w:val="22"/>
                <w:b w:val="1"/>
                <w:bCs w:val="1"/>
                <w:color w:val="FFFFFF"/>
              </w:rPr>
              <w:t>Maximum</w:t>
            </w:r>
          </w:p>
        </w:tc>
        <w:tc>
          <w:tcPr>
            <w:tcW w:w="114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7"/>
              </w:rPr>
              <w:t>Minimum</w:t>
            </w:r>
          </w:p>
        </w:tc>
        <w:tc>
          <w:tcPr>
            <w:tcW w:w="100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4"/>
              </w:rPr>
              <w:t>Target</w:t>
            </w:r>
          </w:p>
        </w:tc>
        <w:tc>
          <w:tcPr>
            <w:tcW w:w="1180" w:type="dxa"/>
            <w:vAlign w:val="bottom"/>
            <w:tcBorders>
              <w:right w:val="single" w:sz="8" w:color="auto"/>
            </w:tcBorders>
            <w:shd w:val="clear" w:color="auto" w:fill="29650B"/>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FFFFFF"/>
              </w:rPr>
              <w:t>Maximum</w:t>
            </w:r>
          </w:p>
        </w:tc>
        <w:tc>
          <w:tcPr>
            <w:tcW w:w="106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w w:val="96"/>
              </w:rPr>
              <w:t>or</w:t>
            </w:r>
          </w:p>
        </w:tc>
        <w:tc>
          <w:tcPr>
            <w:tcW w:w="1040" w:type="dxa"/>
            <w:vAlign w:val="bottom"/>
            <w:tcBorders>
              <w:right w:val="single" w:sz="8" w:color="auto"/>
            </w:tcBorders>
            <w:shd w:val="clear" w:color="auto" w:fill="29650B"/>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FFFFFF"/>
              </w:rPr>
              <w:t>(4)</w:t>
            </w:r>
          </w:p>
        </w:tc>
        <w:tc>
          <w:tcPr>
            <w:tcW w:w="0" w:type="dxa"/>
            <w:vAlign w:val="bottom"/>
          </w:tcPr>
          <w:p>
            <w:pPr>
              <w:spacing w:after="0"/>
              <w:rPr>
                <w:sz w:val="1"/>
                <w:szCs w:val="1"/>
                <w:color w:val="auto"/>
              </w:rPr>
            </w:pPr>
          </w:p>
        </w:tc>
      </w:tr>
      <w:tr>
        <w:trPr>
          <w:trHeight w:val="274"/>
        </w:trPr>
        <w:tc>
          <w:tcPr>
            <w:tcW w:w="1080" w:type="dxa"/>
            <w:vAlign w:val="bottom"/>
            <w:tcBorders>
              <w:left w:val="single" w:sz="8" w:color="auto"/>
              <w:bottom w:val="single" w:sz="8" w:color="auto"/>
              <w:right w:val="single" w:sz="8" w:color="auto"/>
            </w:tcBorders>
            <w:shd w:val="clear" w:color="auto" w:fill="29650B"/>
          </w:tcPr>
          <w:p>
            <w:pPr>
              <w:spacing w:after="0"/>
              <w:rPr>
                <w:sz w:val="23"/>
                <w:szCs w:val="23"/>
                <w:color w:val="auto"/>
              </w:rPr>
            </w:pPr>
          </w:p>
        </w:tc>
        <w:tc>
          <w:tcPr>
            <w:tcW w:w="11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Awards</w:t>
            </w:r>
          </w:p>
        </w:tc>
        <w:tc>
          <w:tcPr>
            <w:tcW w:w="11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rPr>
              <w:t>($)</w:t>
            </w:r>
          </w:p>
        </w:tc>
        <w:tc>
          <w:tcPr>
            <w:tcW w:w="1080" w:type="dxa"/>
            <w:vAlign w:val="bottom"/>
            <w:tcBorders>
              <w:bottom w:val="single" w:sz="8" w:color="auto"/>
              <w:right w:val="single" w:sz="8" w:color="auto"/>
            </w:tcBorders>
            <w:shd w:val="clear" w:color="auto" w:fill="29650B"/>
          </w:tcPr>
          <w:p>
            <w:pPr>
              <w:jc w:val="right"/>
              <w:ind w:right="312"/>
              <w:spacing w:after="0"/>
              <w:rPr>
                <w:sz w:val="20"/>
                <w:szCs w:val="20"/>
                <w:color w:val="auto"/>
              </w:rPr>
            </w:pPr>
            <w:r>
              <w:rPr>
                <w:rFonts w:ascii="Times New Roman" w:cs="Times New Roman" w:eastAsia="Times New Roman" w:hAnsi="Times New Roman"/>
                <w:sz w:val="22"/>
                <w:szCs w:val="22"/>
                <w:b w:val="1"/>
                <w:bCs w:val="1"/>
                <w:color w:val="FFFFFF"/>
              </w:rPr>
              <w:t>($)</w:t>
            </w:r>
          </w:p>
        </w:tc>
        <w:tc>
          <w:tcPr>
            <w:tcW w:w="1400" w:type="dxa"/>
            <w:vAlign w:val="bottom"/>
            <w:tcBorders>
              <w:bottom w:val="single" w:sz="8" w:color="auto"/>
              <w:right w:val="single" w:sz="8" w:color="auto"/>
            </w:tcBorders>
            <w:shd w:val="clear" w:color="auto" w:fill="29650B"/>
          </w:tcPr>
          <w:p>
            <w:pPr>
              <w:jc w:val="right"/>
              <w:ind w:right="472"/>
              <w:spacing w:after="0"/>
              <w:rPr>
                <w:sz w:val="20"/>
                <w:szCs w:val="20"/>
                <w:color w:val="auto"/>
              </w:rPr>
            </w:pPr>
            <w:r>
              <w:rPr>
                <w:rFonts w:ascii="Times New Roman" w:cs="Times New Roman" w:eastAsia="Times New Roman" w:hAnsi="Times New Roman"/>
                <w:sz w:val="22"/>
                <w:szCs w:val="22"/>
                <w:b w:val="1"/>
                <w:bCs w:val="1"/>
                <w:color w:val="FFFFFF"/>
              </w:rPr>
              <w:t>($)</w:t>
            </w:r>
          </w:p>
        </w:tc>
        <w:tc>
          <w:tcPr>
            <w:tcW w:w="11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7"/>
              </w:rPr>
              <w:t>(Shares)</w:t>
            </w:r>
          </w:p>
        </w:tc>
        <w:tc>
          <w:tcPr>
            <w:tcW w:w="1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7"/>
              </w:rPr>
              <w:t>(Shares)</w:t>
            </w:r>
          </w:p>
        </w:tc>
        <w:tc>
          <w:tcPr>
            <w:tcW w:w="1180" w:type="dxa"/>
            <w:vAlign w:val="bottom"/>
            <w:tcBorders>
              <w:bottom w:val="single" w:sz="8" w:color="auto"/>
              <w:right w:val="single" w:sz="8" w:color="auto"/>
            </w:tcBorders>
            <w:shd w:val="clear" w:color="auto" w:fill="29650B"/>
          </w:tcPr>
          <w:p>
            <w:pPr>
              <w:jc w:val="right"/>
              <w:ind w:right="112"/>
              <w:spacing w:after="0"/>
              <w:rPr>
                <w:sz w:val="20"/>
                <w:szCs w:val="20"/>
                <w:color w:val="auto"/>
              </w:rPr>
            </w:pPr>
            <w:r>
              <w:rPr>
                <w:rFonts w:ascii="Times New Roman" w:cs="Times New Roman" w:eastAsia="Times New Roman" w:hAnsi="Times New Roman"/>
                <w:sz w:val="22"/>
                <w:szCs w:val="22"/>
                <w:b w:val="1"/>
                <w:bCs w:val="1"/>
                <w:color w:val="FFFFFF"/>
              </w:rPr>
              <w:t>(Shares)</w:t>
            </w:r>
          </w:p>
        </w:tc>
        <w:tc>
          <w:tcPr>
            <w:tcW w:w="10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w w:val="98"/>
              </w:rPr>
              <w:t>Units (3)</w:t>
            </w:r>
          </w:p>
        </w:tc>
        <w:tc>
          <w:tcPr>
            <w:tcW w:w="10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2"/>
                <w:szCs w:val="22"/>
                <w:b w:val="1"/>
                <w:bCs w:val="1"/>
                <w:color w:val="FFFFFF"/>
              </w:rPr>
              <w:t>($)</w:t>
            </w:r>
          </w:p>
        </w:tc>
        <w:tc>
          <w:tcPr>
            <w:tcW w:w="0" w:type="dxa"/>
            <w:vAlign w:val="bottom"/>
          </w:tcPr>
          <w:p>
            <w:pPr>
              <w:spacing w:after="0"/>
              <w:rPr>
                <w:sz w:val="1"/>
                <w:szCs w:val="1"/>
                <w:color w:val="auto"/>
              </w:rPr>
            </w:pPr>
          </w:p>
        </w:tc>
      </w:tr>
      <w:tr>
        <w:trPr>
          <w:trHeight w:val="317"/>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Timothy</w:t>
            </w:r>
          </w:p>
        </w:tc>
        <w:tc>
          <w:tcPr>
            <w:tcW w:w="1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1/3/2025</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108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2,102,500</w:t>
            </w:r>
          </w:p>
        </w:tc>
        <w:tc>
          <w:tcPr>
            <w:tcW w:w="14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4,205,000</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1000" w:type="dxa"/>
            <w:vAlign w:val="bottom"/>
            <w:tcBorders>
              <w:right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rPr>
              <w:t>68,901</w:t>
            </w:r>
          </w:p>
        </w:tc>
        <w:tc>
          <w:tcPr>
            <w:tcW w:w="118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137,802</w:t>
            </w:r>
          </w:p>
        </w:tc>
        <w:tc>
          <w:tcPr>
            <w:tcW w:w="106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36,256</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8,627,475</w:t>
            </w: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Donahue</w:t>
            </w:r>
          </w:p>
        </w:tc>
        <w:tc>
          <w:tcPr>
            <w:tcW w:w="11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(5)</w:t>
            </w:r>
          </w:p>
        </w:tc>
        <w:tc>
          <w:tcPr>
            <w:tcW w:w="1160" w:type="dxa"/>
            <w:vAlign w:val="bottom"/>
            <w:tcBorders>
              <w:right w:val="single" w:sz="8" w:color="auto"/>
            </w:tcBorders>
            <w:vMerge w:val="continue"/>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1000" w:type="dxa"/>
            <w:vAlign w:val="bottom"/>
            <w:tcBorders>
              <w:right w:val="single" w:sz="8" w:color="auto"/>
            </w:tcBorders>
            <w:vMerge w:val="continue"/>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1060" w:type="dxa"/>
            <w:vAlign w:val="bottom"/>
            <w:tcBorders>
              <w:right w:val="single" w:sz="8" w:color="auto"/>
            </w:tcBorders>
            <w:vMerge w:val="continue"/>
          </w:tcPr>
          <w:p>
            <w:pPr>
              <w:spacing w:after="0"/>
              <w:rPr>
                <w:sz w:val="13"/>
                <w:szCs w:val="13"/>
                <w:color w:val="auto"/>
              </w:rPr>
            </w:pPr>
          </w:p>
        </w:tc>
        <w:tc>
          <w:tcPr>
            <w:tcW w:w="10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0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100" w:type="dxa"/>
            <w:vAlign w:val="bottom"/>
            <w:tcBorders>
              <w:bottom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08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Kevin</w:t>
            </w:r>
          </w:p>
        </w:tc>
        <w:tc>
          <w:tcPr>
            <w:tcW w:w="110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color w:val="auto"/>
              </w:rPr>
              <w:t>1/3/2025</w:t>
            </w:r>
          </w:p>
        </w:tc>
        <w:tc>
          <w:tcPr>
            <w:tcW w:w="11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1080" w:type="dxa"/>
            <w:vAlign w:val="bottom"/>
            <w:tcBorders>
              <w:right w:val="single" w:sz="8" w:color="auto"/>
            </w:tcBorders>
            <w:vMerge w:val="restart"/>
            <w:shd w:val="clear" w:color="auto" w:fill="D9D9D9"/>
          </w:tcPr>
          <w:p>
            <w:pPr>
              <w:jc w:val="right"/>
              <w:ind w:right="12"/>
              <w:spacing w:after="0"/>
              <w:rPr>
                <w:sz w:val="20"/>
                <w:szCs w:val="20"/>
                <w:color w:val="auto"/>
              </w:rPr>
            </w:pPr>
            <w:r>
              <w:rPr>
                <w:rFonts w:ascii="Times New Roman" w:cs="Times New Roman" w:eastAsia="Times New Roman" w:hAnsi="Times New Roman"/>
                <w:sz w:val="22"/>
                <w:szCs w:val="22"/>
                <w:color w:val="auto"/>
              </w:rPr>
              <w:t>724,500</w:t>
            </w:r>
          </w:p>
        </w:tc>
        <w:tc>
          <w:tcPr>
            <w:tcW w:w="1400" w:type="dxa"/>
            <w:vAlign w:val="bottom"/>
            <w:tcBorders>
              <w:right w:val="single" w:sz="8" w:color="auto"/>
            </w:tcBorders>
            <w:vMerge w:val="restart"/>
            <w:shd w:val="clear" w:color="auto" w:fill="D9D9D9"/>
          </w:tcPr>
          <w:p>
            <w:pPr>
              <w:jc w:val="right"/>
              <w:spacing w:after="0"/>
              <w:rPr>
                <w:sz w:val="20"/>
                <w:szCs w:val="20"/>
                <w:color w:val="auto"/>
              </w:rPr>
            </w:pPr>
            <w:r>
              <w:rPr>
                <w:rFonts w:ascii="Times New Roman" w:cs="Times New Roman" w:eastAsia="Times New Roman" w:hAnsi="Times New Roman"/>
                <w:sz w:val="22"/>
                <w:szCs w:val="22"/>
                <w:color w:val="auto"/>
              </w:rPr>
              <w:t>1,449,000</w:t>
            </w:r>
          </w:p>
        </w:tc>
        <w:tc>
          <w:tcPr>
            <w:tcW w:w="11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1000" w:type="dxa"/>
            <w:vAlign w:val="bottom"/>
            <w:tcBorders>
              <w:right w:val="single" w:sz="8" w:color="auto"/>
            </w:tcBorders>
            <w:vMerge w:val="restart"/>
            <w:shd w:val="clear" w:color="auto" w:fill="D9D9D9"/>
          </w:tcPr>
          <w:p>
            <w:pPr>
              <w:jc w:val="right"/>
              <w:ind w:right="32"/>
              <w:spacing w:after="0"/>
              <w:rPr>
                <w:sz w:val="20"/>
                <w:szCs w:val="20"/>
                <w:color w:val="auto"/>
              </w:rPr>
            </w:pPr>
            <w:r>
              <w:rPr>
                <w:rFonts w:ascii="Times New Roman" w:cs="Times New Roman" w:eastAsia="Times New Roman" w:hAnsi="Times New Roman"/>
                <w:sz w:val="22"/>
                <w:szCs w:val="22"/>
                <w:color w:val="auto"/>
              </w:rPr>
              <w:t>16,073</w:t>
            </w:r>
          </w:p>
        </w:tc>
        <w:tc>
          <w:tcPr>
            <w:tcW w:w="1180" w:type="dxa"/>
            <w:vAlign w:val="bottom"/>
            <w:tcBorders>
              <w:right w:val="single" w:sz="8" w:color="auto"/>
            </w:tcBorders>
            <w:vMerge w:val="restart"/>
            <w:shd w:val="clear" w:color="auto" w:fill="D9D9D9"/>
          </w:tcPr>
          <w:p>
            <w:pPr>
              <w:jc w:val="right"/>
              <w:ind w:right="12"/>
              <w:spacing w:after="0"/>
              <w:rPr>
                <w:sz w:val="20"/>
                <w:szCs w:val="20"/>
                <w:color w:val="auto"/>
              </w:rPr>
            </w:pPr>
            <w:r>
              <w:rPr>
                <w:rFonts w:ascii="Times New Roman" w:cs="Times New Roman" w:eastAsia="Times New Roman" w:hAnsi="Times New Roman"/>
                <w:sz w:val="22"/>
                <w:szCs w:val="22"/>
                <w:color w:val="auto"/>
              </w:rPr>
              <w:t>32,146</w:t>
            </w:r>
          </w:p>
        </w:tc>
        <w:tc>
          <w:tcPr>
            <w:tcW w:w="1060" w:type="dxa"/>
            <w:vAlign w:val="bottom"/>
            <w:tcBorders>
              <w:right w:val="single" w:sz="8" w:color="auto"/>
            </w:tcBorders>
            <w:vMerge w:val="restart"/>
            <w:shd w:val="clear" w:color="auto" w:fill="D9D9D9"/>
          </w:tcPr>
          <w:p>
            <w:pPr>
              <w:jc w:val="right"/>
              <w:ind w:right="52"/>
              <w:spacing w:after="0"/>
              <w:rPr>
                <w:sz w:val="20"/>
                <w:szCs w:val="20"/>
                <w:color w:val="auto"/>
              </w:rPr>
            </w:pPr>
            <w:r>
              <w:rPr>
                <w:rFonts w:ascii="Times New Roman" w:cs="Times New Roman" w:eastAsia="Times New Roman" w:hAnsi="Times New Roman"/>
                <w:sz w:val="22"/>
                <w:szCs w:val="22"/>
                <w:color w:val="auto"/>
              </w:rPr>
              <w:t>8,457</w:t>
            </w:r>
          </w:p>
        </w:tc>
        <w:tc>
          <w:tcPr>
            <w:tcW w:w="10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7"/>
              </w:rPr>
              <w:t>2,012,535</w:t>
            </w: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Clothier</w:t>
            </w:r>
          </w:p>
        </w:tc>
        <w:tc>
          <w:tcPr>
            <w:tcW w:w="110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22"/>
                <w:szCs w:val="22"/>
                <w:color w:val="auto"/>
              </w:rPr>
              <w:t>(6)</w:t>
            </w:r>
          </w:p>
        </w:tc>
        <w:tc>
          <w:tcPr>
            <w:tcW w:w="1160" w:type="dxa"/>
            <w:vAlign w:val="bottom"/>
            <w:tcBorders>
              <w:right w:val="single" w:sz="8" w:color="auto"/>
            </w:tcBorders>
            <w:vMerge w:val="continue"/>
            <w:shd w:val="clear" w:color="auto" w:fill="D9D9D9"/>
          </w:tcPr>
          <w:p>
            <w:pPr>
              <w:spacing w:after="0"/>
              <w:rPr>
                <w:sz w:val="13"/>
                <w:szCs w:val="13"/>
                <w:color w:val="auto"/>
              </w:rPr>
            </w:pPr>
          </w:p>
        </w:tc>
        <w:tc>
          <w:tcPr>
            <w:tcW w:w="1080" w:type="dxa"/>
            <w:vAlign w:val="bottom"/>
            <w:tcBorders>
              <w:right w:val="single" w:sz="8" w:color="auto"/>
            </w:tcBorders>
            <w:vMerge w:val="continue"/>
            <w:shd w:val="clear" w:color="auto" w:fill="D9D9D9"/>
          </w:tcPr>
          <w:p>
            <w:pPr>
              <w:spacing w:after="0"/>
              <w:rPr>
                <w:sz w:val="13"/>
                <w:szCs w:val="13"/>
                <w:color w:val="auto"/>
              </w:rPr>
            </w:pPr>
          </w:p>
        </w:tc>
        <w:tc>
          <w:tcPr>
            <w:tcW w:w="1400" w:type="dxa"/>
            <w:vAlign w:val="bottom"/>
            <w:tcBorders>
              <w:right w:val="single" w:sz="8" w:color="auto"/>
            </w:tcBorders>
            <w:vMerge w:val="continue"/>
            <w:shd w:val="clear" w:color="auto" w:fill="D9D9D9"/>
          </w:tcPr>
          <w:p>
            <w:pPr>
              <w:spacing w:after="0"/>
              <w:rPr>
                <w:sz w:val="13"/>
                <w:szCs w:val="13"/>
                <w:color w:val="auto"/>
              </w:rPr>
            </w:pPr>
          </w:p>
        </w:tc>
        <w:tc>
          <w:tcPr>
            <w:tcW w:w="1140" w:type="dxa"/>
            <w:vAlign w:val="bottom"/>
            <w:tcBorders>
              <w:right w:val="single" w:sz="8" w:color="auto"/>
            </w:tcBorders>
            <w:vMerge w:val="continue"/>
            <w:shd w:val="clear" w:color="auto" w:fill="D9D9D9"/>
          </w:tcPr>
          <w:p>
            <w:pPr>
              <w:spacing w:after="0"/>
              <w:rPr>
                <w:sz w:val="13"/>
                <w:szCs w:val="13"/>
                <w:color w:val="auto"/>
              </w:rPr>
            </w:pPr>
          </w:p>
        </w:tc>
        <w:tc>
          <w:tcPr>
            <w:tcW w:w="1000" w:type="dxa"/>
            <w:vAlign w:val="bottom"/>
            <w:tcBorders>
              <w:right w:val="single" w:sz="8" w:color="auto"/>
            </w:tcBorders>
            <w:vMerge w:val="continue"/>
            <w:shd w:val="clear" w:color="auto" w:fill="D9D9D9"/>
          </w:tcPr>
          <w:p>
            <w:pPr>
              <w:spacing w:after="0"/>
              <w:rPr>
                <w:sz w:val="13"/>
                <w:szCs w:val="13"/>
                <w:color w:val="auto"/>
              </w:rPr>
            </w:pPr>
          </w:p>
        </w:tc>
        <w:tc>
          <w:tcPr>
            <w:tcW w:w="1180" w:type="dxa"/>
            <w:vAlign w:val="bottom"/>
            <w:tcBorders>
              <w:right w:val="single" w:sz="8" w:color="auto"/>
            </w:tcBorders>
            <w:vMerge w:val="continue"/>
            <w:shd w:val="clear" w:color="auto" w:fill="D9D9D9"/>
          </w:tcPr>
          <w:p>
            <w:pPr>
              <w:spacing w:after="0"/>
              <w:rPr>
                <w:sz w:val="13"/>
                <w:szCs w:val="13"/>
                <w:color w:val="auto"/>
              </w:rPr>
            </w:pPr>
          </w:p>
        </w:tc>
        <w:tc>
          <w:tcPr>
            <w:tcW w:w="1060" w:type="dxa"/>
            <w:vAlign w:val="bottom"/>
            <w:tcBorders>
              <w:right w:val="single" w:sz="8" w:color="auto"/>
            </w:tcBorders>
            <w:vMerge w:val="continue"/>
            <w:shd w:val="clear" w:color="auto" w:fill="D9D9D9"/>
          </w:tcPr>
          <w:p>
            <w:pPr>
              <w:spacing w:after="0"/>
              <w:rPr>
                <w:sz w:val="13"/>
                <w:szCs w:val="13"/>
                <w:color w:val="auto"/>
              </w:rPr>
            </w:pPr>
          </w:p>
        </w:tc>
        <w:tc>
          <w:tcPr>
            <w:tcW w:w="1040" w:type="dxa"/>
            <w:vAlign w:val="bottom"/>
            <w:tcBorders>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080" w:type="dxa"/>
            <w:vAlign w:val="bottom"/>
            <w:tcBorders>
              <w:left w:val="single" w:sz="8" w:color="auto"/>
              <w:bottom w:val="single" w:sz="8" w:color="auto"/>
              <w:right w:val="single" w:sz="8" w:color="auto"/>
            </w:tcBorders>
            <w:vMerge w:val="continue"/>
            <w:shd w:val="clear" w:color="auto" w:fill="D9D9D9"/>
          </w:tcPr>
          <w:p>
            <w:pPr>
              <w:spacing w:after="0"/>
              <w:rPr>
                <w:sz w:val="9"/>
                <w:szCs w:val="9"/>
                <w:color w:val="auto"/>
              </w:rPr>
            </w:pPr>
          </w:p>
        </w:tc>
        <w:tc>
          <w:tcPr>
            <w:tcW w:w="1100" w:type="dxa"/>
            <w:vAlign w:val="bottom"/>
            <w:tcBorders>
              <w:bottom w:val="single" w:sz="8" w:color="auto"/>
              <w:right w:val="single" w:sz="8" w:color="auto"/>
            </w:tcBorders>
            <w:vMerge w:val="continue"/>
            <w:shd w:val="clear" w:color="auto" w:fill="D9D9D9"/>
          </w:tcPr>
          <w:p>
            <w:pPr>
              <w:spacing w:after="0"/>
              <w:rPr>
                <w:sz w:val="9"/>
                <w:szCs w:val="9"/>
                <w:color w:val="auto"/>
              </w:rPr>
            </w:pPr>
          </w:p>
        </w:tc>
        <w:tc>
          <w:tcPr>
            <w:tcW w:w="1160" w:type="dxa"/>
            <w:vAlign w:val="bottom"/>
            <w:tcBorders>
              <w:bottom w:val="single" w:sz="8" w:color="auto"/>
              <w:right w:val="single" w:sz="8" w:color="auto"/>
            </w:tcBorders>
            <w:shd w:val="clear" w:color="auto" w:fill="D9D9D9"/>
          </w:tcPr>
          <w:p>
            <w:pPr>
              <w:spacing w:after="0"/>
              <w:rPr>
                <w:sz w:val="9"/>
                <w:szCs w:val="9"/>
                <w:color w:val="auto"/>
              </w:rPr>
            </w:pPr>
          </w:p>
        </w:tc>
        <w:tc>
          <w:tcPr>
            <w:tcW w:w="1080" w:type="dxa"/>
            <w:vAlign w:val="bottom"/>
            <w:tcBorders>
              <w:bottom w:val="single" w:sz="8" w:color="auto"/>
              <w:right w:val="single" w:sz="8" w:color="auto"/>
            </w:tcBorders>
            <w:shd w:val="clear" w:color="auto" w:fill="D9D9D9"/>
          </w:tcPr>
          <w:p>
            <w:pPr>
              <w:spacing w:after="0"/>
              <w:rPr>
                <w:sz w:val="9"/>
                <w:szCs w:val="9"/>
                <w:color w:val="auto"/>
              </w:rPr>
            </w:pPr>
          </w:p>
        </w:tc>
        <w:tc>
          <w:tcPr>
            <w:tcW w:w="1400" w:type="dxa"/>
            <w:vAlign w:val="bottom"/>
            <w:tcBorders>
              <w:bottom w:val="single" w:sz="8" w:color="auto"/>
              <w:right w:val="single" w:sz="8" w:color="auto"/>
            </w:tcBorders>
            <w:shd w:val="clear" w:color="auto" w:fill="D9D9D9"/>
          </w:tcPr>
          <w:p>
            <w:pPr>
              <w:spacing w:after="0"/>
              <w:rPr>
                <w:sz w:val="9"/>
                <w:szCs w:val="9"/>
                <w:color w:val="auto"/>
              </w:rPr>
            </w:pPr>
          </w:p>
        </w:tc>
        <w:tc>
          <w:tcPr>
            <w:tcW w:w="1140" w:type="dxa"/>
            <w:vAlign w:val="bottom"/>
            <w:tcBorders>
              <w:bottom w:val="single" w:sz="8" w:color="auto"/>
              <w:right w:val="single" w:sz="8" w:color="auto"/>
            </w:tcBorders>
            <w:shd w:val="clear" w:color="auto" w:fill="D9D9D9"/>
          </w:tcPr>
          <w:p>
            <w:pPr>
              <w:spacing w:after="0"/>
              <w:rPr>
                <w:sz w:val="9"/>
                <w:szCs w:val="9"/>
                <w:color w:val="auto"/>
              </w:rPr>
            </w:pPr>
          </w:p>
        </w:tc>
        <w:tc>
          <w:tcPr>
            <w:tcW w:w="1000" w:type="dxa"/>
            <w:vAlign w:val="bottom"/>
            <w:tcBorders>
              <w:bottom w:val="single" w:sz="8" w:color="auto"/>
              <w:right w:val="single" w:sz="8" w:color="auto"/>
            </w:tcBorders>
            <w:shd w:val="clear" w:color="auto" w:fill="D9D9D9"/>
          </w:tcPr>
          <w:p>
            <w:pPr>
              <w:spacing w:after="0"/>
              <w:rPr>
                <w:sz w:val="9"/>
                <w:szCs w:val="9"/>
                <w:color w:val="auto"/>
              </w:rPr>
            </w:pPr>
          </w:p>
        </w:tc>
        <w:tc>
          <w:tcPr>
            <w:tcW w:w="1180" w:type="dxa"/>
            <w:vAlign w:val="bottom"/>
            <w:tcBorders>
              <w:bottom w:val="single" w:sz="8" w:color="auto"/>
              <w:right w:val="single" w:sz="8" w:color="auto"/>
            </w:tcBorders>
            <w:shd w:val="clear" w:color="auto" w:fill="D9D9D9"/>
          </w:tcPr>
          <w:p>
            <w:pPr>
              <w:spacing w:after="0"/>
              <w:rPr>
                <w:sz w:val="9"/>
                <w:szCs w:val="9"/>
                <w:color w:val="auto"/>
              </w:rPr>
            </w:pPr>
          </w:p>
        </w:tc>
        <w:tc>
          <w:tcPr>
            <w:tcW w:w="1060" w:type="dxa"/>
            <w:vAlign w:val="bottom"/>
            <w:tcBorders>
              <w:bottom w:val="single" w:sz="8" w:color="auto"/>
              <w:right w:val="single" w:sz="8" w:color="auto"/>
            </w:tcBorders>
            <w:shd w:val="clear" w:color="auto" w:fill="D9D9D9"/>
          </w:tcPr>
          <w:p>
            <w:pPr>
              <w:spacing w:after="0"/>
              <w:rPr>
                <w:sz w:val="9"/>
                <w:szCs w:val="9"/>
                <w:color w:val="auto"/>
              </w:rPr>
            </w:pPr>
          </w:p>
        </w:tc>
        <w:tc>
          <w:tcPr>
            <w:tcW w:w="1040" w:type="dxa"/>
            <w:vAlign w:val="bottom"/>
            <w:tcBorders>
              <w:bottom w:val="single" w:sz="8" w:color="auto"/>
              <w:right w:val="single" w:sz="8" w:color="auto"/>
            </w:tcBorders>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Gerard</w:t>
            </w:r>
          </w:p>
        </w:tc>
        <w:tc>
          <w:tcPr>
            <w:tcW w:w="1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1/3/2025</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108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1,069,200</w:t>
            </w:r>
          </w:p>
        </w:tc>
        <w:tc>
          <w:tcPr>
            <w:tcW w:w="14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2,138,400</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1000" w:type="dxa"/>
            <w:vAlign w:val="bottom"/>
            <w:tcBorders>
              <w:right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rPr>
              <w:t>26,781</w:t>
            </w:r>
          </w:p>
        </w:tc>
        <w:tc>
          <w:tcPr>
            <w:tcW w:w="118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53,562</w:t>
            </w:r>
          </w:p>
        </w:tc>
        <w:tc>
          <w:tcPr>
            <w:tcW w:w="106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14,092</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3,353,379</w:t>
            </w: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Gifford</w:t>
            </w:r>
          </w:p>
        </w:tc>
        <w:tc>
          <w:tcPr>
            <w:tcW w:w="11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(7)</w:t>
            </w:r>
          </w:p>
        </w:tc>
        <w:tc>
          <w:tcPr>
            <w:tcW w:w="1160" w:type="dxa"/>
            <w:vAlign w:val="bottom"/>
            <w:tcBorders>
              <w:right w:val="single" w:sz="8" w:color="auto"/>
            </w:tcBorders>
            <w:vMerge w:val="continue"/>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1000" w:type="dxa"/>
            <w:vAlign w:val="bottom"/>
            <w:tcBorders>
              <w:right w:val="single" w:sz="8" w:color="auto"/>
            </w:tcBorders>
            <w:vMerge w:val="continue"/>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1060" w:type="dxa"/>
            <w:vAlign w:val="bottom"/>
            <w:tcBorders>
              <w:right w:val="single" w:sz="8" w:color="auto"/>
            </w:tcBorders>
            <w:vMerge w:val="continue"/>
          </w:tcPr>
          <w:p>
            <w:pPr>
              <w:spacing w:after="0"/>
              <w:rPr>
                <w:sz w:val="13"/>
                <w:szCs w:val="13"/>
                <w:color w:val="auto"/>
              </w:rPr>
            </w:pPr>
          </w:p>
        </w:tc>
        <w:tc>
          <w:tcPr>
            <w:tcW w:w="10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0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100" w:type="dxa"/>
            <w:vAlign w:val="bottom"/>
            <w:tcBorders>
              <w:bottom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17"/>
        </w:trPr>
        <w:tc>
          <w:tcPr>
            <w:tcW w:w="1080" w:type="dxa"/>
            <w:vAlign w:val="bottom"/>
            <w:tcBorders>
              <w:left w:val="single" w:sz="8" w:color="auto"/>
              <w:right w:val="single" w:sz="8" w:color="auto"/>
            </w:tcBorders>
            <w:shd w:val="clear" w:color="auto" w:fill="D9D9D9"/>
          </w:tcPr>
          <w:p>
            <w:pPr>
              <w:spacing w:after="0"/>
              <w:rPr>
                <w:sz w:val="24"/>
                <w:szCs w:val="24"/>
                <w:color w:val="auto"/>
              </w:rPr>
            </w:pPr>
          </w:p>
        </w:tc>
        <w:tc>
          <w:tcPr>
            <w:tcW w:w="110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color w:val="auto"/>
              </w:rPr>
              <w:t>1/3/2025</w:t>
            </w:r>
          </w:p>
        </w:tc>
        <w:tc>
          <w:tcPr>
            <w:tcW w:w="1160" w:type="dxa"/>
            <w:vAlign w:val="bottom"/>
            <w:tcBorders>
              <w:right w:val="single" w:sz="8" w:color="auto"/>
            </w:tcBorders>
            <w:shd w:val="clear" w:color="auto" w:fill="D9D9D9"/>
          </w:tcPr>
          <w:p>
            <w:pPr>
              <w:spacing w:after="0"/>
              <w:rPr>
                <w:sz w:val="24"/>
                <w:szCs w:val="24"/>
                <w:color w:val="auto"/>
              </w:rPr>
            </w:pPr>
          </w:p>
        </w:tc>
        <w:tc>
          <w:tcPr>
            <w:tcW w:w="1080" w:type="dxa"/>
            <w:vAlign w:val="bottom"/>
            <w:tcBorders>
              <w:right w:val="single" w:sz="8" w:color="auto"/>
            </w:tcBorders>
            <w:shd w:val="clear" w:color="auto" w:fill="D9D9D9"/>
          </w:tcPr>
          <w:p>
            <w:pPr>
              <w:spacing w:after="0"/>
              <w:rPr>
                <w:sz w:val="24"/>
                <w:szCs w:val="24"/>
                <w:color w:val="auto"/>
              </w:rPr>
            </w:pPr>
          </w:p>
        </w:tc>
        <w:tc>
          <w:tcPr>
            <w:tcW w:w="1400" w:type="dxa"/>
            <w:vAlign w:val="bottom"/>
            <w:tcBorders>
              <w:right w:val="single" w:sz="8" w:color="auto"/>
            </w:tcBorders>
            <w:shd w:val="clear" w:color="auto" w:fill="D9D9D9"/>
          </w:tcPr>
          <w:p>
            <w:pPr>
              <w:spacing w:after="0"/>
              <w:rPr>
                <w:sz w:val="24"/>
                <w:szCs w:val="24"/>
                <w:color w:val="auto"/>
              </w:rPr>
            </w:pPr>
          </w:p>
        </w:tc>
        <w:tc>
          <w:tcPr>
            <w:tcW w:w="1140" w:type="dxa"/>
            <w:vAlign w:val="bottom"/>
            <w:tcBorders>
              <w:right w:val="single" w:sz="8" w:color="auto"/>
            </w:tcBorders>
            <w:shd w:val="clear" w:color="auto" w:fill="D9D9D9"/>
          </w:tcPr>
          <w:p>
            <w:pPr>
              <w:spacing w:after="0"/>
              <w:rPr>
                <w:sz w:val="24"/>
                <w:szCs w:val="24"/>
                <w:color w:val="auto"/>
              </w:rPr>
            </w:pPr>
          </w:p>
        </w:tc>
        <w:tc>
          <w:tcPr>
            <w:tcW w:w="1000" w:type="dxa"/>
            <w:vAlign w:val="bottom"/>
            <w:tcBorders>
              <w:right w:val="single" w:sz="8" w:color="auto"/>
            </w:tcBorders>
            <w:shd w:val="clear" w:color="auto" w:fill="D9D9D9"/>
          </w:tcPr>
          <w:p>
            <w:pPr>
              <w:spacing w:after="0"/>
              <w:rPr>
                <w:sz w:val="24"/>
                <w:szCs w:val="24"/>
                <w:color w:val="auto"/>
              </w:rPr>
            </w:pPr>
          </w:p>
        </w:tc>
        <w:tc>
          <w:tcPr>
            <w:tcW w:w="1180" w:type="dxa"/>
            <w:vAlign w:val="bottom"/>
            <w:tcBorders>
              <w:right w:val="single" w:sz="8" w:color="auto"/>
            </w:tcBorders>
            <w:shd w:val="clear" w:color="auto" w:fill="D9D9D9"/>
          </w:tcPr>
          <w:p>
            <w:pPr>
              <w:spacing w:after="0"/>
              <w:rPr>
                <w:sz w:val="24"/>
                <w:szCs w:val="24"/>
                <w:color w:val="auto"/>
              </w:rPr>
            </w:pPr>
          </w:p>
        </w:tc>
        <w:tc>
          <w:tcPr>
            <w:tcW w:w="1060" w:type="dxa"/>
            <w:vAlign w:val="bottom"/>
            <w:tcBorders>
              <w:right w:val="single" w:sz="8" w:color="auto"/>
            </w:tcBorders>
            <w:shd w:val="clear" w:color="auto" w:fill="D9D9D9"/>
          </w:tcPr>
          <w:p>
            <w:pPr>
              <w:spacing w:after="0"/>
              <w:rPr>
                <w:sz w:val="24"/>
                <w:szCs w:val="24"/>
                <w:color w:val="auto"/>
              </w:rPr>
            </w:pPr>
          </w:p>
        </w:tc>
        <w:tc>
          <w:tcPr>
            <w:tcW w:w="1040" w:type="dxa"/>
            <w:vAlign w:val="bottom"/>
            <w:tcBorders>
              <w:right w:val="single" w:sz="8" w:color="auto"/>
            </w:tcBorders>
            <w:shd w:val="clear" w:color="auto" w:fill="D9D9D9"/>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1080" w:type="dxa"/>
            <w:vAlign w:val="bottom"/>
            <w:tcBorders>
              <w:left w:val="single" w:sz="8" w:color="auto"/>
              <w:right w:val="single" w:sz="8" w:color="auto"/>
            </w:tcBorders>
            <w:shd w:val="clear" w:color="auto" w:fill="D9D9D9"/>
          </w:tcPr>
          <w:p>
            <w:pPr>
              <w:spacing w:after="0"/>
              <w:rPr>
                <w:sz w:val="21"/>
                <w:szCs w:val="21"/>
                <w:color w:val="auto"/>
              </w:rPr>
            </w:pPr>
          </w:p>
        </w:tc>
        <w:tc>
          <w:tcPr>
            <w:tcW w:w="1100" w:type="dxa"/>
            <w:vAlign w:val="bottom"/>
            <w:tcBorders>
              <w:right w:val="single" w:sz="8" w:color="auto"/>
            </w:tcBorders>
            <w:shd w:val="clear" w:color="auto" w:fill="D9D9D9"/>
          </w:tcPr>
          <w:p>
            <w:pPr>
              <w:ind w:left="100"/>
              <w:spacing w:after="0" w:line="243" w:lineRule="exact"/>
              <w:rPr>
                <w:sz w:val="20"/>
                <w:szCs w:val="20"/>
                <w:color w:val="auto"/>
              </w:rPr>
            </w:pPr>
            <w:r>
              <w:rPr>
                <w:rFonts w:ascii="Times New Roman" w:cs="Times New Roman" w:eastAsia="Times New Roman" w:hAnsi="Times New Roman"/>
                <w:sz w:val="22"/>
                <w:szCs w:val="22"/>
                <w:color w:val="auto"/>
              </w:rPr>
              <w:t>&amp;</w:t>
            </w:r>
          </w:p>
        </w:tc>
        <w:tc>
          <w:tcPr>
            <w:tcW w:w="116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1080" w:type="dxa"/>
            <w:vAlign w:val="bottom"/>
            <w:tcBorders>
              <w:right w:val="single" w:sz="8" w:color="auto"/>
            </w:tcBorders>
            <w:vMerge w:val="restart"/>
            <w:shd w:val="clear" w:color="auto" w:fill="D9D9D9"/>
          </w:tcPr>
          <w:p>
            <w:pPr>
              <w:jc w:val="right"/>
              <w:ind w:right="12"/>
              <w:spacing w:after="0"/>
              <w:rPr>
                <w:sz w:val="20"/>
                <w:szCs w:val="20"/>
                <w:color w:val="auto"/>
              </w:rPr>
            </w:pPr>
            <w:r>
              <w:rPr>
                <w:rFonts w:ascii="Times New Roman" w:cs="Times New Roman" w:eastAsia="Times New Roman" w:hAnsi="Times New Roman"/>
                <w:sz w:val="22"/>
                <w:szCs w:val="22"/>
                <w:color w:val="auto"/>
              </w:rPr>
              <w:t>704,000</w:t>
            </w:r>
          </w:p>
        </w:tc>
        <w:tc>
          <w:tcPr>
            <w:tcW w:w="1400" w:type="dxa"/>
            <w:vAlign w:val="bottom"/>
            <w:tcBorders>
              <w:right w:val="single" w:sz="8" w:color="auto"/>
            </w:tcBorders>
            <w:vMerge w:val="restart"/>
            <w:shd w:val="clear" w:color="auto" w:fill="D9D9D9"/>
          </w:tcPr>
          <w:p>
            <w:pPr>
              <w:jc w:val="right"/>
              <w:spacing w:after="0"/>
              <w:rPr>
                <w:sz w:val="20"/>
                <w:szCs w:val="20"/>
                <w:color w:val="auto"/>
              </w:rPr>
            </w:pPr>
            <w:r>
              <w:rPr>
                <w:rFonts w:ascii="Times New Roman" w:cs="Times New Roman" w:eastAsia="Times New Roman" w:hAnsi="Times New Roman"/>
                <w:sz w:val="22"/>
                <w:szCs w:val="22"/>
                <w:color w:val="auto"/>
              </w:rPr>
              <w:t>1,408,000</w:t>
            </w:r>
          </w:p>
        </w:tc>
        <w:tc>
          <w:tcPr>
            <w:tcW w:w="11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1000" w:type="dxa"/>
            <w:vAlign w:val="bottom"/>
            <w:tcBorders>
              <w:right w:val="single" w:sz="8" w:color="auto"/>
            </w:tcBorders>
            <w:vMerge w:val="restart"/>
            <w:shd w:val="clear" w:color="auto" w:fill="D9D9D9"/>
          </w:tcPr>
          <w:p>
            <w:pPr>
              <w:jc w:val="right"/>
              <w:ind w:right="32"/>
              <w:spacing w:after="0"/>
              <w:rPr>
                <w:sz w:val="20"/>
                <w:szCs w:val="20"/>
                <w:color w:val="auto"/>
              </w:rPr>
            </w:pPr>
            <w:r>
              <w:rPr>
                <w:rFonts w:ascii="Times New Roman" w:cs="Times New Roman" w:eastAsia="Times New Roman" w:hAnsi="Times New Roman"/>
                <w:sz w:val="22"/>
                <w:szCs w:val="22"/>
                <w:color w:val="auto"/>
              </w:rPr>
              <w:t>13,429</w:t>
            </w:r>
          </w:p>
        </w:tc>
        <w:tc>
          <w:tcPr>
            <w:tcW w:w="1180" w:type="dxa"/>
            <w:vAlign w:val="bottom"/>
            <w:tcBorders>
              <w:right w:val="single" w:sz="8" w:color="auto"/>
            </w:tcBorders>
            <w:vMerge w:val="restart"/>
            <w:shd w:val="clear" w:color="auto" w:fill="D9D9D9"/>
          </w:tcPr>
          <w:p>
            <w:pPr>
              <w:jc w:val="right"/>
              <w:ind w:right="12"/>
              <w:spacing w:after="0"/>
              <w:rPr>
                <w:sz w:val="20"/>
                <w:szCs w:val="20"/>
                <w:color w:val="auto"/>
              </w:rPr>
            </w:pPr>
            <w:r>
              <w:rPr>
                <w:rFonts w:ascii="Times New Roman" w:cs="Times New Roman" w:eastAsia="Times New Roman" w:hAnsi="Times New Roman"/>
                <w:sz w:val="22"/>
                <w:szCs w:val="22"/>
                <w:color w:val="auto"/>
              </w:rPr>
              <w:t>26,858</w:t>
            </w:r>
          </w:p>
        </w:tc>
        <w:tc>
          <w:tcPr>
            <w:tcW w:w="1060" w:type="dxa"/>
            <w:vAlign w:val="bottom"/>
            <w:tcBorders>
              <w:right w:val="single" w:sz="8" w:color="auto"/>
            </w:tcBorders>
            <w:vMerge w:val="restart"/>
            <w:shd w:val="clear" w:color="auto" w:fill="D9D9D9"/>
          </w:tcPr>
          <w:p>
            <w:pPr>
              <w:jc w:val="right"/>
              <w:ind w:right="52"/>
              <w:spacing w:after="0"/>
              <w:rPr>
                <w:sz w:val="20"/>
                <w:szCs w:val="20"/>
                <w:color w:val="auto"/>
              </w:rPr>
            </w:pPr>
            <w:r>
              <w:rPr>
                <w:rFonts w:ascii="Times New Roman" w:cs="Times New Roman" w:eastAsia="Times New Roman" w:hAnsi="Times New Roman"/>
                <w:sz w:val="22"/>
                <w:szCs w:val="22"/>
                <w:color w:val="auto"/>
              </w:rPr>
              <w:t>7,180</w:t>
            </w:r>
          </w:p>
        </w:tc>
        <w:tc>
          <w:tcPr>
            <w:tcW w:w="1040" w:type="dxa"/>
            <w:vAlign w:val="bottom"/>
            <w:tcBorders>
              <w:right w:val="single" w:sz="8" w:color="auto"/>
            </w:tcBorders>
            <w:vMerge w:val="restart"/>
            <w:shd w:val="clear" w:color="auto" w:fill="D9D9D9"/>
          </w:tcPr>
          <w:p>
            <w:pPr>
              <w:jc w:val="center"/>
              <w:spacing w:after="0"/>
              <w:rPr>
                <w:sz w:val="20"/>
                <w:szCs w:val="20"/>
                <w:color w:val="auto"/>
              </w:rPr>
            </w:pPr>
            <w:r>
              <w:rPr>
                <w:rFonts w:ascii="Times New Roman" w:cs="Times New Roman" w:eastAsia="Times New Roman" w:hAnsi="Times New Roman"/>
                <w:sz w:val="22"/>
                <w:szCs w:val="22"/>
                <w:color w:val="auto"/>
                <w:w w:val="97"/>
              </w:rPr>
              <w:t>1,760,061</w:t>
            </w: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right w:val="single" w:sz="8" w:color="auto"/>
            </w:tcBorders>
            <w:vMerge w:val="restart"/>
            <w:shd w:val="clear" w:color="auto" w:fill="D9D9D9"/>
          </w:tcPr>
          <w:p>
            <w:pPr>
              <w:ind w:left="120"/>
              <w:spacing w:after="0" w:line="243" w:lineRule="exact"/>
              <w:rPr>
                <w:sz w:val="20"/>
                <w:szCs w:val="20"/>
                <w:color w:val="auto"/>
              </w:rPr>
            </w:pPr>
            <w:r>
              <w:rPr>
                <w:rFonts w:ascii="Times New Roman" w:cs="Times New Roman" w:eastAsia="Times New Roman" w:hAnsi="Times New Roman"/>
                <w:sz w:val="22"/>
                <w:szCs w:val="22"/>
                <w:color w:val="auto"/>
              </w:rPr>
              <w:t>Djalma</w:t>
            </w:r>
          </w:p>
        </w:tc>
        <w:tc>
          <w:tcPr>
            <w:tcW w:w="1100" w:type="dxa"/>
            <w:vAlign w:val="bottom"/>
            <w:tcBorders>
              <w:right w:val="single" w:sz="8" w:color="auto"/>
            </w:tcBorders>
            <w:vMerge w:val="restart"/>
            <w:shd w:val="clear" w:color="auto" w:fill="D9D9D9"/>
          </w:tcPr>
          <w:p>
            <w:pPr>
              <w:ind w:left="100"/>
              <w:spacing w:after="0" w:line="243" w:lineRule="exact"/>
              <w:rPr>
                <w:sz w:val="20"/>
                <w:szCs w:val="20"/>
                <w:color w:val="auto"/>
              </w:rPr>
            </w:pPr>
            <w:r>
              <w:rPr>
                <w:rFonts w:ascii="Times New Roman" w:cs="Times New Roman" w:eastAsia="Times New Roman" w:hAnsi="Times New Roman"/>
                <w:sz w:val="22"/>
                <w:szCs w:val="22"/>
                <w:color w:val="auto"/>
              </w:rPr>
              <w:t>7/1/2025</w:t>
            </w:r>
          </w:p>
        </w:tc>
        <w:tc>
          <w:tcPr>
            <w:tcW w:w="1160" w:type="dxa"/>
            <w:vAlign w:val="bottom"/>
            <w:tcBorders>
              <w:right w:val="single" w:sz="8" w:color="auto"/>
            </w:tcBorders>
            <w:vMerge w:val="continue"/>
            <w:shd w:val="clear" w:color="auto" w:fill="D9D9D9"/>
          </w:tcPr>
          <w:p>
            <w:pPr>
              <w:spacing w:after="0"/>
              <w:rPr>
                <w:sz w:val="13"/>
                <w:szCs w:val="13"/>
                <w:color w:val="auto"/>
              </w:rPr>
            </w:pPr>
          </w:p>
        </w:tc>
        <w:tc>
          <w:tcPr>
            <w:tcW w:w="1080" w:type="dxa"/>
            <w:vAlign w:val="bottom"/>
            <w:tcBorders>
              <w:right w:val="single" w:sz="8" w:color="auto"/>
            </w:tcBorders>
            <w:vMerge w:val="continue"/>
            <w:shd w:val="clear" w:color="auto" w:fill="D9D9D9"/>
          </w:tcPr>
          <w:p>
            <w:pPr>
              <w:spacing w:after="0"/>
              <w:rPr>
                <w:sz w:val="13"/>
                <w:szCs w:val="13"/>
                <w:color w:val="auto"/>
              </w:rPr>
            </w:pPr>
          </w:p>
        </w:tc>
        <w:tc>
          <w:tcPr>
            <w:tcW w:w="1400" w:type="dxa"/>
            <w:vAlign w:val="bottom"/>
            <w:tcBorders>
              <w:right w:val="single" w:sz="8" w:color="auto"/>
            </w:tcBorders>
            <w:vMerge w:val="continue"/>
            <w:shd w:val="clear" w:color="auto" w:fill="D9D9D9"/>
          </w:tcPr>
          <w:p>
            <w:pPr>
              <w:spacing w:after="0"/>
              <w:rPr>
                <w:sz w:val="13"/>
                <w:szCs w:val="13"/>
                <w:color w:val="auto"/>
              </w:rPr>
            </w:pPr>
          </w:p>
        </w:tc>
        <w:tc>
          <w:tcPr>
            <w:tcW w:w="1140" w:type="dxa"/>
            <w:vAlign w:val="bottom"/>
            <w:tcBorders>
              <w:right w:val="single" w:sz="8" w:color="auto"/>
            </w:tcBorders>
            <w:vMerge w:val="continue"/>
            <w:shd w:val="clear" w:color="auto" w:fill="D9D9D9"/>
          </w:tcPr>
          <w:p>
            <w:pPr>
              <w:spacing w:after="0"/>
              <w:rPr>
                <w:sz w:val="13"/>
                <w:szCs w:val="13"/>
                <w:color w:val="auto"/>
              </w:rPr>
            </w:pPr>
          </w:p>
        </w:tc>
        <w:tc>
          <w:tcPr>
            <w:tcW w:w="1000" w:type="dxa"/>
            <w:vAlign w:val="bottom"/>
            <w:tcBorders>
              <w:right w:val="single" w:sz="8" w:color="auto"/>
            </w:tcBorders>
            <w:vMerge w:val="continue"/>
            <w:shd w:val="clear" w:color="auto" w:fill="D9D9D9"/>
          </w:tcPr>
          <w:p>
            <w:pPr>
              <w:spacing w:after="0"/>
              <w:rPr>
                <w:sz w:val="13"/>
                <w:szCs w:val="13"/>
                <w:color w:val="auto"/>
              </w:rPr>
            </w:pPr>
          </w:p>
        </w:tc>
        <w:tc>
          <w:tcPr>
            <w:tcW w:w="1180" w:type="dxa"/>
            <w:vAlign w:val="bottom"/>
            <w:tcBorders>
              <w:right w:val="single" w:sz="8" w:color="auto"/>
            </w:tcBorders>
            <w:vMerge w:val="continue"/>
            <w:shd w:val="clear" w:color="auto" w:fill="D9D9D9"/>
          </w:tcPr>
          <w:p>
            <w:pPr>
              <w:spacing w:after="0"/>
              <w:rPr>
                <w:sz w:val="13"/>
                <w:szCs w:val="13"/>
                <w:color w:val="auto"/>
              </w:rPr>
            </w:pPr>
          </w:p>
        </w:tc>
        <w:tc>
          <w:tcPr>
            <w:tcW w:w="1060" w:type="dxa"/>
            <w:vAlign w:val="bottom"/>
            <w:tcBorders>
              <w:right w:val="single" w:sz="8" w:color="auto"/>
            </w:tcBorders>
            <w:vMerge w:val="continue"/>
            <w:shd w:val="clear" w:color="auto" w:fill="D9D9D9"/>
          </w:tcPr>
          <w:p>
            <w:pPr>
              <w:spacing w:after="0"/>
              <w:rPr>
                <w:sz w:val="13"/>
                <w:szCs w:val="13"/>
                <w:color w:val="auto"/>
              </w:rPr>
            </w:pPr>
          </w:p>
        </w:tc>
        <w:tc>
          <w:tcPr>
            <w:tcW w:w="1040" w:type="dxa"/>
            <w:vAlign w:val="bottom"/>
            <w:tcBorders>
              <w:right w:val="single" w:sz="8" w:color="auto"/>
            </w:tcBorders>
            <w:vMerge w:val="continue"/>
            <w:shd w:val="clear" w:color="auto" w:fill="D9D9D9"/>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080" w:type="dxa"/>
            <w:vAlign w:val="bottom"/>
            <w:tcBorders>
              <w:left w:val="single" w:sz="8" w:color="auto"/>
              <w:right w:val="single" w:sz="8" w:color="auto"/>
            </w:tcBorders>
            <w:vMerge w:val="continue"/>
            <w:shd w:val="clear" w:color="auto" w:fill="D9D9D9"/>
          </w:tcPr>
          <w:p>
            <w:pPr>
              <w:spacing w:after="0"/>
              <w:rPr>
                <w:sz w:val="7"/>
                <w:szCs w:val="7"/>
                <w:color w:val="auto"/>
              </w:rPr>
            </w:pPr>
          </w:p>
        </w:tc>
        <w:tc>
          <w:tcPr>
            <w:tcW w:w="1100" w:type="dxa"/>
            <w:vAlign w:val="bottom"/>
            <w:tcBorders>
              <w:right w:val="single" w:sz="8" w:color="auto"/>
            </w:tcBorders>
            <w:vMerge w:val="continue"/>
            <w:shd w:val="clear" w:color="auto" w:fill="D9D9D9"/>
          </w:tcPr>
          <w:p>
            <w:pPr>
              <w:spacing w:after="0"/>
              <w:rPr>
                <w:sz w:val="7"/>
                <w:szCs w:val="7"/>
                <w:color w:val="auto"/>
              </w:rPr>
            </w:pPr>
          </w:p>
        </w:tc>
        <w:tc>
          <w:tcPr>
            <w:tcW w:w="1160" w:type="dxa"/>
            <w:vAlign w:val="bottom"/>
            <w:tcBorders>
              <w:right w:val="single" w:sz="8" w:color="auto"/>
            </w:tcBorders>
            <w:shd w:val="clear" w:color="auto" w:fill="D9D9D9"/>
          </w:tcPr>
          <w:p>
            <w:pPr>
              <w:spacing w:after="0"/>
              <w:rPr>
                <w:sz w:val="7"/>
                <w:szCs w:val="7"/>
                <w:color w:val="auto"/>
              </w:rPr>
            </w:pPr>
          </w:p>
        </w:tc>
        <w:tc>
          <w:tcPr>
            <w:tcW w:w="1080" w:type="dxa"/>
            <w:vAlign w:val="bottom"/>
            <w:tcBorders>
              <w:right w:val="single" w:sz="8" w:color="auto"/>
            </w:tcBorders>
            <w:shd w:val="clear" w:color="auto" w:fill="D9D9D9"/>
          </w:tcPr>
          <w:p>
            <w:pPr>
              <w:spacing w:after="0"/>
              <w:rPr>
                <w:sz w:val="7"/>
                <w:szCs w:val="7"/>
                <w:color w:val="auto"/>
              </w:rPr>
            </w:pPr>
          </w:p>
        </w:tc>
        <w:tc>
          <w:tcPr>
            <w:tcW w:w="1400" w:type="dxa"/>
            <w:vAlign w:val="bottom"/>
            <w:tcBorders>
              <w:right w:val="single" w:sz="8" w:color="auto"/>
            </w:tcBorders>
            <w:shd w:val="clear" w:color="auto" w:fill="D9D9D9"/>
          </w:tcPr>
          <w:p>
            <w:pPr>
              <w:spacing w:after="0"/>
              <w:rPr>
                <w:sz w:val="7"/>
                <w:szCs w:val="7"/>
                <w:color w:val="auto"/>
              </w:rPr>
            </w:pPr>
          </w:p>
        </w:tc>
        <w:tc>
          <w:tcPr>
            <w:tcW w:w="1140" w:type="dxa"/>
            <w:vAlign w:val="bottom"/>
            <w:tcBorders>
              <w:right w:val="single" w:sz="8" w:color="auto"/>
            </w:tcBorders>
            <w:shd w:val="clear" w:color="auto" w:fill="D9D9D9"/>
          </w:tcPr>
          <w:p>
            <w:pPr>
              <w:spacing w:after="0"/>
              <w:rPr>
                <w:sz w:val="7"/>
                <w:szCs w:val="7"/>
                <w:color w:val="auto"/>
              </w:rPr>
            </w:pPr>
          </w:p>
        </w:tc>
        <w:tc>
          <w:tcPr>
            <w:tcW w:w="1000" w:type="dxa"/>
            <w:vAlign w:val="bottom"/>
            <w:tcBorders>
              <w:right w:val="single" w:sz="8" w:color="auto"/>
            </w:tcBorders>
            <w:shd w:val="clear" w:color="auto" w:fill="D9D9D9"/>
          </w:tcPr>
          <w:p>
            <w:pPr>
              <w:spacing w:after="0"/>
              <w:rPr>
                <w:sz w:val="7"/>
                <w:szCs w:val="7"/>
                <w:color w:val="auto"/>
              </w:rPr>
            </w:pPr>
          </w:p>
        </w:tc>
        <w:tc>
          <w:tcPr>
            <w:tcW w:w="1180" w:type="dxa"/>
            <w:vAlign w:val="bottom"/>
            <w:tcBorders>
              <w:right w:val="single" w:sz="8" w:color="auto"/>
            </w:tcBorders>
            <w:shd w:val="clear" w:color="auto" w:fill="D9D9D9"/>
          </w:tcPr>
          <w:p>
            <w:pPr>
              <w:spacing w:after="0"/>
              <w:rPr>
                <w:sz w:val="7"/>
                <w:szCs w:val="7"/>
                <w:color w:val="auto"/>
              </w:rPr>
            </w:pPr>
          </w:p>
        </w:tc>
        <w:tc>
          <w:tcPr>
            <w:tcW w:w="1060" w:type="dxa"/>
            <w:vAlign w:val="bottom"/>
            <w:tcBorders>
              <w:right w:val="single" w:sz="8" w:color="auto"/>
            </w:tcBorders>
            <w:shd w:val="clear" w:color="auto" w:fill="D9D9D9"/>
          </w:tcPr>
          <w:p>
            <w:pPr>
              <w:spacing w:after="0"/>
              <w:rPr>
                <w:sz w:val="7"/>
                <w:szCs w:val="7"/>
                <w:color w:val="auto"/>
              </w:rPr>
            </w:pPr>
          </w:p>
        </w:tc>
        <w:tc>
          <w:tcPr>
            <w:tcW w:w="1040" w:type="dxa"/>
            <w:vAlign w:val="bottom"/>
            <w:tcBorders>
              <w:right w:val="single" w:sz="8" w:color="auto"/>
            </w:tcBorders>
            <w:shd w:val="clear" w:color="auto" w:fill="D9D9D9"/>
          </w:tcPr>
          <w:p>
            <w:pPr>
              <w:spacing w:after="0"/>
              <w:rPr>
                <w:sz w:val="7"/>
                <w:szCs w:val="7"/>
                <w:color w:val="auto"/>
              </w:rPr>
            </w:pPr>
          </w:p>
        </w:tc>
        <w:tc>
          <w:tcPr>
            <w:tcW w:w="0" w:type="dxa"/>
            <w:vAlign w:val="bottom"/>
          </w:tcPr>
          <w:p>
            <w:pPr>
              <w:spacing w:after="0"/>
              <w:rPr>
                <w:sz w:val="1"/>
                <w:szCs w:val="1"/>
                <w:color w:val="auto"/>
              </w:rPr>
            </w:pPr>
          </w:p>
        </w:tc>
      </w:tr>
      <w:tr>
        <w:trPr>
          <w:trHeight w:val="270"/>
        </w:trPr>
        <w:tc>
          <w:tcPr>
            <w:tcW w:w="1080" w:type="dxa"/>
            <w:vAlign w:val="bottom"/>
            <w:tcBorders>
              <w:left w:val="single" w:sz="8" w:color="auto"/>
              <w:bottom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2"/>
                <w:szCs w:val="22"/>
                <w:color w:val="auto"/>
              </w:rPr>
              <w:t>Novaes</w:t>
            </w:r>
          </w:p>
        </w:tc>
        <w:tc>
          <w:tcPr>
            <w:tcW w:w="110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22"/>
                <w:szCs w:val="22"/>
                <w:color w:val="auto"/>
              </w:rPr>
              <w:t>(8)</w:t>
            </w:r>
          </w:p>
        </w:tc>
        <w:tc>
          <w:tcPr>
            <w:tcW w:w="1160" w:type="dxa"/>
            <w:vAlign w:val="bottom"/>
            <w:tcBorders>
              <w:bottom w:val="single" w:sz="8" w:color="auto"/>
              <w:right w:val="single" w:sz="8" w:color="auto"/>
            </w:tcBorders>
            <w:shd w:val="clear" w:color="auto" w:fill="D9D9D9"/>
          </w:tcPr>
          <w:p>
            <w:pPr>
              <w:spacing w:after="0"/>
              <w:rPr>
                <w:sz w:val="23"/>
                <w:szCs w:val="23"/>
                <w:color w:val="auto"/>
              </w:rPr>
            </w:pPr>
          </w:p>
        </w:tc>
        <w:tc>
          <w:tcPr>
            <w:tcW w:w="1080" w:type="dxa"/>
            <w:vAlign w:val="bottom"/>
            <w:tcBorders>
              <w:bottom w:val="single" w:sz="8" w:color="auto"/>
              <w:right w:val="single" w:sz="8" w:color="auto"/>
            </w:tcBorders>
            <w:shd w:val="clear" w:color="auto" w:fill="D9D9D9"/>
          </w:tcPr>
          <w:p>
            <w:pPr>
              <w:spacing w:after="0"/>
              <w:rPr>
                <w:sz w:val="23"/>
                <w:szCs w:val="23"/>
                <w:color w:val="auto"/>
              </w:rPr>
            </w:pPr>
          </w:p>
        </w:tc>
        <w:tc>
          <w:tcPr>
            <w:tcW w:w="1400" w:type="dxa"/>
            <w:vAlign w:val="bottom"/>
            <w:tcBorders>
              <w:bottom w:val="single" w:sz="8" w:color="auto"/>
              <w:right w:val="single" w:sz="8" w:color="auto"/>
            </w:tcBorders>
            <w:shd w:val="clear" w:color="auto" w:fill="D9D9D9"/>
          </w:tcPr>
          <w:p>
            <w:pPr>
              <w:spacing w:after="0"/>
              <w:rPr>
                <w:sz w:val="23"/>
                <w:szCs w:val="23"/>
                <w:color w:val="auto"/>
              </w:rPr>
            </w:pPr>
          </w:p>
        </w:tc>
        <w:tc>
          <w:tcPr>
            <w:tcW w:w="1140" w:type="dxa"/>
            <w:vAlign w:val="bottom"/>
            <w:tcBorders>
              <w:bottom w:val="single" w:sz="8" w:color="auto"/>
              <w:right w:val="single" w:sz="8" w:color="auto"/>
            </w:tcBorders>
            <w:shd w:val="clear" w:color="auto" w:fill="D9D9D9"/>
          </w:tcPr>
          <w:p>
            <w:pPr>
              <w:spacing w:after="0"/>
              <w:rPr>
                <w:sz w:val="23"/>
                <w:szCs w:val="23"/>
                <w:color w:val="auto"/>
              </w:rPr>
            </w:pPr>
          </w:p>
        </w:tc>
        <w:tc>
          <w:tcPr>
            <w:tcW w:w="1000" w:type="dxa"/>
            <w:vAlign w:val="bottom"/>
            <w:tcBorders>
              <w:bottom w:val="single" w:sz="8" w:color="auto"/>
              <w:right w:val="single" w:sz="8" w:color="auto"/>
            </w:tcBorders>
            <w:shd w:val="clear" w:color="auto" w:fill="D9D9D9"/>
          </w:tcPr>
          <w:p>
            <w:pPr>
              <w:spacing w:after="0"/>
              <w:rPr>
                <w:sz w:val="23"/>
                <w:szCs w:val="23"/>
                <w:color w:val="auto"/>
              </w:rPr>
            </w:pPr>
          </w:p>
        </w:tc>
        <w:tc>
          <w:tcPr>
            <w:tcW w:w="1180" w:type="dxa"/>
            <w:vAlign w:val="bottom"/>
            <w:tcBorders>
              <w:bottom w:val="single" w:sz="8" w:color="auto"/>
              <w:right w:val="single" w:sz="8" w:color="auto"/>
            </w:tcBorders>
            <w:shd w:val="clear" w:color="auto" w:fill="D9D9D9"/>
          </w:tcPr>
          <w:p>
            <w:pPr>
              <w:spacing w:after="0"/>
              <w:rPr>
                <w:sz w:val="23"/>
                <w:szCs w:val="23"/>
                <w:color w:val="auto"/>
              </w:rPr>
            </w:pPr>
          </w:p>
        </w:tc>
        <w:tc>
          <w:tcPr>
            <w:tcW w:w="1060" w:type="dxa"/>
            <w:vAlign w:val="bottom"/>
            <w:tcBorders>
              <w:bottom w:val="single" w:sz="8" w:color="auto"/>
              <w:right w:val="single" w:sz="8" w:color="auto"/>
            </w:tcBorders>
            <w:shd w:val="clear" w:color="auto" w:fill="D9D9D9"/>
          </w:tcPr>
          <w:p>
            <w:pPr>
              <w:spacing w:after="0"/>
              <w:rPr>
                <w:sz w:val="23"/>
                <w:szCs w:val="23"/>
                <w:color w:val="auto"/>
              </w:rPr>
            </w:pPr>
          </w:p>
        </w:tc>
        <w:tc>
          <w:tcPr>
            <w:tcW w:w="1040" w:type="dxa"/>
            <w:vAlign w:val="bottom"/>
            <w:tcBorders>
              <w:bottom w:val="single" w:sz="8" w:color="auto"/>
              <w:right w:val="single" w:sz="8" w:color="auto"/>
            </w:tcBorders>
            <w:shd w:val="clear" w:color="auto" w:fill="D9D9D9"/>
          </w:tcPr>
          <w:p>
            <w:pPr>
              <w:spacing w:after="0"/>
              <w:rPr>
                <w:sz w:val="23"/>
                <w:szCs w:val="23"/>
                <w:color w:val="auto"/>
              </w:rPr>
            </w:pPr>
          </w:p>
        </w:tc>
        <w:tc>
          <w:tcPr>
            <w:tcW w:w="0" w:type="dxa"/>
            <w:vAlign w:val="bottom"/>
          </w:tcPr>
          <w:p>
            <w:pPr>
              <w:spacing w:after="0"/>
              <w:rPr>
                <w:sz w:val="1"/>
                <w:szCs w:val="1"/>
                <w:color w:val="auto"/>
              </w:rPr>
            </w:pPr>
          </w:p>
        </w:tc>
      </w:tr>
      <w:tr>
        <w:trPr>
          <w:trHeight w:val="317"/>
        </w:trPr>
        <w:tc>
          <w:tcPr>
            <w:tcW w:w="108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22"/>
                <w:szCs w:val="22"/>
                <w:color w:val="auto"/>
              </w:rPr>
              <w:t>Adam</w:t>
            </w:r>
          </w:p>
        </w:tc>
        <w:tc>
          <w:tcPr>
            <w:tcW w:w="110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22"/>
                <w:szCs w:val="22"/>
                <w:color w:val="auto"/>
              </w:rPr>
              <w:t>1/3/2025</w:t>
            </w:r>
          </w:p>
        </w:tc>
        <w:tc>
          <w:tcPr>
            <w:tcW w:w="11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0"/>
              </w:rPr>
              <w:t>0</w:t>
            </w:r>
          </w:p>
        </w:tc>
        <w:tc>
          <w:tcPr>
            <w:tcW w:w="108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540,000</w:t>
            </w:r>
          </w:p>
        </w:tc>
        <w:tc>
          <w:tcPr>
            <w:tcW w:w="1400" w:type="dxa"/>
            <w:vAlign w:val="bottom"/>
            <w:tcBorders>
              <w:right w:val="single" w:sz="8" w:color="auto"/>
            </w:tcBorders>
            <w:vMerge w:val="restart"/>
          </w:tcPr>
          <w:p>
            <w:pPr>
              <w:jc w:val="right"/>
              <w:spacing w:after="0"/>
              <w:rPr>
                <w:sz w:val="20"/>
                <w:szCs w:val="20"/>
                <w:color w:val="auto"/>
              </w:rPr>
            </w:pPr>
            <w:r>
              <w:rPr>
                <w:rFonts w:ascii="Times New Roman" w:cs="Times New Roman" w:eastAsia="Times New Roman" w:hAnsi="Times New Roman"/>
                <w:sz w:val="22"/>
                <w:szCs w:val="22"/>
                <w:color w:val="auto"/>
              </w:rPr>
              <w:t>1,080,000</w:t>
            </w:r>
          </w:p>
        </w:tc>
        <w:tc>
          <w:tcPr>
            <w:tcW w:w="11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rPr>
              <w:t>0</w:t>
            </w:r>
          </w:p>
        </w:tc>
        <w:tc>
          <w:tcPr>
            <w:tcW w:w="1000" w:type="dxa"/>
            <w:vAlign w:val="bottom"/>
            <w:tcBorders>
              <w:right w:val="single" w:sz="8" w:color="auto"/>
            </w:tcBorders>
            <w:vMerge w:val="restart"/>
          </w:tcPr>
          <w:p>
            <w:pPr>
              <w:jc w:val="right"/>
              <w:ind w:right="32"/>
              <w:spacing w:after="0"/>
              <w:rPr>
                <w:sz w:val="20"/>
                <w:szCs w:val="20"/>
                <w:color w:val="auto"/>
              </w:rPr>
            </w:pPr>
            <w:r>
              <w:rPr>
                <w:rFonts w:ascii="Times New Roman" w:cs="Times New Roman" w:eastAsia="Times New Roman" w:hAnsi="Times New Roman"/>
                <w:sz w:val="22"/>
                <w:szCs w:val="22"/>
                <w:color w:val="auto"/>
              </w:rPr>
              <w:t>9,973</w:t>
            </w:r>
          </w:p>
        </w:tc>
        <w:tc>
          <w:tcPr>
            <w:tcW w:w="1180" w:type="dxa"/>
            <w:vAlign w:val="bottom"/>
            <w:tcBorders>
              <w:right w:val="single" w:sz="8" w:color="auto"/>
            </w:tcBorders>
            <w:vMerge w:val="restart"/>
          </w:tcPr>
          <w:p>
            <w:pPr>
              <w:jc w:val="right"/>
              <w:ind w:right="12"/>
              <w:spacing w:after="0"/>
              <w:rPr>
                <w:sz w:val="20"/>
                <w:szCs w:val="20"/>
                <w:color w:val="auto"/>
              </w:rPr>
            </w:pPr>
            <w:r>
              <w:rPr>
                <w:rFonts w:ascii="Times New Roman" w:cs="Times New Roman" w:eastAsia="Times New Roman" w:hAnsi="Times New Roman"/>
                <w:sz w:val="22"/>
                <w:szCs w:val="22"/>
                <w:color w:val="auto"/>
              </w:rPr>
              <w:t>19,946</w:t>
            </w:r>
          </w:p>
        </w:tc>
        <w:tc>
          <w:tcPr>
            <w:tcW w:w="1060" w:type="dxa"/>
            <w:vAlign w:val="bottom"/>
            <w:tcBorders>
              <w:right w:val="single" w:sz="8" w:color="auto"/>
            </w:tcBorders>
            <w:vMerge w:val="restart"/>
          </w:tcPr>
          <w:p>
            <w:pPr>
              <w:jc w:val="right"/>
              <w:ind w:right="52"/>
              <w:spacing w:after="0"/>
              <w:rPr>
                <w:sz w:val="20"/>
                <w:szCs w:val="20"/>
                <w:color w:val="auto"/>
              </w:rPr>
            </w:pPr>
            <w:r>
              <w:rPr>
                <w:rFonts w:ascii="Times New Roman" w:cs="Times New Roman" w:eastAsia="Times New Roman" w:hAnsi="Times New Roman"/>
                <w:sz w:val="22"/>
                <w:szCs w:val="22"/>
                <w:color w:val="auto"/>
              </w:rPr>
              <w:t>5,248</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1,248,788</w:t>
            </w:r>
          </w:p>
        </w:tc>
        <w:tc>
          <w:tcPr>
            <w:tcW w:w="0" w:type="dxa"/>
            <w:vAlign w:val="bottom"/>
          </w:tcPr>
          <w:p>
            <w:pPr>
              <w:spacing w:after="0"/>
              <w:rPr>
                <w:sz w:val="1"/>
                <w:szCs w:val="1"/>
                <w:color w:val="auto"/>
              </w:rPr>
            </w:pPr>
          </w:p>
        </w:tc>
      </w:tr>
      <w:tr>
        <w:trPr>
          <w:trHeight w:val="161"/>
        </w:trPr>
        <w:tc>
          <w:tcPr>
            <w:tcW w:w="108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22"/>
                <w:szCs w:val="22"/>
                <w:color w:val="auto"/>
              </w:rPr>
              <w:t>Dickstein</w:t>
            </w:r>
          </w:p>
        </w:tc>
        <w:tc>
          <w:tcPr>
            <w:tcW w:w="110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22"/>
                <w:szCs w:val="22"/>
                <w:color w:val="auto"/>
              </w:rPr>
              <w:t>(9)</w:t>
            </w:r>
          </w:p>
        </w:tc>
        <w:tc>
          <w:tcPr>
            <w:tcW w:w="1160" w:type="dxa"/>
            <w:vAlign w:val="bottom"/>
            <w:tcBorders>
              <w:right w:val="single" w:sz="8" w:color="auto"/>
            </w:tcBorders>
            <w:vMerge w:val="continue"/>
          </w:tcPr>
          <w:p>
            <w:pPr>
              <w:spacing w:after="0"/>
              <w:rPr>
                <w:sz w:val="13"/>
                <w:szCs w:val="13"/>
                <w:color w:val="auto"/>
              </w:rPr>
            </w:pPr>
          </w:p>
        </w:tc>
        <w:tc>
          <w:tcPr>
            <w:tcW w:w="1080" w:type="dxa"/>
            <w:vAlign w:val="bottom"/>
            <w:tcBorders>
              <w:right w:val="single" w:sz="8" w:color="auto"/>
            </w:tcBorders>
            <w:vMerge w:val="continue"/>
          </w:tcPr>
          <w:p>
            <w:pPr>
              <w:spacing w:after="0"/>
              <w:rPr>
                <w:sz w:val="13"/>
                <w:szCs w:val="13"/>
                <w:color w:val="auto"/>
              </w:rPr>
            </w:pPr>
          </w:p>
        </w:tc>
        <w:tc>
          <w:tcPr>
            <w:tcW w:w="1400" w:type="dxa"/>
            <w:vAlign w:val="bottom"/>
            <w:tcBorders>
              <w:right w:val="single" w:sz="8" w:color="auto"/>
            </w:tcBorders>
            <w:vMerge w:val="continue"/>
          </w:tcPr>
          <w:p>
            <w:pPr>
              <w:spacing w:after="0"/>
              <w:rPr>
                <w:sz w:val="13"/>
                <w:szCs w:val="13"/>
                <w:color w:val="auto"/>
              </w:rPr>
            </w:pPr>
          </w:p>
        </w:tc>
        <w:tc>
          <w:tcPr>
            <w:tcW w:w="1140" w:type="dxa"/>
            <w:vAlign w:val="bottom"/>
            <w:tcBorders>
              <w:right w:val="single" w:sz="8" w:color="auto"/>
            </w:tcBorders>
            <w:vMerge w:val="continue"/>
          </w:tcPr>
          <w:p>
            <w:pPr>
              <w:spacing w:after="0"/>
              <w:rPr>
                <w:sz w:val="13"/>
                <w:szCs w:val="13"/>
                <w:color w:val="auto"/>
              </w:rPr>
            </w:pPr>
          </w:p>
        </w:tc>
        <w:tc>
          <w:tcPr>
            <w:tcW w:w="1000" w:type="dxa"/>
            <w:vAlign w:val="bottom"/>
            <w:tcBorders>
              <w:right w:val="single" w:sz="8" w:color="auto"/>
            </w:tcBorders>
            <w:vMerge w:val="continue"/>
          </w:tcPr>
          <w:p>
            <w:pPr>
              <w:spacing w:after="0"/>
              <w:rPr>
                <w:sz w:val="13"/>
                <w:szCs w:val="13"/>
                <w:color w:val="auto"/>
              </w:rPr>
            </w:pPr>
          </w:p>
        </w:tc>
        <w:tc>
          <w:tcPr>
            <w:tcW w:w="1180" w:type="dxa"/>
            <w:vAlign w:val="bottom"/>
            <w:tcBorders>
              <w:right w:val="single" w:sz="8" w:color="auto"/>
            </w:tcBorders>
            <w:vMerge w:val="continue"/>
          </w:tcPr>
          <w:p>
            <w:pPr>
              <w:spacing w:after="0"/>
              <w:rPr>
                <w:sz w:val="13"/>
                <w:szCs w:val="13"/>
                <w:color w:val="auto"/>
              </w:rPr>
            </w:pPr>
          </w:p>
        </w:tc>
        <w:tc>
          <w:tcPr>
            <w:tcW w:w="1060" w:type="dxa"/>
            <w:vAlign w:val="bottom"/>
            <w:tcBorders>
              <w:right w:val="single" w:sz="8" w:color="auto"/>
            </w:tcBorders>
            <w:vMerge w:val="continue"/>
          </w:tcPr>
          <w:p>
            <w:pPr>
              <w:spacing w:after="0"/>
              <w:rPr>
                <w:sz w:val="13"/>
                <w:szCs w:val="13"/>
                <w:color w:val="auto"/>
              </w:rPr>
            </w:pPr>
          </w:p>
        </w:tc>
        <w:tc>
          <w:tcPr>
            <w:tcW w:w="1040" w:type="dxa"/>
            <w:vAlign w:val="bottom"/>
            <w:tcBorders>
              <w:right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08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100" w:type="dxa"/>
            <w:vAlign w:val="bottom"/>
            <w:tcBorders>
              <w:bottom w:val="single" w:sz="8" w:color="auto"/>
              <w:right w:val="single" w:sz="8" w:color="auto"/>
            </w:tcBorders>
            <w:vMerge w:val="continue"/>
          </w:tcPr>
          <w:p>
            <w:pPr>
              <w:spacing w:after="0"/>
              <w:rPr>
                <w:sz w:val="9"/>
                <w:szCs w:val="9"/>
                <w:color w:val="auto"/>
              </w:rPr>
            </w:pPr>
          </w:p>
        </w:tc>
        <w:tc>
          <w:tcPr>
            <w:tcW w:w="1160" w:type="dxa"/>
            <w:vAlign w:val="bottom"/>
            <w:tcBorders>
              <w:bottom w:val="single" w:sz="8" w:color="auto"/>
              <w:right w:val="single" w:sz="8" w:color="auto"/>
            </w:tcBorders>
          </w:tcPr>
          <w:p>
            <w:pPr>
              <w:spacing w:after="0"/>
              <w:rPr>
                <w:sz w:val="9"/>
                <w:szCs w:val="9"/>
                <w:color w:val="auto"/>
              </w:rPr>
            </w:pPr>
          </w:p>
        </w:tc>
        <w:tc>
          <w:tcPr>
            <w:tcW w:w="1080" w:type="dxa"/>
            <w:vAlign w:val="bottom"/>
            <w:tcBorders>
              <w:bottom w:val="single" w:sz="8" w:color="auto"/>
              <w:right w:val="single" w:sz="8" w:color="auto"/>
            </w:tcBorders>
          </w:tcPr>
          <w:p>
            <w:pPr>
              <w:spacing w:after="0"/>
              <w:rPr>
                <w:sz w:val="9"/>
                <w:szCs w:val="9"/>
                <w:color w:val="auto"/>
              </w:rPr>
            </w:pPr>
          </w:p>
        </w:tc>
        <w:tc>
          <w:tcPr>
            <w:tcW w:w="1400" w:type="dxa"/>
            <w:vAlign w:val="bottom"/>
            <w:tcBorders>
              <w:bottom w:val="single" w:sz="8" w:color="auto"/>
              <w:right w:val="single" w:sz="8" w:color="auto"/>
            </w:tcBorders>
          </w:tcPr>
          <w:p>
            <w:pPr>
              <w:spacing w:after="0"/>
              <w:rPr>
                <w:sz w:val="9"/>
                <w:szCs w:val="9"/>
                <w:color w:val="auto"/>
              </w:rPr>
            </w:pPr>
          </w:p>
        </w:tc>
        <w:tc>
          <w:tcPr>
            <w:tcW w:w="1140" w:type="dxa"/>
            <w:vAlign w:val="bottom"/>
            <w:tcBorders>
              <w:bottom w:val="single" w:sz="8" w:color="auto"/>
              <w:right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11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0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jc w:val="both"/>
        <w:ind w:left="260" w:hanging="255"/>
        <w:spacing w:after="0" w:line="239" w:lineRule="auto"/>
        <w:rPr>
          <w:sz w:val="20"/>
          <w:szCs w:val="20"/>
          <w:color w:val="auto"/>
        </w:rPr>
      </w:pPr>
      <w:r>
        <w:rPr>
          <w:rFonts w:ascii="Times New Roman" w:cs="Times New Roman" w:eastAsia="Times New Roman" w:hAnsi="Times New Roman"/>
          <w:sz w:val="22"/>
          <w:szCs w:val="22"/>
          <w:color w:val="auto"/>
        </w:rPr>
        <w:t>(1)These amounts represent the range of annual non-equity incentive bonuses for which the NEOs were eligible in 2025 under the Company’s EP Plan. For further information relating to the EP Plan, see “Compensation Discussion and Analysis – Annual Incentive Bonus.” For the actual awards earned under the EP Plan for 2025, see the “Summary Compensation Table” above.</w:t>
      </w:r>
    </w:p>
    <w:p>
      <w:pPr>
        <w:spacing w:after="0" w:line="140" w:lineRule="exact"/>
        <w:rPr>
          <w:sz w:val="20"/>
          <w:szCs w:val="20"/>
          <w:color w:val="auto"/>
        </w:rPr>
      </w:pPr>
    </w:p>
    <w:p>
      <w:pPr>
        <w:jc w:val="both"/>
        <w:ind w:left="260" w:hanging="255"/>
        <w:spacing w:after="0" w:line="232" w:lineRule="auto"/>
        <w:rPr>
          <w:sz w:val="20"/>
          <w:szCs w:val="20"/>
          <w:color w:val="auto"/>
        </w:rPr>
      </w:pPr>
      <w:r>
        <w:rPr>
          <w:rFonts w:ascii="Times New Roman" w:cs="Times New Roman" w:eastAsia="Times New Roman" w:hAnsi="Times New Roman"/>
          <w:sz w:val="22"/>
          <w:szCs w:val="22"/>
          <w:color w:val="auto"/>
        </w:rPr>
        <w:t>(2)These amounts represent the range of stock-based compensation that might be realized under the 2025 performance-based restricted stock awards. The potential payouts are based on performance and are therefore at risk. The performance awards make up approximately two-thirds of the stock-based compensation. The first performance measure, representing approximately one-third of the total stock-based compensation (or half of the performance-based portion), is based upon the total shareholder return (“TSR”) achieved by the Company from January 1, 2025 to December 31, 2027 versus the TSR during that same period of a published index of industry peers that is described in “Compensation Discussion and Analysis – Long-Term Equity Incentives” above. The second performance measure, representing approximately one-third of the total stock-based compensation (or half of the performance-based portion), is based on the Return on Invested Capital (“ROIC”) achieved by the Company from January 1, 2025 to December 31, 2027 compared to the ROIC target established by the Compensation Committee. The vesting of the performance-based shares from the 2025 award will occur in 2028, with the actual number of shares vesting dependent upon the Company’s TSR compared to that of the published index of industry peers and performance against the ROIC target. For further details, refer to Note X, “Stock-Based Compensation” to the Company’s financial statements in its Annual Report on Form 10-K for the fiscal year ended December 31, 2025.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 TSR performance-based shares vest upon a “change in control” of the Company based on the Company’s TSR as compared to that of the published index of industry peers from the beginning of the measurement period until the time of the “change in control.” ROIC performance-based shares vest upon a “change in control” of the Company based on the ROIC of the Company compared to that of the ROIC target from the beginning of the measurement period until the date of the “change in control.”</w:t>
      </w:r>
    </w:p>
    <w:p>
      <w:pPr>
        <w:spacing w:after="0" w:line="7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54</w:t>
      </w:r>
    </w:p>
    <w:p>
      <w:pPr>
        <w:sectPr>
          <w:pgSz w:w="11900" w:h="16838" w:orient="portrait"/>
          <w:cols w:equalWidth="0" w:num="1">
            <w:col w:w="11240"/>
          </w:cols>
          <w:pgMar w:left="320" w:top="567" w:right="339" w:bottom="491" w:gutter="0" w:footer="0" w:header="0"/>
        </w:sectPr>
      </w:pPr>
    </w:p>
    <w:bookmarkStart w:id="57" w:name="page58"/>
    <w:bookmarkEnd w:id="57"/>
    <w:p>
      <w:pPr>
        <w:jc w:val="both"/>
        <w:ind w:left="340" w:hanging="332"/>
        <w:spacing w:after="0" w:line="239"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These amounts represent time-based restricted stock awarded in 2025, which constitute approximately one-third of the total stock-based compensation. Time-based restricted stock vests annually over three years from the date of the award. If a participant terminates employment due to retirement (with Committee approval), disability or death, or upon a “change in control” of the Company, vesting of the award accelerates.</w:t>
      </w:r>
    </w:p>
    <w:p>
      <w:pPr>
        <w:spacing w:after="0" w:line="18" w:lineRule="exact"/>
        <w:rPr>
          <w:rFonts w:ascii="Times New Roman" w:cs="Times New Roman" w:eastAsia="Times New Roman" w:hAnsi="Times New Roman"/>
          <w:sz w:val="22"/>
          <w:szCs w:val="22"/>
          <w:color w:val="auto"/>
        </w:rPr>
      </w:pPr>
    </w:p>
    <w:p>
      <w:pPr>
        <w:jc w:val="both"/>
        <w:ind w:left="340" w:hanging="332"/>
        <w:spacing w:after="0" w:line="243" w:lineRule="auto"/>
        <w:tabs>
          <w:tab w:leader="none" w:pos="3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These amounts represent the grant-date fair value of time-based restricted stock and performance-based restricted stock awarded in 2025. For the January 3, 2025 awards, the grant-date fair value of the time-based restricted stock and ROIC performance-based shares is based on the closing price of the Company’s Common Stock on January 2, 2025, as adjusted to take into account that holders of unvested shares are not eligible for and do not receive dividends while such shares remain unvested. For time-based restricted stock, the grant-date fair value is $79.32. For ROIC performance-based shares, the grant-date fair value is $78.39. The grant-date fair value of the TSR performance-based shares is $89.27 and is based on a Monte Carlo valuation model. In connection with his promotion, Mr. Novaes was granted additional restricted stock on July 1, 2025. The grant-date fair value of such time-based restricted stock and ROIC performance-based shares is based on the closing price of the Company’s Common Stock on July 1, 2025, and is adjusted as described above. For such time-based restricted stock, the grant-date fair value is $100.97. For ROIC performance-based shares, the grant-date fair value is $100.03. The grant-date fair value of the TSR performance-based shares is $163.35 and is based on a Monte Carlo valuation model. The Committee has determined that approximately two-thirds of the targeted value of stock awards to NEOs should be performance-based. In order for the Company in 2025 to deliver two-thirds of the value of an NEO’s targeted long-term equity incentive in performance-based restricted stock, somewhat more than one-third of the total number of shares granted were time-based restricted shares, and somewhat less than two-thirds were performance-based restricted shares because the prescribed valuation methods under FASB ASC Topic 718 result in higher per unit values for TSR performance-based restricted stock than for time-based restricted stock and ROIC performance-based restricted stock. Further details regarding these shares, the method of valuation and the assumptions made are set forth in Note X, “Stock-Based Compensation” to the financial statements in the Company’s Annual Report on Form 10-K for the fiscal year ended December 31, 2025.</w:t>
      </w:r>
    </w:p>
    <w:p>
      <w:pPr>
        <w:spacing w:after="0" w:line="25" w:lineRule="exact"/>
        <w:rPr>
          <w:rFonts w:ascii="Times New Roman" w:cs="Times New Roman" w:eastAsia="Times New Roman" w:hAnsi="Times New Roman"/>
          <w:sz w:val="21"/>
          <w:szCs w:val="21"/>
          <w:color w:val="auto"/>
        </w:rPr>
      </w:pPr>
    </w:p>
    <w:p>
      <w:pPr>
        <w:jc w:val="both"/>
        <w:ind w:left="340" w:hanging="332"/>
        <w:spacing w:after="0" w:line="235"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grant to Mr. Donahue of 105,157 shares of stock-based compensation under the 2022 Stock-Based Incentive Compensation Plan (the “2022 Stock Plan”). Time-based restricted stock totaling 36,256 shares vests over a three-year period as follows: 12,086 shares on January 5, 2026 and 12,085 shares on January 4, 2027 and January 3, 2028, respectively. The remaining 68,901 shares of performance-based restricted stock vest on January 3, 2028 as follows: 36,686 shares based on the Company’s ROIC from January 1, 2025 to December 31, 2027 compared to the established ROIC target; 32,215 shares based on the Company's TSR for that same period versus the TSR of a published index of industry peers. The final number of performance-based shares actually vesting may vary from 0 to 137,802.</w:t>
      </w:r>
    </w:p>
    <w:p>
      <w:pPr>
        <w:spacing w:after="0" w:line="21" w:lineRule="exact"/>
        <w:rPr>
          <w:rFonts w:ascii="Times New Roman" w:cs="Times New Roman" w:eastAsia="Times New Roman" w:hAnsi="Times New Roman"/>
          <w:sz w:val="22"/>
          <w:szCs w:val="22"/>
          <w:color w:val="auto"/>
        </w:rPr>
      </w:pPr>
    </w:p>
    <w:p>
      <w:pPr>
        <w:jc w:val="both"/>
        <w:ind w:left="340" w:hanging="332"/>
        <w:spacing w:after="0" w:line="249" w:lineRule="auto"/>
        <w:tabs>
          <w:tab w:leader="none" w:pos="340" w:val="left"/>
        </w:tabs>
        <w:numPr>
          <w:ilvl w:val="0"/>
          <w:numId w:val="5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Represents grant to Mr. Clothier of 24,530 shares of stock-based compensation under the 2022 Stock Plan. Time-based restricted stock totaling 8,457 shares vests over a three-year period as follows: 2,819 shares on January 5, 2026, January 4, 2027 and January 3, 2028, respectively. The remaining 16,073 shares of performance-based restricted stock vest on January 3, 2028 as follows: 8,558 shares based on the Company’s ROIC from January 1, 2025 to December 31, 2027 compared to the established ROIC target; 7,515 shares based on the Company’s TSR for that same period versus the TSR of a published index of industry peers. The final number of performance-based shares actually vesting may vary from 0 to 32,146.</w:t>
      </w:r>
    </w:p>
    <w:p>
      <w:pPr>
        <w:spacing w:after="0" w:line="8" w:lineRule="exact"/>
        <w:rPr>
          <w:rFonts w:ascii="Times New Roman" w:cs="Times New Roman" w:eastAsia="Times New Roman" w:hAnsi="Times New Roman"/>
          <w:sz w:val="21"/>
          <w:szCs w:val="21"/>
          <w:color w:val="auto"/>
        </w:rPr>
      </w:pPr>
    </w:p>
    <w:p>
      <w:pPr>
        <w:jc w:val="both"/>
        <w:ind w:left="340" w:hanging="332"/>
        <w:spacing w:after="0" w:line="235"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grant to Mr. Gifford of 40,873 shares of stock-based compensation under the 2022 Stock Plan. Time-based restricted stock totaling 14,092 shares vests over a three-year period as follows: 4,698 shares on January 5, 2026 and 4,697 shares on January 4, 2027 and January 3, 2028, respectively. The remaining 26,781 shares of performance-based restricted stock vest on January 3, 2028 as follows: 14,259 shares based on the Company’s ROIC from January 1, 2025 to December 31, 2027 compared to the established ROIC target; 12,522 shares based on the Company’s TSR for that same period versus the TSR of a published index of industry peers. The final number of performance-based shares actually vesting may vary from 0 to 53,562.</w:t>
      </w:r>
    </w:p>
    <w:p>
      <w:pPr>
        <w:spacing w:after="0" w:line="21" w:lineRule="exact"/>
        <w:rPr>
          <w:rFonts w:ascii="Times New Roman" w:cs="Times New Roman" w:eastAsia="Times New Roman" w:hAnsi="Times New Roman"/>
          <w:sz w:val="22"/>
          <w:szCs w:val="22"/>
          <w:color w:val="auto"/>
        </w:rPr>
      </w:pPr>
    </w:p>
    <w:p>
      <w:pPr>
        <w:jc w:val="both"/>
        <w:ind w:left="340" w:hanging="332"/>
        <w:spacing w:after="0" w:line="234"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grant to Mr. Novaes of 18,527 shares of stock-based compensation issued January 3, 2025 and 2,082 shares of stock-based compensation issued on July 1, 2025 for a total of 20,609 shares of stock-based compensation under the 2022 Stock Plan. Time-based restricted stock totaling 7,180 shares vests over a three-year period as follows: 2,130 shares on January 5, 2026, 264 shares on August 3, 2026 and 2,393 shares on January 4, 2027 and January 3, 2028, respectively. The remaining 13,429 shares of performance-based restricted stock vest on January 3, 2028 as follows: 7,263 shares based on the Company’s ROIC from January 1, 2025 to December 31, 2027 compared to the established ROIC target; 6,166 shares based on the Company’s TSR for that same period versus the TSR of a published index of industry peers. The final number of performance-based shares actually vesting may vary from 0 to 26,858. Mr. Novaes’ target bonus number in this chart reflects a blend of the salary and bonus percentages for the two positions held in 2025.</w:t>
      </w:r>
    </w:p>
    <w:p>
      <w:pPr>
        <w:spacing w:after="0" w:line="21" w:lineRule="exact"/>
        <w:rPr>
          <w:rFonts w:ascii="Times New Roman" w:cs="Times New Roman" w:eastAsia="Times New Roman" w:hAnsi="Times New Roman"/>
          <w:sz w:val="22"/>
          <w:szCs w:val="22"/>
          <w:color w:val="auto"/>
        </w:rPr>
      </w:pPr>
    </w:p>
    <w:p>
      <w:pPr>
        <w:jc w:val="both"/>
        <w:ind w:left="340" w:hanging="332"/>
        <w:spacing w:after="0" w:line="235" w:lineRule="auto"/>
        <w:tabs>
          <w:tab w:leader="none" w:pos="340"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Represents grant to Mr. Dickstein of 15,221 shares of stock-based compensation under the 2022 Stock Plan. Time-based restricted stock totaling 5,248 shares vests over a three-year period as follows: 1,750 shares on January 5, 2026 and 1,749 shares on January 4, 2027 and January 3, 2028, respectively. The remaining 9,973 shares of performance-based restricted stock vest on January 3, 2028 as follows: 5,310 shares based on the Company’s ROIC from January 1, 2025 to December 31, 2027 compared to the established ROIC target; 4,663 shares based on the Company’s TSR for that same period versus the TSR of a published index of industry peers. The final number of performance-based shares actually vesting may vary from 0 to 19,946.</w:t>
      </w:r>
    </w:p>
    <w:p>
      <w:pPr>
        <w:spacing w:after="0" w:line="116"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55</w:t>
      </w:r>
    </w:p>
    <w:p>
      <w:pPr>
        <w:sectPr>
          <w:pgSz w:w="11900" w:h="16838" w:orient="portrait"/>
          <w:cols w:equalWidth="0" w:num="1">
            <w:col w:w="11240"/>
          </w:cols>
          <w:pgMar w:left="320" w:top="571" w:right="339" w:bottom="640" w:gutter="0" w:footer="0" w:header="0"/>
        </w:sectPr>
      </w:pPr>
    </w:p>
    <w:bookmarkStart w:id="58" w:name="page59"/>
    <w:bookmarkEnd w:id="58"/>
    <w:p>
      <w:pPr>
        <w:jc w:val="center"/>
        <w:spacing w:after="0"/>
        <w:rPr>
          <w:sz w:val="20"/>
          <w:szCs w:val="20"/>
          <w:color w:val="auto"/>
        </w:rPr>
      </w:pPr>
      <w:r>
        <w:rPr>
          <w:rFonts w:ascii="Times New Roman" w:cs="Times New Roman" w:eastAsia="Times New Roman" w:hAnsi="Times New Roman"/>
          <w:sz w:val="22"/>
          <w:szCs w:val="22"/>
          <w:b w:val="1"/>
          <w:bCs w:val="1"/>
          <w:color w:val="auto"/>
        </w:rPr>
        <w:t>Outstanding Equity Awards at Fiscal Year-End</w:t>
      </w:r>
    </w:p>
    <w:p>
      <w:pPr>
        <w:spacing w:after="0" w:line="21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1"/>
          <w:szCs w:val="21"/>
          <w:color w:val="auto"/>
        </w:rPr>
        <w:t>The following table shows unvested time-based restricted Common Stock and unvested performance-based restricted Common Stock held by the Company’s NEOs on December 31, 2025. There are no outstanding options. These outstanding equity awards have been granted to the Company’s NEOs under the Company’s 2022 Stock-Based Incentive Compensation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25546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255460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FFFFFF"/>
        </w:rPr>
        <w:t>Stock Awards</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1800" w:type="dxa"/>
            <w:vAlign w:val="bottom"/>
            <w:tcBorders>
              <w:top w:val="single" w:sz="8" w:color="auto"/>
              <w:right w:val="single" w:sz="8" w:color="auto"/>
            </w:tcBorders>
          </w:tcPr>
          <w:p>
            <w:pPr>
              <w:spacing w:after="0"/>
              <w:rPr>
                <w:sz w:val="18"/>
                <w:szCs w:val="18"/>
                <w:color w:val="auto"/>
              </w:rPr>
            </w:pPr>
          </w:p>
        </w:tc>
        <w:tc>
          <w:tcPr>
            <w:tcW w:w="2580" w:type="dxa"/>
            <w:vAlign w:val="bottom"/>
            <w:tcBorders>
              <w:top w:val="single" w:sz="8" w:color="auto"/>
              <w:right w:val="single" w:sz="8" w:color="auto"/>
            </w:tcBorders>
          </w:tcPr>
          <w:p>
            <w:pPr>
              <w:jc w:val="center"/>
              <w:spacing w:after="0" w:line="216" w:lineRule="exact"/>
              <w:rPr>
                <w:sz w:val="20"/>
                <w:szCs w:val="20"/>
                <w:color w:val="auto"/>
              </w:rPr>
            </w:pPr>
            <w:r>
              <w:rPr>
                <w:rFonts w:ascii="Times New Roman" w:cs="Times New Roman" w:eastAsia="Times New Roman" w:hAnsi="Times New Roman"/>
                <w:sz w:val="20"/>
                <w:szCs w:val="20"/>
                <w:b w:val="1"/>
                <w:bCs w:val="1"/>
                <w:color w:val="FFFFFF"/>
              </w:rPr>
              <w:t>Equity Incentive</w:t>
            </w:r>
          </w:p>
        </w:tc>
        <w:tc>
          <w:tcPr>
            <w:tcW w:w="27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r>
      <w:tr>
        <w:trPr>
          <w:trHeight w:val="230"/>
        </w:trPr>
        <w:tc>
          <w:tcPr>
            <w:tcW w:w="22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Market Value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Plan Awards:</w:t>
            </w:r>
          </w:p>
        </w:tc>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Equity Incentive Plan</w:t>
            </w:r>
          </w:p>
        </w:tc>
        <w:tc>
          <w:tcPr>
            <w:tcW w:w="20" w:type="dxa"/>
            <w:vAlign w:val="bottom"/>
          </w:tcPr>
          <w:p>
            <w:pPr>
              <w:spacing w:after="0"/>
              <w:rPr>
                <w:sz w:val="19"/>
                <w:szCs w:val="19"/>
                <w:color w:val="auto"/>
              </w:rPr>
            </w:pPr>
          </w:p>
        </w:tc>
      </w:tr>
      <w:tr>
        <w:trPr>
          <w:trHeight w:val="229"/>
        </w:trPr>
        <w:tc>
          <w:tcPr>
            <w:tcW w:w="22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Number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of Shares or</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Number of Unearned</w:t>
            </w:r>
          </w:p>
        </w:tc>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Awards: Market or</w:t>
            </w:r>
          </w:p>
        </w:tc>
        <w:tc>
          <w:tcPr>
            <w:tcW w:w="20" w:type="dxa"/>
            <w:vAlign w:val="bottom"/>
          </w:tcPr>
          <w:p>
            <w:pPr>
              <w:spacing w:after="0"/>
              <w:rPr>
                <w:sz w:val="19"/>
                <w:szCs w:val="19"/>
                <w:color w:val="auto"/>
              </w:rPr>
            </w:pPr>
          </w:p>
        </w:tc>
      </w:tr>
      <w:tr>
        <w:trPr>
          <w:trHeight w:val="230"/>
        </w:trPr>
        <w:tc>
          <w:tcPr>
            <w:tcW w:w="22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Shares or Units of</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Units of Stock</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Shares, Units</w:t>
            </w:r>
          </w:p>
        </w:tc>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Payout Value of Unearned</w:t>
            </w:r>
          </w:p>
        </w:tc>
        <w:tc>
          <w:tcPr>
            <w:tcW w:w="20" w:type="dxa"/>
            <w:vAlign w:val="bottom"/>
          </w:tcPr>
          <w:p>
            <w:pPr>
              <w:spacing w:after="0"/>
              <w:rPr>
                <w:sz w:val="19"/>
                <w:szCs w:val="19"/>
                <w:color w:val="auto"/>
              </w:rPr>
            </w:pPr>
          </w:p>
        </w:tc>
      </w:tr>
      <w:tr>
        <w:trPr>
          <w:trHeight w:val="229"/>
        </w:trPr>
        <w:tc>
          <w:tcPr>
            <w:tcW w:w="2280" w:type="dxa"/>
            <w:vAlign w:val="bottom"/>
            <w:tcBorders>
              <w:right w:val="single" w:sz="8" w:color="auto"/>
            </w:tcBorders>
          </w:tcPr>
          <w:p>
            <w:pPr>
              <w:ind w:left="900"/>
              <w:spacing w:after="0"/>
              <w:rPr>
                <w:sz w:val="20"/>
                <w:szCs w:val="20"/>
                <w:color w:val="auto"/>
              </w:rPr>
            </w:pPr>
            <w:r>
              <w:rPr>
                <w:rFonts w:ascii="Times New Roman" w:cs="Times New Roman" w:eastAsia="Times New Roman" w:hAnsi="Times New Roman"/>
                <w:sz w:val="20"/>
                <w:szCs w:val="20"/>
                <w:b w:val="1"/>
                <w:bCs w:val="1"/>
                <w:color w:val="FFFFFF"/>
              </w:rPr>
              <w:t>Name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Stock That Have</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That Have</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or Other Rights That</w:t>
            </w:r>
          </w:p>
        </w:tc>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FFFFFF"/>
                <w:w w:val="99"/>
              </w:rPr>
              <w:t>Shares, Units or Other Rights</w:t>
            </w:r>
          </w:p>
        </w:tc>
        <w:tc>
          <w:tcPr>
            <w:tcW w:w="20" w:type="dxa"/>
            <w:vAlign w:val="bottom"/>
          </w:tcPr>
          <w:p>
            <w:pPr>
              <w:spacing w:after="0"/>
              <w:rPr>
                <w:sz w:val="19"/>
                <w:szCs w:val="19"/>
                <w:color w:val="auto"/>
              </w:rPr>
            </w:pPr>
          </w:p>
        </w:tc>
      </w:tr>
      <w:tr>
        <w:trPr>
          <w:trHeight w:val="229"/>
        </w:trPr>
        <w:tc>
          <w:tcPr>
            <w:tcW w:w="2280" w:type="dxa"/>
            <w:vAlign w:val="bottom"/>
            <w:tcBorders>
              <w:right w:val="single" w:sz="8" w:color="auto"/>
            </w:tcBorders>
          </w:tcPr>
          <w:p>
            <w:pPr>
              <w:spacing w:after="0"/>
              <w:rPr>
                <w:sz w:val="19"/>
                <w:szCs w:val="19"/>
                <w:color w:val="auto"/>
              </w:rPr>
            </w:pP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6"/>
              </w:rPr>
              <w:t>Not Vested (1)</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Not Vested (2)</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7"/>
              </w:rPr>
              <w:t>Have Not Vested (3)</w:t>
            </w:r>
          </w:p>
        </w:tc>
        <w:tc>
          <w:tcPr>
            <w:tcW w:w="2760" w:type="dxa"/>
            <w:vAlign w:val="bottom"/>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That Have Not Vested (2)</w:t>
            </w:r>
          </w:p>
        </w:tc>
        <w:tc>
          <w:tcPr>
            <w:tcW w:w="20" w:type="dxa"/>
            <w:vAlign w:val="bottom"/>
          </w:tcPr>
          <w:p>
            <w:pPr>
              <w:spacing w:after="0"/>
              <w:rPr>
                <w:sz w:val="19"/>
                <w:szCs w:val="19"/>
                <w:color w:val="auto"/>
              </w:rPr>
            </w:pPr>
          </w:p>
        </w:tc>
      </w:tr>
      <w:tr>
        <w:trPr>
          <w:trHeight w:val="256"/>
        </w:trPr>
        <w:tc>
          <w:tcPr>
            <w:tcW w:w="2280" w:type="dxa"/>
            <w:vAlign w:val="bottom"/>
            <w:tcBorders>
              <w:bottom w:val="single" w:sz="8" w:color="auto"/>
              <w:right w:val="single" w:sz="8" w:color="auto"/>
            </w:tcBorders>
          </w:tcPr>
          <w:p>
            <w:pPr>
              <w:spacing w:after="0"/>
              <w:rPr>
                <w:sz w:val="22"/>
                <w:szCs w:val="22"/>
                <w:color w:val="auto"/>
              </w:rPr>
            </w:pP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(Shares)</w:t>
            </w:r>
          </w:p>
        </w:tc>
        <w:tc>
          <w:tcPr>
            <w:tcW w:w="18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rPr>
              <w:t>($)</w:t>
            </w:r>
          </w:p>
        </w:tc>
        <w:tc>
          <w:tcPr>
            <w:tcW w:w="25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w w:val="98"/>
              </w:rPr>
              <w:t>(Shares)</w:t>
            </w:r>
          </w:p>
        </w:tc>
        <w:tc>
          <w:tcPr>
            <w:tcW w:w="2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20"/>
                <w:szCs w:val="20"/>
                <w:b w:val="1"/>
                <w:bCs w:val="1"/>
                <w:color w:val="FFFFFF"/>
              </w:rPr>
              <w:t>($)</w:t>
            </w:r>
          </w:p>
        </w:tc>
        <w:tc>
          <w:tcPr>
            <w:tcW w:w="20" w:type="dxa"/>
            <w:vAlign w:val="bottom"/>
            <w:tcBorders>
              <w:bottom w:val="single" w:sz="8" w:color="auto"/>
            </w:tcBorders>
          </w:tcPr>
          <w:p>
            <w:pPr>
              <w:spacing w:after="0"/>
              <w:rPr>
                <w:sz w:val="22"/>
                <w:szCs w:val="22"/>
                <w:color w:val="auto"/>
              </w:rPr>
            </w:pPr>
          </w:p>
        </w:tc>
      </w:tr>
      <w:tr>
        <w:trPr>
          <w:trHeight w:val="391"/>
        </w:trPr>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Timothy Donahue</w:t>
            </w:r>
          </w:p>
        </w:tc>
        <w:tc>
          <w:tcPr>
            <w:tcW w:w="18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66,541</w:t>
            </w:r>
          </w:p>
        </w:tc>
        <w:tc>
          <w:tcPr>
            <w:tcW w:w="18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6,851,727</w:t>
            </w:r>
          </w:p>
        </w:tc>
        <w:tc>
          <w:tcPr>
            <w:tcW w:w="2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184,725</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19,021,133</w:t>
            </w:r>
          </w:p>
        </w:tc>
        <w:tc>
          <w:tcPr>
            <w:tcW w:w="20" w:type="dxa"/>
            <w:vAlign w:val="bottom"/>
          </w:tcPr>
          <w:p>
            <w:pPr>
              <w:spacing w:after="0"/>
              <w:rPr>
                <w:sz w:val="24"/>
                <w:szCs w:val="24"/>
                <w:color w:val="auto"/>
              </w:rPr>
            </w:pPr>
          </w:p>
        </w:tc>
      </w:tr>
      <w:tr>
        <w:trPr>
          <w:trHeight w:val="102"/>
        </w:trPr>
        <w:tc>
          <w:tcPr>
            <w:tcW w:w="228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1800" w:type="dxa"/>
            <w:vAlign w:val="bottom"/>
            <w:tcBorders>
              <w:bottom w:val="single" w:sz="8" w:color="auto"/>
              <w:right w:val="single" w:sz="8" w:color="auto"/>
            </w:tcBorders>
          </w:tcPr>
          <w:p>
            <w:pPr>
              <w:spacing w:after="0"/>
              <w:rPr>
                <w:sz w:val="8"/>
                <w:szCs w:val="8"/>
                <w:color w:val="auto"/>
              </w:rPr>
            </w:pPr>
          </w:p>
        </w:tc>
        <w:tc>
          <w:tcPr>
            <w:tcW w:w="2580" w:type="dxa"/>
            <w:vAlign w:val="bottom"/>
            <w:tcBorders>
              <w:bottom w:val="single" w:sz="8" w:color="auto"/>
              <w:right w:val="single" w:sz="8" w:color="auto"/>
            </w:tcBorders>
          </w:tcPr>
          <w:p>
            <w:pPr>
              <w:spacing w:after="0"/>
              <w:rPr>
                <w:sz w:val="8"/>
                <w:szCs w:val="8"/>
                <w:color w:val="auto"/>
              </w:rPr>
            </w:pPr>
          </w:p>
        </w:tc>
        <w:tc>
          <w:tcPr>
            <w:tcW w:w="27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r>
      <w:tr>
        <w:trPr>
          <w:trHeight w:val="252"/>
        </w:trPr>
        <w:tc>
          <w:tcPr>
            <w:tcW w:w="2280" w:type="dxa"/>
            <w:vAlign w:val="bottom"/>
            <w:tcBorders>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Kevin Clothier</w:t>
            </w:r>
          </w:p>
        </w:tc>
        <w:tc>
          <w:tcPr>
            <w:tcW w:w="1800" w:type="dxa"/>
            <w:vAlign w:val="bottom"/>
            <w:tcBorders>
              <w:right w:val="single" w:sz="8" w:color="auto"/>
            </w:tcBorders>
            <w:shd w:val="clear" w:color="auto" w:fill="D9D9D9"/>
          </w:tcPr>
          <w:p>
            <w:pPr>
              <w:jc w:val="right"/>
              <w:ind w:right="21"/>
              <w:spacing w:after="0"/>
              <w:rPr>
                <w:sz w:val="20"/>
                <w:szCs w:val="20"/>
                <w:color w:val="auto"/>
              </w:rPr>
            </w:pPr>
            <w:r>
              <w:rPr>
                <w:rFonts w:ascii="Times New Roman" w:cs="Times New Roman" w:eastAsia="Times New Roman" w:hAnsi="Times New Roman"/>
                <w:sz w:val="20"/>
                <w:szCs w:val="20"/>
                <w:color w:val="auto"/>
              </w:rPr>
              <w:t>14,364</w:t>
            </w:r>
          </w:p>
        </w:tc>
        <w:tc>
          <w:tcPr>
            <w:tcW w:w="1800" w:type="dxa"/>
            <w:vAlign w:val="bottom"/>
            <w:tcBorders>
              <w:right w:val="single" w:sz="8" w:color="auto"/>
            </w:tcBorders>
            <w:shd w:val="clear" w:color="auto" w:fill="D9D9D9"/>
          </w:tcPr>
          <w:p>
            <w:pPr>
              <w:jc w:val="right"/>
              <w:ind w:right="21"/>
              <w:spacing w:after="0"/>
              <w:rPr>
                <w:sz w:val="20"/>
                <w:szCs w:val="20"/>
                <w:color w:val="auto"/>
              </w:rPr>
            </w:pPr>
            <w:r>
              <w:rPr>
                <w:rFonts w:ascii="Times New Roman" w:cs="Times New Roman" w:eastAsia="Times New Roman" w:hAnsi="Times New Roman"/>
                <w:sz w:val="20"/>
                <w:szCs w:val="20"/>
                <w:color w:val="auto"/>
              </w:rPr>
              <w:t>1,479,061</w:t>
            </w:r>
          </w:p>
        </w:tc>
        <w:tc>
          <w:tcPr>
            <w:tcW w:w="2580" w:type="dxa"/>
            <w:vAlign w:val="bottom"/>
            <w:tcBorders>
              <w:right w:val="single" w:sz="8" w:color="auto"/>
            </w:tcBorders>
            <w:shd w:val="clear" w:color="auto" w:fill="D9D9D9"/>
          </w:tcPr>
          <w:p>
            <w:pPr>
              <w:jc w:val="right"/>
              <w:ind w:right="21"/>
              <w:spacing w:after="0"/>
              <w:rPr>
                <w:sz w:val="20"/>
                <w:szCs w:val="20"/>
                <w:color w:val="auto"/>
              </w:rPr>
            </w:pPr>
            <w:r>
              <w:rPr>
                <w:rFonts w:ascii="Times New Roman" w:cs="Times New Roman" w:eastAsia="Times New Roman" w:hAnsi="Times New Roman"/>
                <w:sz w:val="20"/>
                <w:szCs w:val="20"/>
                <w:color w:val="auto"/>
              </w:rPr>
              <w:t>37,768</w:t>
            </w:r>
          </w:p>
        </w:tc>
        <w:tc>
          <w:tcPr>
            <w:tcW w:w="27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3,888,971</w:t>
            </w:r>
          </w:p>
        </w:tc>
        <w:tc>
          <w:tcPr>
            <w:tcW w:w="20" w:type="dxa"/>
            <w:vAlign w:val="bottom"/>
          </w:tcPr>
          <w:p>
            <w:pPr>
              <w:spacing w:after="0"/>
              <w:rPr>
                <w:sz w:val="21"/>
                <w:szCs w:val="21"/>
                <w:color w:val="auto"/>
              </w:rPr>
            </w:pPr>
          </w:p>
        </w:tc>
      </w:tr>
      <w:tr>
        <w:trPr>
          <w:trHeight w:val="79"/>
        </w:trPr>
        <w:tc>
          <w:tcPr>
            <w:tcW w:w="2280" w:type="dxa"/>
            <w:vAlign w:val="bottom"/>
            <w:tcBorders>
              <w:bottom w:val="single" w:sz="8" w:color="auto"/>
              <w:right w:val="single" w:sz="8" w:color="auto"/>
            </w:tcBorders>
            <w:shd w:val="clear" w:color="auto" w:fill="D9D9D9"/>
          </w:tcPr>
          <w:p>
            <w:pPr>
              <w:spacing w:after="0"/>
              <w:rPr>
                <w:sz w:val="6"/>
                <w:szCs w:val="6"/>
                <w:color w:val="auto"/>
              </w:rPr>
            </w:pPr>
          </w:p>
        </w:tc>
        <w:tc>
          <w:tcPr>
            <w:tcW w:w="1800" w:type="dxa"/>
            <w:vAlign w:val="bottom"/>
            <w:tcBorders>
              <w:bottom w:val="single" w:sz="8" w:color="auto"/>
              <w:right w:val="single" w:sz="8" w:color="auto"/>
            </w:tcBorders>
            <w:shd w:val="clear" w:color="auto" w:fill="D9D9D9"/>
          </w:tcPr>
          <w:p>
            <w:pPr>
              <w:spacing w:after="0"/>
              <w:rPr>
                <w:sz w:val="6"/>
                <w:szCs w:val="6"/>
                <w:color w:val="auto"/>
              </w:rPr>
            </w:pPr>
          </w:p>
        </w:tc>
        <w:tc>
          <w:tcPr>
            <w:tcW w:w="1800" w:type="dxa"/>
            <w:vAlign w:val="bottom"/>
            <w:tcBorders>
              <w:bottom w:val="single" w:sz="8" w:color="auto"/>
              <w:right w:val="single" w:sz="8" w:color="auto"/>
            </w:tcBorders>
            <w:shd w:val="clear" w:color="auto" w:fill="D9D9D9"/>
          </w:tcPr>
          <w:p>
            <w:pPr>
              <w:spacing w:after="0"/>
              <w:rPr>
                <w:sz w:val="6"/>
                <w:szCs w:val="6"/>
                <w:color w:val="auto"/>
              </w:rPr>
            </w:pPr>
          </w:p>
        </w:tc>
        <w:tc>
          <w:tcPr>
            <w:tcW w:w="2580" w:type="dxa"/>
            <w:vAlign w:val="bottom"/>
            <w:tcBorders>
              <w:bottom w:val="single" w:sz="8" w:color="auto"/>
              <w:right w:val="single" w:sz="8" w:color="auto"/>
            </w:tcBorders>
            <w:shd w:val="clear" w:color="auto" w:fill="D9D9D9"/>
          </w:tcPr>
          <w:p>
            <w:pPr>
              <w:spacing w:after="0"/>
              <w:rPr>
                <w:sz w:val="6"/>
                <w:szCs w:val="6"/>
                <w:color w:val="auto"/>
              </w:rPr>
            </w:pPr>
          </w:p>
        </w:tc>
        <w:tc>
          <w:tcPr>
            <w:tcW w:w="2760" w:type="dxa"/>
            <w:vAlign w:val="bottom"/>
            <w:tcBorders>
              <w:bottom w:val="single" w:sz="8" w:color="auto"/>
            </w:tcBorders>
            <w:shd w:val="clear" w:color="auto" w:fill="D9D9D9"/>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52"/>
        </w:trPr>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Gerard Gifford</w:t>
            </w:r>
          </w:p>
        </w:tc>
        <w:tc>
          <w:tcPr>
            <w:tcW w:w="18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26,179</w:t>
            </w:r>
          </w:p>
        </w:tc>
        <w:tc>
          <w:tcPr>
            <w:tcW w:w="18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2,695,652</w:t>
            </w:r>
          </w:p>
        </w:tc>
        <w:tc>
          <w:tcPr>
            <w:tcW w:w="2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72,841</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7,500,438</w:t>
            </w:r>
          </w:p>
        </w:tc>
        <w:tc>
          <w:tcPr>
            <w:tcW w:w="20" w:type="dxa"/>
            <w:vAlign w:val="bottom"/>
          </w:tcPr>
          <w:p>
            <w:pPr>
              <w:spacing w:after="0"/>
              <w:rPr>
                <w:sz w:val="21"/>
                <w:szCs w:val="21"/>
                <w:color w:val="auto"/>
              </w:rPr>
            </w:pPr>
          </w:p>
        </w:tc>
      </w:tr>
      <w:tr>
        <w:trPr>
          <w:trHeight w:val="79"/>
        </w:trPr>
        <w:tc>
          <w:tcPr>
            <w:tcW w:w="228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2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52"/>
        </w:trPr>
        <w:tc>
          <w:tcPr>
            <w:tcW w:w="2280" w:type="dxa"/>
            <w:vAlign w:val="bottom"/>
            <w:tcBorders>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20"/>
                <w:szCs w:val="20"/>
                <w:color w:val="auto"/>
              </w:rPr>
              <w:t>Djalma Novaes</w:t>
            </w:r>
          </w:p>
        </w:tc>
        <w:tc>
          <w:tcPr>
            <w:tcW w:w="1800" w:type="dxa"/>
            <w:vAlign w:val="bottom"/>
            <w:tcBorders>
              <w:right w:val="single" w:sz="8" w:color="auto"/>
            </w:tcBorders>
            <w:shd w:val="clear" w:color="auto" w:fill="D9D9D9"/>
          </w:tcPr>
          <w:p>
            <w:pPr>
              <w:jc w:val="right"/>
              <w:ind w:right="21"/>
              <w:spacing w:after="0"/>
              <w:rPr>
                <w:sz w:val="20"/>
                <w:szCs w:val="20"/>
                <w:color w:val="auto"/>
              </w:rPr>
            </w:pPr>
            <w:r>
              <w:rPr>
                <w:rFonts w:ascii="Times New Roman" w:cs="Times New Roman" w:eastAsia="Times New Roman" w:hAnsi="Times New Roman"/>
                <w:sz w:val="20"/>
                <w:szCs w:val="20"/>
                <w:color w:val="auto"/>
              </w:rPr>
              <w:t>12,450</w:t>
            </w:r>
          </w:p>
        </w:tc>
        <w:tc>
          <w:tcPr>
            <w:tcW w:w="1800" w:type="dxa"/>
            <w:vAlign w:val="bottom"/>
            <w:tcBorders>
              <w:right w:val="single" w:sz="8" w:color="auto"/>
            </w:tcBorders>
            <w:shd w:val="clear" w:color="auto" w:fill="D9D9D9"/>
          </w:tcPr>
          <w:p>
            <w:pPr>
              <w:jc w:val="right"/>
              <w:ind w:right="21"/>
              <w:spacing w:after="0"/>
              <w:rPr>
                <w:sz w:val="20"/>
                <w:szCs w:val="20"/>
                <w:color w:val="auto"/>
              </w:rPr>
            </w:pPr>
            <w:r>
              <w:rPr>
                <w:rFonts w:ascii="Times New Roman" w:cs="Times New Roman" w:eastAsia="Times New Roman" w:hAnsi="Times New Roman"/>
                <w:sz w:val="20"/>
                <w:szCs w:val="20"/>
                <w:color w:val="auto"/>
              </w:rPr>
              <w:t>1,281,977</w:t>
            </w:r>
          </w:p>
        </w:tc>
        <w:tc>
          <w:tcPr>
            <w:tcW w:w="2580" w:type="dxa"/>
            <w:vAlign w:val="bottom"/>
            <w:tcBorders>
              <w:right w:val="single" w:sz="8" w:color="auto"/>
            </w:tcBorders>
            <w:shd w:val="clear" w:color="auto" w:fill="D9D9D9"/>
          </w:tcPr>
          <w:p>
            <w:pPr>
              <w:jc w:val="right"/>
              <w:ind w:right="21"/>
              <w:spacing w:after="0"/>
              <w:rPr>
                <w:sz w:val="20"/>
                <w:szCs w:val="20"/>
                <w:color w:val="auto"/>
              </w:rPr>
            </w:pPr>
            <w:r>
              <w:rPr>
                <w:rFonts w:ascii="Times New Roman" w:cs="Times New Roman" w:eastAsia="Times New Roman" w:hAnsi="Times New Roman"/>
                <w:sz w:val="20"/>
                <w:szCs w:val="20"/>
                <w:color w:val="auto"/>
              </w:rPr>
              <w:t>33,161</w:t>
            </w:r>
          </w:p>
        </w:tc>
        <w:tc>
          <w:tcPr>
            <w:tcW w:w="2760" w:type="dxa"/>
            <w:vAlign w:val="bottom"/>
            <w:shd w:val="clear" w:color="auto" w:fill="D9D9D9"/>
          </w:tcPr>
          <w:p>
            <w:pPr>
              <w:jc w:val="right"/>
              <w:spacing w:after="0"/>
              <w:rPr>
                <w:sz w:val="20"/>
                <w:szCs w:val="20"/>
                <w:color w:val="auto"/>
              </w:rPr>
            </w:pPr>
            <w:r>
              <w:rPr>
                <w:rFonts w:ascii="Times New Roman" w:cs="Times New Roman" w:eastAsia="Times New Roman" w:hAnsi="Times New Roman"/>
                <w:sz w:val="20"/>
                <w:szCs w:val="20"/>
                <w:color w:val="auto"/>
              </w:rPr>
              <w:t>3,414,588</w:t>
            </w:r>
          </w:p>
        </w:tc>
        <w:tc>
          <w:tcPr>
            <w:tcW w:w="20" w:type="dxa"/>
            <w:vAlign w:val="bottom"/>
          </w:tcPr>
          <w:p>
            <w:pPr>
              <w:spacing w:after="0"/>
              <w:rPr>
                <w:sz w:val="21"/>
                <w:szCs w:val="21"/>
                <w:color w:val="auto"/>
              </w:rPr>
            </w:pPr>
          </w:p>
        </w:tc>
      </w:tr>
      <w:tr>
        <w:trPr>
          <w:trHeight w:val="79"/>
        </w:trPr>
        <w:tc>
          <w:tcPr>
            <w:tcW w:w="2280" w:type="dxa"/>
            <w:vAlign w:val="bottom"/>
            <w:tcBorders>
              <w:bottom w:val="single" w:sz="8" w:color="auto"/>
              <w:right w:val="single" w:sz="8" w:color="auto"/>
            </w:tcBorders>
            <w:shd w:val="clear" w:color="auto" w:fill="D9D9D9"/>
          </w:tcPr>
          <w:p>
            <w:pPr>
              <w:spacing w:after="0"/>
              <w:rPr>
                <w:sz w:val="6"/>
                <w:szCs w:val="6"/>
                <w:color w:val="auto"/>
              </w:rPr>
            </w:pPr>
          </w:p>
        </w:tc>
        <w:tc>
          <w:tcPr>
            <w:tcW w:w="1800" w:type="dxa"/>
            <w:vAlign w:val="bottom"/>
            <w:tcBorders>
              <w:bottom w:val="single" w:sz="8" w:color="auto"/>
              <w:right w:val="single" w:sz="8" w:color="auto"/>
            </w:tcBorders>
            <w:shd w:val="clear" w:color="auto" w:fill="D9D9D9"/>
          </w:tcPr>
          <w:p>
            <w:pPr>
              <w:spacing w:after="0"/>
              <w:rPr>
                <w:sz w:val="6"/>
                <w:szCs w:val="6"/>
                <w:color w:val="auto"/>
              </w:rPr>
            </w:pPr>
          </w:p>
        </w:tc>
        <w:tc>
          <w:tcPr>
            <w:tcW w:w="1800" w:type="dxa"/>
            <w:vAlign w:val="bottom"/>
            <w:tcBorders>
              <w:bottom w:val="single" w:sz="8" w:color="auto"/>
              <w:right w:val="single" w:sz="8" w:color="auto"/>
            </w:tcBorders>
            <w:shd w:val="clear" w:color="auto" w:fill="D9D9D9"/>
          </w:tcPr>
          <w:p>
            <w:pPr>
              <w:spacing w:after="0"/>
              <w:rPr>
                <w:sz w:val="6"/>
                <w:szCs w:val="6"/>
                <w:color w:val="auto"/>
              </w:rPr>
            </w:pPr>
          </w:p>
        </w:tc>
        <w:tc>
          <w:tcPr>
            <w:tcW w:w="2580" w:type="dxa"/>
            <w:vAlign w:val="bottom"/>
            <w:tcBorders>
              <w:bottom w:val="single" w:sz="8" w:color="auto"/>
              <w:right w:val="single" w:sz="8" w:color="auto"/>
            </w:tcBorders>
            <w:shd w:val="clear" w:color="auto" w:fill="D9D9D9"/>
          </w:tcPr>
          <w:p>
            <w:pPr>
              <w:spacing w:after="0"/>
              <w:rPr>
                <w:sz w:val="6"/>
                <w:szCs w:val="6"/>
                <w:color w:val="auto"/>
              </w:rPr>
            </w:pPr>
          </w:p>
        </w:tc>
        <w:tc>
          <w:tcPr>
            <w:tcW w:w="2760" w:type="dxa"/>
            <w:vAlign w:val="bottom"/>
            <w:tcBorders>
              <w:bottom w:val="single" w:sz="8" w:color="auto"/>
            </w:tcBorders>
            <w:shd w:val="clear" w:color="auto" w:fill="D9D9D9"/>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r>
        <w:trPr>
          <w:trHeight w:val="252"/>
        </w:trPr>
        <w:tc>
          <w:tcPr>
            <w:tcW w:w="2280" w:type="dxa"/>
            <w:vAlign w:val="bottom"/>
            <w:tcBorders>
              <w:right w:val="single" w:sz="8" w:color="auto"/>
            </w:tcBorders>
          </w:tcPr>
          <w:p>
            <w:pPr>
              <w:ind w:left="120"/>
              <w:spacing w:after="0"/>
              <w:rPr>
                <w:sz w:val="20"/>
                <w:szCs w:val="20"/>
                <w:color w:val="auto"/>
              </w:rPr>
            </w:pPr>
            <w:r>
              <w:rPr>
                <w:rFonts w:ascii="Times New Roman" w:cs="Times New Roman" w:eastAsia="Times New Roman" w:hAnsi="Times New Roman"/>
                <w:sz w:val="20"/>
                <w:szCs w:val="20"/>
                <w:color w:val="auto"/>
              </w:rPr>
              <w:t>Adam Dickstein</w:t>
            </w:r>
          </w:p>
        </w:tc>
        <w:tc>
          <w:tcPr>
            <w:tcW w:w="18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9,798</w:t>
            </w:r>
          </w:p>
        </w:tc>
        <w:tc>
          <w:tcPr>
            <w:tcW w:w="180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1,008,900</w:t>
            </w:r>
          </w:p>
        </w:tc>
        <w:tc>
          <w:tcPr>
            <w:tcW w:w="2580" w:type="dxa"/>
            <w:vAlign w:val="bottom"/>
            <w:tcBorders>
              <w:right w:val="single" w:sz="8" w:color="auto"/>
            </w:tcBorders>
          </w:tcPr>
          <w:p>
            <w:pPr>
              <w:jc w:val="right"/>
              <w:ind w:right="21"/>
              <w:spacing w:after="0"/>
              <w:rPr>
                <w:sz w:val="20"/>
                <w:szCs w:val="20"/>
                <w:color w:val="auto"/>
              </w:rPr>
            </w:pPr>
            <w:r>
              <w:rPr>
                <w:rFonts w:ascii="Times New Roman" w:cs="Times New Roman" w:eastAsia="Times New Roman" w:hAnsi="Times New Roman"/>
                <w:sz w:val="20"/>
                <w:szCs w:val="20"/>
                <w:color w:val="auto"/>
              </w:rPr>
              <w:t>27,356</w:t>
            </w:r>
          </w:p>
        </w:tc>
        <w:tc>
          <w:tcPr>
            <w:tcW w:w="27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2,816,847</w:t>
            </w:r>
          </w:p>
        </w:tc>
        <w:tc>
          <w:tcPr>
            <w:tcW w:w="20" w:type="dxa"/>
            <w:vAlign w:val="bottom"/>
          </w:tcPr>
          <w:p>
            <w:pPr>
              <w:spacing w:after="0"/>
              <w:rPr>
                <w:sz w:val="21"/>
                <w:szCs w:val="21"/>
                <w:color w:val="auto"/>
              </w:rPr>
            </w:pPr>
          </w:p>
        </w:tc>
      </w:tr>
      <w:tr>
        <w:trPr>
          <w:trHeight w:val="79"/>
        </w:trPr>
        <w:tc>
          <w:tcPr>
            <w:tcW w:w="228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276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r>
    </w:tbl>
    <w:p>
      <w:pPr>
        <w:spacing w:after="0" w:line="301" w:lineRule="exact"/>
        <w:rPr>
          <w:sz w:val="20"/>
          <w:szCs w:val="20"/>
          <w:color w:val="auto"/>
        </w:rPr>
      </w:pPr>
    </w:p>
    <w:p>
      <w:pPr>
        <w:jc w:val="both"/>
        <w:ind w:left="340" w:hanging="332"/>
        <w:spacing w:after="0" w:line="244" w:lineRule="auto"/>
        <w:tabs>
          <w:tab w:leader="none" w:pos="3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amounts represent outstanding unvested time-based restricted stock awards. Time-based restricted stock vests annually over three years from the date of the award. Accordingly, with respect to awards made in 2023, the final one-third vested on January 5, 2026. With respect to awards made in 2024, the second one-third vested on January 5, 2026 and the final one-third will vest on January 4, 2027. With respect to awards made in 2025, the first one-third vested on January 5, 2026, the second one-third will vest on January 4, 2027 and the final one-third will vest on January 3, 2028. A portion of Mr. Novaes’ 2025 award will vest on August 3, 2026. If a participant terminates employment due to retirement (with Committee approval), disability or death, or in the event of a “change in control” of the Company, vesting of the unvested time-based restricted stock awards accelerates to the date of termination or change in control.</w:t>
      </w:r>
    </w:p>
    <w:p>
      <w:pPr>
        <w:spacing w:after="0" w:line="185"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Computed as of December 31, 2025. The closing price of the Company’s Common Stock on December 31, 2025 was $102.97.</w:t>
      </w:r>
    </w:p>
    <w:p>
      <w:pPr>
        <w:spacing w:after="0" w:line="31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56</w:t>
      </w:r>
    </w:p>
    <w:p>
      <w:pPr>
        <w:sectPr>
          <w:pgSz w:w="11900" w:h="16838" w:orient="portrait"/>
          <w:cols w:equalWidth="0" w:num="1">
            <w:col w:w="11240"/>
          </w:cols>
          <w:pgMar w:left="320" w:top="567" w:right="339" w:bottom="1440" w:gutter="0" w:footer="0" w:header="0"/>
        </w:sectPr>
      </w:pPr>
    </w:p>
    <w:bookmarkStart w:id="59" w:name="page60"/>
    <w:bookmarkEnd w:id="59"/>
    <w:p>
      <w:pPr>
        <w:jc w:val="both"/>
        <w:ind w:left="340" w:hanging="332"/>
        <w:spacing w:after="0" w:line="241" w:lineRule="auto"/>
        <w:tabs>
          <w:tab w:leader="none" w:pos="340"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These amounts represent outstanding unvested performance-based restricted stock at target levels. The range of shares to be vested is 0 to 200% of the target based on the levels of performance achieved under the 2023 award from January 1, 2023 to December 31, 2025, under the 2024 award from January 1, 2024 to December 31, 2026 and under the 2025 award from January 1, 2025 to December 31, 2027. The number reported does not include any additional shares that may be awarded after December 31, 2025 based upon the Company’s performance but does include shares that may be forfeited based on the Company’s performance. The vesting day for TSR performance-based shares earned pursuant to the 2023 awards was January 5, 2026. On that date all TSR performance-based shares vested as follows: for Mr. Donahue – 54,534 shares with a value on December 31, 2025 of $5,615,366; for Mr. Clothier – 8,957 shares with a value on December 31, 2025 of $922,302; for Mr. Gifford – 21,458 shares with a value on December 31, 2025 of $2,209,530; for Mr. Novaes – 8,700 shares with a value on December 31, 2025 of $895,839; and for Mr. Dickstein – 8,153 shares with a value on December 31, 2025 of $839,514. On February 26, 2026, ROIC performance-based shares earned pursuant to the 2023 awards vested as follows: for Mr. Donahue – 38,202 shares with a value on December 31, 2025 of $3,933,660; for Mr. Clothier – 6,274 shares with a value on December 31, 2025 of $646,034; for Mr. Gifford – 15,031 shares with a value on December 31, 2025 of $1,547,742; for Mr. Novaes – 6,095 shares with a value on December 31, 2025 of $627,602; and for Mr. Dickstein – 5,712 shares with a value on December 31, 2025 of $588,165. For further information relating to performance-based share vesting, see “Compensation Discussion and Analysis – Long-Term Equity Incentives.” Rights to the performance-based shares are not forfeited upon death or disability and remain subject to attainment of the performance goal. Performance-based shares may not be forfeited upon retirement at the discretion of the Committee and, if not forfeited, remain subject to attainment of the performance goals. TSR performance-based shares vest upon a “change in control” of the Company based upon the Company’s TSR as compared to that of a published index of industry peers at the time of the “change in control.” ROIC performance-based shares vest upon a “change in control” of the Company based upon the ROIC of the Company compared to that of the ROIC target through the date of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57</w:t>
      </w:r>
    </w:p>
    <w:p>
      <w:pPr>
        <w:sectPr>
          <w:pgSz w:w="11900" w:h="16838" w:orient="portrait"/>
          <w:cols w:equalWidth="0" w:num="1">
            <w:col w:w="11240"/>
          </w:cols>
          <w:pgMar w:left="320" w:top="913" w:right="339"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Option Exercises and Stock Vested</w:t>
      </w:r>
    </w:p>
    <w:p>
      <w:pPr>
        <w:spacing w:after="0" w:line="210"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shows the number of shares of the Company’s Common Stock acquired and the actual value received during 2025 upon the vesting of stock awards. The Company does not issue stock options to its NEOs.</w:t>
      </w:r>
    </w:p>
    <w:p>
      <w:pPr>
        <w:spacing w:after="0" w:line="368" w:lineRule="exact"/>
        <w:rPr>
          <w:sz w:val="20"/>
          <w:szCs w:val="20"/>
          <w:color w:val="auto"/>
        </w:rPr>
      </w:pPr>
    </w:p>
    <w:tbl>
      <w:tblPr>
        <w:tblLayout w:type="fixed"/>
        <w:tblInd w:w="590" w:type="dxa"/>
        <w:tblCellMar>
          <w:top w:w="0" w:type="dxa"/>
          <w:left w:w="0" w:type="dxa"/>
          <w:bottom w:w="0" w:type="dxa"/>
          <w:right w:w="0" w:type="dxa"/>
        </w:tblCellMar>
      </w:tblPr>
      <w:tr>
        <w:trPr>
          <w:trHeight w:val="256"/>
        </w:trPr>
        <w:tc>
          <w:tcPr>
            <w:tcW w:w="1620" w:type="dxa"/>
            <w:vAlign w:val="bottom"/>
            <w:tcBorders>
              <w:top w:val="single" w:sz="8" w:color="auto"/>
              <w:left w:val="single" w:sz="8" w:color="auto"/>
              <w:bottom w:val="single" w:sz="8" w:color="29650B"/>
            </w:tcBorders>
            <w:shd w:val="clear" w:color="auto" w:fill="29650B"/>
          </w:tcPr>
          <w:p>
            <w:pPr>
              <w:spacing w:after="0"/>
              <w:rPr>
                <w:sz w:val="22"/>
                <w:szCs w:val="22"/>
                <w:color w:val="auto"/>
              </w:rPr>
            </w:pPr>
          </w:p>
        </w:tc>
        <w:tc>
          <w:tcPr>
            <w:tcW w:w="2220" w:type="dxa"/>
            <w:vAlign w:val="bottom"/>
            <w:tcBorders>
              <w:top w:val="single" w:sz="8" w:color="auto"/>
              <w:bottom w:val="single" w:sz="8" w:color="auto"/>
              <w:right w:val="single" w:sz="8" w:color="auto"/>
            </w:tcBorders>
            <w:vMerge w:val="restart"/>
            <w:shd w:val="clear" w:color="auto" w:fill="29650B"/>
          </w:tcPr>
          <w:p>
            <w:pPr>
              <w:ind w:left="60"/>
              <w:spacing w:after="0"/>
              <w:rPr>
                <w:sz w:val="20"/>
                <w:szCs w:val="20"/>
                <w:color w:val="auto"/>
              </w:rPr>
            </w:pPr>
            <w:r>
              <w:rPr>
                <w:rFonts w:ascii="Times New Roman" w:cs="Times New Roman" w:eastAsia="Times New Roman" w:hAnsi="Times New Roman"/>
                <w:sz w:val="20"/>
                <w:szCs w:val="20"/>
                <w:b w:val="1"/>
                <w:bCs w:val="1"/>
                <w:color w:val="FFFFFF"/>
              </w:rPr>
              <w:t>Name</w:t>
            </w:r>
          </w:p>
        </w:tc>
        <w:tc>
          <w:tcPr>
            <w:tcW w:w="3860" w:type="dxa"/>
            <w:vAlign w:val="bottom"/>
            <w:tcBorders>
              <w:top w:val="single" w:sz="8" w:color="auto"/>
              <w:bottom w:val="single" w:sz="8" w:color="auto"/>
            </w:tcBorders>
            <w:gridSpan w:val="2"/>
            <w:shd w:val="clear" w:color="auto" w:fill="29650B"/>
          </w:tcPr>
          <w:p>
            <w:pPr>
              <w:ind w:left="2480"/>
              <w:spacing w:after="0"/>
              <w:rPr>
                <w:sz w:val="20"/>
                <w:szCs w:val="20"/>
                <w:color w:val="auto"/>
              </w:rPr>
            </w:pPr>
            <w:r>
              <w:rPr>
                <w:rFonts w:ascii="Times New Roman" w:cs="Times New Roman" w:eastAsia="Times New Roman" w:hAnsi="Times New Roman"/>
                <w:sz w:val="22"/>
                <w:szCs w:val="22"/>
                <w:b w:val="1"/>
                <w:bCs w:val="1"/>
                <w:color w:val="FFFFFF"/>
              </w:rPr>
              <w:t>Stock Awards</w:t>
            </w:r>
          </w:p>
        </w:tc>
        <w:tc>
          <w:tcPr>
            <w:tcW w:w="2400" w:type="dxa"/>
            <w:vAlign w:val="bottom"/>
            <w:tcBorders>
              <w:top w:val="single" w:sz="8" w:color="auto"/>
              <w:bottom w:val="single" w:sz="8" w:color="auto"/>
              <w:right w:val="single" w:sz="8" w:color="auto"/>
            </w:tcBorders>
            <w:shd w:val="clear" w:color="auto" w:fill="29650B"/>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1620" w:type="dxa"/>
            <w:vAlign w:val="bottom"/>
            <w:tcBorders>
              <w:left w:val="single" w:sz="8" w:color="auto"/>
            </w:tcBorders>
            <w:shd w:val="clear" w:color="auto" w:fill="29650B"/>
          </w:tcPr>
          <w:p>
            <w:pPr>
              <w:spacing w:after="0"/>
              <w:rPr>
                <w:sz w:val="17"/>
                <w:szCs w:val="17"/>
                <w:color w:val="auto"/>
              </w:rPr>
            </w:pPr>
          </w:p>
        </w:tc>
        <w:tc>
          <w:tcPr>
            <w:tcW w:w="2220" w:type="dxa"/>
            <w:vAlign w:val="bottom"/>
            <w:tcBorders>
              <w:right w:val="single" w:sz="8" w:color="auto"/>
            </w:tcBorders>
            <w:vMerge w:val="continue"/>
            <w:shd w:val="clear" w:color="auto" w:fill="29650B"/>
          </w:tcPr>
          <w:p>
            <w:pPr>
              <w:spacing w:after="0"/>
              <w:rPr>
                <w:sz w:val="17"/>
                <w:szCs w:val="17"/>
                <w:color w:val="auto"/>
              </w:rPr>
            </w:pPr>
          </w:p>
        </w:tc>
        <w:tc>
          <w:tcPr>
            <w:tcW w:w="2940" w:type="dxa"/>
            <w:vAlign w:val="bottom"/>
            <w:tcBorders>
              <w:right w:val="single" w:sz="8" w:color="auto"/>
            </w:tcBorders>
            <w:shd w:val="clear" w:color="auto" w:fill="29650B"/>
          </w:tcPr>
          <w:p>
            <w:pPr>
              <w:spacing w:after="0"/>
              <w:rPr>
                <w:sz w:val="17"/>
                <w:szCs w:val="17"/>
                <w:color w:val="auto"/>
              </w:rPr>
            </w:pPr>
          </w:p>
        </w:tc>
        <w:tc>
          <w:tcPr>
            <w:tcW w:w="920" w:type="dxa"/>
            <w:vAlign w:val="bottom"/>
            <w:shd w:val="clear" w:color="auto" w:fill="29650B"/>
          </w:tcPr>
          <w:p>
            <w:pPr>
              <w:spacing w:after="0"/>
              <w:rPr>
                <w:sz w:val="17"/>
                <w:szCs w:val="17"/>
                <w:color w:val="auto"/>
              </w:rPr>
            </w:pPr>
          </w:p>
        </w:tc>
        <w:tc>
          <w:tcPr>
            <w:tcW w:w="2400" w:type="dxa"/>
            <w:vAlign w:val="bottom"/>
            <w:tcBorders>
              <w:right w:val="single" w:sz="8" w:color="auto"/>
            </w:tcBorders>
            <w:shd w:val="clear" w:color="auto" w:fill="29650B"/>
          </w:tcPr>
          <w:p>
            <w:pPr>
              <w:jc w:val="center"/>
              <w:ind w:right="841"/>
              <w:spacing w:after="0" w:line="196" w:lineRule="exact"/>
              <w:rPr>
                <w:sz w:val="20"/>
                <w:szCs w:val="20"/>
                <w:color w:val="auto"/>
              </w:rPr>
            </w:pPr>
            <w:r>
              <w:rPr>
                <w:rFonts w:ascii="Times New Roman" w:cs="Times New Roman" w:eastAsia="Times New Roman" w:hAnsi="Times New Roman"/>
                <w:sz w:val="20"/>
                <w:szCs w:val="20"/>
                <w:b w:val="1"/>
                <w:bCs w:val="1"/>
                <w:color w:val="FFFFFF"/>
                <w:w w:val="98"/>
              </w:rPr>
              <w:t>Value Realized</w:t>
            </w:r>
          </w:p>
        </w:tc>
        <w:tc>
          <w:tcPr>
            <w:tcW w:w="0" w:type="dxa"/>
            <w:vAlign w:val="bottom"/>
          </w:tcPr>
          <w:p>
            <w:pPr>
              <w:spacing w:after="0"/>
              <w:rPr>
                <w:sz w:val="1"/>
                <w:szCs w:val="1"/>
                <w:color w:val="auto"/>
              </w:rPr>
            </w:pPr>
          </w:p>
        </w:tc>
      </w:tr>
      <w:tr>
        <w:trPr>
          <w:trHeight w:val="229"/>
        </w:trPr>
        <w:tc>
          <w:tcPr>
            <w:tcW w:w="1620" w:type="dxa"/>
            <w:vAlign w:val="bottom"/>
            <w:tcBorders>
              <w:left w:val="single" w:sz="8" w:color="auto"/>
            </w:tcBorders>
            <w:shd w:val="clear" w:color="auto" w:fill="29650B"/>
          </w:tcPr>
          <w:p>
            <w:pPr>
              <w:spacing w:after="0"/>
              <w:rPr>
                <w:sz w:val="19"/>
                <w:szCs w:val="19"/>
                <w:color w:val="auto"/>
              </w:rPr>
            </w:pPr>
          </w:p>
        </w:tc>
        <w:tc>
          <w:tcPr>
            <w:tcW w:w="2220" w:type="dxa"/>
            <w:vAlign w:val="bottom"/>
            <w:tcBorders>
              <w:right w:val="single" w:sz="8" w:color="auto"/>
            </w:tcBorders>
            <w:shd w:val="clear" w:color="auto" w:fill="29650B"/>
          </w:tcPr>
          <w:p>
            <w:pPr>
              <w:spacing w:after="0"/>
              <w:rPr>
                <w:sz w:val="19"/>
                <w:szCs w:val="19"/>
                <w:color w:val="auto"/>
              </w:rPr>
            </w:pPr>
          </w:p>
        </w:tc>
        <w:tc>
          <w:tcPr>
            <w:tcW w:w="2940" w:type="dxa"/>
            <w:vAlign w:val="bottom"/>
            <w:tcBorders>
              <w:right w:val="single" w:sz="8" w:color="auto"/>
            </w:tcBorders>
            <w:shd w:val="clear" w:color="auto" w:fill="29650B"/>
          </w:tcPr>
          <w:p>
            <w:pPr>
              <w:jc w:val="right"/>
              <w:ind w:right="60"/>
              <w:spacing w:after="0"/>
              <w:rPr>
                <w:sz w:val="20"/>
                <w:szCs w:val="20"/>
                <w:color w:val="auto"/>
              </w:rPr>
            </w:pPr>
            <w:r>
              <w:rPr>
                <w:rFonts w:ascii="Times New Roman" w:cs="Times New Roman" w:eastAsia="Times New Roman" w:hAnsi="Times New Roman"/>
                <w:sz w:val="20"/>
                <w:szCs w:val="20"/>
                <w:b w:val="1"/>
                <w:bCs w:val="1"/>
                <w:color w:val="FFFFFF"/>
              </w:rPr>
              <w:t>Number of Shares Acquired on</w:t>
            </w:r>
          </w:p>
        </w:tc>
        <w:tc>
          <w:tcPr>
            <w:tcW w:w="920" w:type="dxa"/>
            <w:vAlign w:val="bottom"/>
            <w:shd w:val="clear" w:color="auto" w:fill="29650B"/>
          </w:tcPr>
          <w:p>
            <w:pPr>
              <w:spacing w:after="0"/>
              <w:rPr>
                <w:sz w:val="19"/>
                <w:szCs w:val="19"/>
                <w:color w:val="auto"/>
              </w:rPr>
            </w:pPr>
          </w:p>
        </w:tc>
        <w:tc>
          <w:tcPr>
            <w:tcW w:w="2400" w:type="dxa"/>
            <w:vAlign w:val="bottom"/>
            <w:tcBorders>
              <w:right w:val="single" w:sz="8" w:color="auto"/>
            </w:tcBorders>
            <w:shd w:val="clear" w:color="auto" w:fill="29650B"/>
          </w:tcPr>
          <w:p>
            <w:pPr>
              <w:jc w:val="center"/>
              <w:ind w:right="861"/>
              <w:spacing w:after="0"/>
              <w:rPr>
                <w:sz w:val="20"/>
                <w:szCs w:val="20"/>
                <w:color w:val="auto"/>
              </w:rPr>
            </w:pPr>
            <w:r>
              <w:rPr>
                <w:rFonts w:ascii="Times New Roman" w:cs="Times New Roman" w:eastAsia="Times New Roman" w:hAnsi="Times New Roman"/>
                <w:sz w:val="20"/>
                <w:szCs w:val="20"/>
                <w:b w:val="1"/>
                <w:bCs w:val="1"/>
                <w:color w:val="FFFFFF"/>
                <w:w w:val="97"/>
              </w:rPr>
              <w:t>on Vesting (2)</w:t>
            </w:r>
          </w:p>
        </w:tc>
        <w:tc>
          <w:tcPr>
            <w:tcW w:w="0" w:type="dxa"/>
            <w:vAlign w:val="bottom"/>
          </w:tcPr>
          <w:p>
            <w:pPr>
              <w:spacing w:after="0"/>
              <w:rPr>
                <w:sz w:val="1"/>
                <w:szCs w:val="1"/>
                <w:color w:val="auto"/>
              </w:rPr>
            </w:pPr>
          </w:p>
        </w:tc>
      </w:tr>
      <w:tr>
        <w:trPr>
          <w:trHeight w:val="256"/>
        </w:trPr>
        <w:tc>
          <w:tcPr>
            <w:tcW w:w="1620" w:type="dxa"/>
            <w:vAlign w:val="bottom"/>
            <w:tcBorders>
              <w:left w:val="single" w:sz="8" w:color="auto"/>
              <w:bottom w:val="single" w:sz="8" w:color="auto"/>
            </w:tcBorders>
            <w:shd w:val="clear" w:color="auto" w:fill="29650B"/>
          </w:tcPr>
          <w:p>
            <w:pPr>
              <w:spacing w:after="0"/>
              <w:rPr>
                <w:sz w:val="22"/>
                <w:szCs w:val="22"/>
                <w:color w:val="auto"/>
              </w:rPr>
            </w:pPr>
          </w:p>
        </w:tc>
        <w:tc>
          <w:tcPr>
            <w:tcW w:w="2220" w:type="dxa"/>
            <w:vAlign w:val="bottom"/>
            <w:tcBorders>
              <w:bottom w:val="single" w:sz="8" w:color="auto"/>
              <w:right w:val="single" w:sz="8" w:color="auto"/>
            </w:tcBorders>
            <w:shd w:val="clear" w:color="auto" w:fill="29650B"/>
          </w:tcPr>
          <w:p>
            <w:pPr>
              <w:spacing w:after="0"/>
              <w:rPr>
                <w:sz w:val="22"/>
                <w:szCs w:val="22"/>
                <w:color w:val="auto"/>
              </w:rPr>
            </w:pPr>
          </w:p>
        </w:tc>
        <w:tc>
          <w:tcPr>
            <w:tcW w:w="2940" w:type="dxa"/>
            <w:vAlign w:val="bottom"/>
            <w:tcBorders>
              <w:bottom w:val="single" w:sz="8" w:color="auto"/>
              <w:right w:val="single" w:sz="8" w:color="auto"/>
            </w:tcBorders>
            <w:shd w:val="clear" w:color="auto" w:fill="29650B"/>
          </w:tcPr>
          <w:p>
            <w:pPr>
              <w:jc w:val="right"/>
              <w:ind w:right="920"/>
              <w:spacing w:after="0"/>
              <w:rPr>
                <w:sz w:val="20"/>
                <w:szCs w:val="20"/>
                <w:color w:val="auto"/>
              </w:rPr>
            </w:pPr>
            <w:r>
              <w:rPr>
                <w:rFonts w:ascii="Times New Roman" w:cs="Times New Roman" w:eastAsia="Times New Roman" w:hAnsi="Times New Roman"/>
                <w:sz w:val="20"/>
                <w:szCs w:val="20"/>
                <w:b w:val="1"/>
                <w:bCs w:val="1"/>
                <w:color w:val="FFFFFF"/>
              </w:rPr>
              <w:t>Vesting (1)</w:t>
            </w:r>
          </w:p>
        </w:tc>
        <w:tc>
          <w:tcPr>
            <w:tcW w:w="920" w:type="dxa"/>
            <w:vAlign w:val="bottom"/>
            <w:tcBorders>
              <w:bottom w:val="single" w:sz="8" w:color="auto"/>
            </w:tcBorders>
            <w:shd w:val="clear" w:color="auto" w:fill="29650B"/>
          </w:tcPr>
          <w:p>
            <w:pPr>
              <w:spacing w:after="0"/>
              <w:rPr>
                <w:sz w:val="22"/>
                <w:szCs w:val="22"/>
                <w:color w:val="auto"/>
              </w:rPr>
            </w:pPr>
          </w:p>
        </w:tc>
        <w:tc>
          <w:tcPr>
            <w:tcW w:w="2400" w:type="dxa"/>
            <w:vAlign w:val="bottom"/>
            <w:tcBorders>
              <w:bottom w:val="single" w:sz="8" w:color="auto"/>
              <w:right w:val="single" w:sz="8" w:color="auto"/>
            </w:tcBorders>
            <w:shd w:val="clear" w:color="auto" w:fill="29650B"/>
          </w:tcPr>
          <w:p>
            <w:pPr>
              <w:jc w:val="center"/>
              <w:ind w:right="841"/>
              <w:spacing w:after="0"/>
              <w:rPr>
                <w:sz w:val="20"/>
                <w:szCs w:val="20"/>
                <w:color w:val="auto"/>
              </w:rPr>
            </w:pPr>
            <w:r>
              <w:rPr>
                <w:rFonts w:ascii="Times New Roman" w:cs="Times New Roman" w:eastAsia="Times New Roman" w:hAnsi="Times New Roman"/>
                <w:sz w:val="20"/>
                <w:szCs w:val="20"/>
                <w:b w:val="1"/>
                <w:bCs w:val="1"/>
                <w:color w:val="FFFFFF"/>
                <w:w w:val="94"/>
              </w:rPr>
              <w:t>($)</w:t>
            </w: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Timothy Donahue</w:t>
            </w:r>
          </w:p>
        </w:tc>
        <w:tc>
          <w:tcPr>
            <w:tcW w:w="2220" w:type="dxa"/>
            <w:vAlign w:val="bottom"/>
            <w:tcBorders>
              <w:bottom w:val="single" w:sz="8" w:color="auto"/>
              <w:right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right"/>
              <w:ind w:right="560"/>
              <w:spacing w:after="0" w:line="223" w:lineRule="exact"/>
              <w:rPr>
                <w:sz w:val="20"/>
                <w:szCs w:val="20"/>
                <w:color w:val="auto"/>
              </w:rPr>
            </w:pPr>
            <w:r>
              <w:rPr>
                <w:rFonts w:ascii="Times New Roman" w:cs="Times New Roman" w:eastAsia="Times New Roman" w:hAnsi="Times New Roman"/>
                <w:sz w:val="20"/>
                <w:szCs w:val="20"/>
                <w:color w:val="auto"/>
              </w:rPr>
              <w:t>43,863</w:t>
            </w:r>
          </w:p>
        </w:tc>
        <w:tc>
          <w:tcPr>
            <w:tcW w:w="920" w:type="dxa"/>
            <w:vAlign w:val="bottom"/>
            <w:tcBorders>
              <w:bottom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jc w:val="right"/>
              <w:ind w:right="561"/>
              <w:spacing w:after="0" w:line="223" w:lineRule="exact"/>
              <w:rPr>
                <w:sz w:val="20"/>
                <w:szCs w:val="20"/>
                <w:color w:val="auto"/>
              </w:rPr>
            </w:pPr>
            <w:r>
              <w:rPr>
                <w:rFonts w:ascii="Times New Roman" w:cs="Times New Roman" w:eastAsia="Times New Roman" w:hAnsi="Times New Roman"/>
                <w:sz w:val="20"/>
                <w:szCs w:val="20"/>
                <w:color w:val="auto"/>
              </w:rPr>
              <w:t>3,637,512</w:t>
            </w: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auto"/>
            </w:tcBorders>
            <w:shd w:val="clear" w:color="auto" w:fill="D9D9D9"/>
          </w:tcPr>
          <w:p>
            <w:pPr>
              <w:ind w:left="120"/>
              <w:spacing w:after="0" w:line="223" w:lineRule="exact"/>
              <w:rPr>
                <w:sz w:val="20"/>
                <w:szCs w:val="20"/>
                <w:color w:val="auto"/>
              </w:rPr>
            </w:pPr>
            <w:r>
              <w:rPr>
                <w:rFonts w:ascii="Times New Roman" w:cs="Times New Roman" w:eastAsia="Times New Roman" w:hAnsi="Times New Roman"/>
                <w:sz w:val="20"/>
                <w:szCs w:val="20"/>
                <w:color w:val="auto"/>
              </w:rPr>
              <w:t>Kevin Clothier</w:t>
            </w:r>
          </w:p>
        </w:tc>
        <w:tc>
          <w:tcPr>
            <w:tcW w:w="2220" w:type="dxa"/>
            <w:vAlign w:val="bottom"/>
            <w:tcBorders>
              <w:bottom w:val="single" w:sz="8" w:color="auto"/>
              <w:right w:val="single" w:sz="8" w:color="auto"/>
            </w:tcBorders>
            <w:shd w:val="clear" w:color="auto" w:fill="D9D9D9"/>
          </w:tcPr>
          <w:p>
            <w:pPr>
              <w:spacing w:after="0"/>
              <w:rPr>
                <w:sz w:val="19"/>
                <w:szCs w:val="19"/>
                <w:color w:val="auto"/>
              </w:rPr>
            </w:pPr>
          </w:p>
        </w:tc>
        <w:tc>
          <w:tcPr>
            <w:tcW w:w="2940" w:type="dxa"/>
            <w:vAlign w:val="bottom"/>
            <w:tcBorders>
              <w:bottom w:val="single" w:sz="8" w:color="auto"/>
              <w:right w:val="single" w:sz="8" w:color="auto"/>
            </w:tcBorders>
            <w:shd w:val="clear" w:color="auto" w:fill="D9D9D9"/>
          </w:tcPr>
          <w:p>
            <w:pPr>
              <w:jc w:val="right"/>
              <w:ind w:right="560"/>
              <w:spacing w:after="0" w:line="223" w:lineRule="exact"/>
              <w:rPr>
                <w:sz w:val="20"/>
                <w:szCs w:val="20"/>
                <w:color w:val="auto"/>
              </w:rPr>
            </w:pPr>
            <w:r>
              <w:rPr>
                <w:rFonts w:ascii="Times New Roman" w:cs="Times New Roman" w:eastAsia="Times New Roman" w:hAnsi="Times New Roman"/>
                <w:sz w:val="20"/>
                <w:szCs w:val="20"/>
                <w:color w:val="auto"/>
              </w:rPr>
              <w:t>7,397</w:t>
            </w:r>
          </w:p>
        </w:tc>
        <w:tc>
          <w:tcPr>
            <w:tcW w:w="920" w:type="dxa"/>
            <w:vAlign w:val="bottom"/>
            <w:tcBorders>
              <w:bottom w:val="single" w:sz="8" w:color="auto"/>
            </w:tcBorders>
            <w:shd w:val="clear" w:color="auto" w:fill="D9D9D9"/>
          </w:tcPr>
          <w:p>
            <w:pPr>
              <w:spacing w:after="0"/>
              <w:rPr>
                <w:sz w:val="19"/>
                <w:szCs w:val="19"/>
                <w:color w:val="auto"/>
              </w:rPr>
            </w:pPr>
          </w:p>
        </w:tc>
        <w:tc>
          <w:tcPr>
            <w:tcW w:w="2400" w:type="dxa"/>
            <w:vAlign w:val="bottom"/>
            <w:tcBorders>
              <w:bottom w:val="single" w:sz="8" w:color="auto"/>
              <w:right w:val="single" w:sz="8" w:color="auto"/>
            </w:tcBorders>
            <w:shd w:val="clear" w:color="auto" w:fill="D9D9D9"/>
          </w:tcPr>
          <w:p>
            <w:pPr>
              <w:jc w:val="right"/>
              <w:ind w:right="561"/>
              <w:spacing w:after="0" w:line="223" w:lineRule="exact"/>
              <w:rPr>
                <w:sz w:val="20"/>
                <w:szCs w:val="20"/>
                <w:color w:val="auto"/>
              </w:rPr>
            </w:pPr>
            <w:r>
              <w:rPr>
                <w:rFonts w:ascii="Times New Roman" w:cs="Times New Roman" w:eastAsia="Times New Roman" w:hAnsi="Times New Roman"/>
                <w:sz w:val="20"/>
                <w:szCs w:val="20"/>
                <w:color w:val="auto"/>
              </w:rPr>
              <w:t>611,440</w:t>
            </w: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Gerard Gifford</w:t>
            </w:r>
          </w:p>
        </w:tc>
        <w:tc>
          <w:tcPr>
            <w:tcW w:w="2220" w:type="dxa"/>
            <w:vAlign w:val="bottom"/>
            <w:tcBorders>
              <w:bottom w:val="single" w:sz="8" w:color="auto"/>
              <w:right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right"/>
              <w:ind w:right="560"/>
              <w:spacing w:after="0" w:line="223" w:lineRule="exact"/>
              <w:rPr>
                <w:sz w:val="20"/>
                <w:szCs w:val="20"/>
                <w:color w:val="auto"/>
              </w:rPr>
            </w:pPr>
            <w:r>
              <w:rPr>
                <w:rFonts w:ascii="Times New Roman" w:cs="Times New Roman" w:eastAsia="Times New Roman" w:hAnsi="Times New Roman"/>
                <w:sz w:val="20"/>
                <w:szCs w:val="20"/>
                <w:color w:val="auto"/>
              </w:rPr>
              <w:t>14,395</w:t>
            </w:r>
          </w:p>
        </w:tc>
        <w:tc>
          <w:tcPr>
            <w:tcW w:w="920" w:type="dxa"/>
            <w:vAlign w:val="bottom"/>
            <w:tcBorders>
              <w:bottom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jc w:val="right"/>
              <w:ind w:right="561"/>
              <w:spacing w:after="0" w:line="223" w:lineRule="exact"/>
              <w:rPr>
                <w:sz w:val="20"/>
                <w:szCs w:val="20"/>
                <w:color w:val="auto"/>
              </w:rPr>
            </w:pPr>
            <w:r>
              <w:rPr>
                <w:rFonts w:ascii="Times New Roman" w:cs="Times New Roman" w:eastAsia="Times New Roman" w:hAnsi="Times New Roman"/>
                <w:sz w:val="20"/>
                <w:szCs w:val="20"/>
                <w:color w:val="auto"/>
              </w:rPr>
              <w:t>1,186,295</w:t>
            </w: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auto"/>
            </w:tcBorders>
            <w:shd w:val="clear" w:color="auto" w:fill="D9D9D9"/>
          </w:tcPr>
          <w:p>
            <w:pPr>
              <w:ind w:left="120"/>
              <w:spacing w:after="0" w:line="223" w:lineRule="exact"/>
              <w:rPr>
                <w:sz w:val="20"/>
                <w:szCs w:val="20"/>
                <w:color w:val="auto"/>
              </w:rPr>
            </w:pPr>
            <w:r>
              <w:rPr>
                <w:rFonts w:ascii="Times New Roman" w:cs="Times New Roman" w:eastAsia="Times New Roman" w:hAnsi="Times New Roman"/>
                <w:sz w:val="20"/>
                <w:szCs w:val="20"/>
                <w:color w:val="auto"/>
              </w:rPr>
              <w:t>Djalma Novaes</w:t>
            </w:r>
          </w:p>
        </w:tc>
        <w:tc>
          <w:tcPr>
            <w:tcW w:w="2220" w:type="dxa"/>
            <w:vAlign w:val="bottom"/>
            <w:tcBorders>
              <w:bottom w:val="single" w:sz="8" w:color="auto"/>
              <w:right w:val="single" w:sz="8" w:color="auto"/>
            </w:tcBorders>
            <w:shd w:val="clear" w:color="auto" w:fill="D9D9D9"/>
          </w:tcPr>
          <w:p>
            <w:pPr>
              <w:spacing w:after="0"/>
              <w:rPr>
                <w:sz w:val="19"/>
                <w:szCs w:val="19"/>
                <w:color w:val="auto"/>
              </w:rPr>
            </w:pPr>
          </w:p>
        </w:tc>
        <w:tc>
          <w:tcPr>
            <w:tcW w:w="2940" w:type="dxa"/>
            <w:vAlign w:val="bottom"/>
            <w:tcBorders>
              <w:bottom w:val="single" w:sz="8" w:color="auto"/>
              <w:right w:val="single" w:sz="8" w:color="auto"/>
            </w:tcBorders>
            <w:shd w:val="clear" w:color="auto" w:fill="D9D9D9"/>
          </w:tcPr>
          <w:p>
            <w:pPr>
              <w:jc w:val="right"/>
              <w:ind w:right="560"/>
              <w:spacing w:after="0" w:line="223" w:lineRule="exact"/>
              <w:rPr>
                <w:sz w:val="20"/>
                <w:szCs w:val="20"/>
                <w:color w:val="auto"/>
              </w:rPr>
            </w:pPr>
            <w:r>
              <w:rPr>
                <w:rFonts w:ascii="Times New Roman" w:cs="Times New Roman" w:eastAsia="Times New Roman" w:hAnsi="Times New Roman"/>
                <w:sz w:val="20"/>
                <w:szCs w:val="20"/>
                <w:color w:val="auto"/>
              </w:rPr>
              <w:t>7,098</w:t>
            </w:r>
          </w:p>
        </w:tc>
        <w:tc>
          <w:tcPr>
            <w:tcW w:w="920" w:type="dxa"/>
            <w:vAlign w:val="bottom"/>
            <w:tcBorders>
              <w:bottom w:val="single" w:sz="8" w:color="auto"/>
            </w:tcBorders>
            <w:shd w:val="clear" w:color="auto" w:fill="D9D9D9"/>
          </w:tcPr>
          <w:p>
            <w:pPr>
              <w:spacing w:after="0"/>
              <w:rPr>
                <w:sz w:val="19"/>
                <w:szCs w:val="19"/>
                <w:color w:val="auto"/>
              </w:rPr>
            </w:pPr>
          </w:p>
        </w:tc>
        <w:tc>
          <w:tcPr>
            <w:tcW w:w="2400" w:type="dxa"/>
            <w:vAlign w:val="bottom"/>
            <w:tcBorders>
              <w:bottom w:val="single" w:sz="8" w:color="auto"/>
              <w:right w:val="single" w:sz="8" w:color="auto"/>
            </w:tcBorders>
            <w:shd w:val="clear" w:color="auto" w:fill="D9D9D9"/>
          </w:tcPr>
          <w:p>
            <w:pPr>
              <w:jc w:val="right"/>
              <w:ind w:right="561"/>
              <w:spacing w:after="0" w:line="223" w:lineRule="exact"/>
              <w:rPr>
                <w:sz w:val="20"/>
                <w:szCs w:val="20"/>
                <w:color w:val="auto"/>
              </w:rPr>
            </w:pPr>
            <w:r>
              <w:rPr>
                <w:rFonts w:ascii="Times New Roman" w:cs="Times New Roman" w:eastAsia="Times New Roman" w:hAnsi="Times New Roman"/>
                <w:sz w:val="20"/>
                <w:szCs w:val="20"/>
                <w:color w:val="auto"/>
              </w:rPr>
              <w:t>587,721</w:t>
            </w:r>
          </w:p>
        </w:tc>
        <w:tc>
          <w:tcPr>
            <w:tcW w:w="0" w:type="dxa"/>
            <w:vAlign w:val="bottom"/>
          </w:tcPr>
          <w:p>
            <w:pPr>
              <w:spacing w:after="0"/>
              <w:rPr>
                <w:sz w:val="1"/>
                <w:szCs w:val="1"/>
                <w:color w:val="auto"/>
              </w:rPr>
            </w:pPr>
          </w:p>
        </w:tc>
      </w:tr>
      <w:tr>
        <w:trPr>
          <w:trHeight w:val="223"/>
        </w:trPr>
        <w:tc>
          <w:tcPr>
            <w:tcW w:w="1620" w:type="dxa"/>
            <w:vAlign w:val="bottom"/>
            <w:tcBorders>
              <w:left w:val="single" w:sz="8" w:color="auto"/>
              <w:bottom w:val="single" w:sz="8" w:color="auto"/>
            </w:tcBorders>
          </w:tcPr>
          <w:p>
            <w:pPr>
              <w:ind w:left="120"/>
              <w:spacing w:after="0" w:line="223" w:lineRule="exact"/>
              <w:rPr>
                <w:sz w:val="20"/>
                <w:szCs w:val="20"/>
                <w:color w:val="auto"/>
              </w:rPr>
            </w:pPr>
            <w:r>
              <w:rPr>
                <w:rFonts w:ascii="Times New Roman" w:cs="Times New Roman" w:eastAsia="Times New Roman" w:hAnsi="Times New Roman"/>
                <w:sz w:val="20"/>
                <w:szCs w:val="20"/>
                <w:color w:val="auto"/>
              </w:rPr>
              <w:t>Adam Dickstein</w:t>
            </w:r>
          </w:p>
        </w:tc>
        <w:tc>
          <w:tcPr>
            <w:tcW w:w="2220" w:type="dxa"/>
            <w:vAlign w:val="bottom"/>
            <w:tcBorders>
              <w:bottom w:val="single" w:sz="8" w:color="auto"/>
              <w:right w:val="single" w:sz="8" w:color="auto"/>
            </w:tcBorders>
          </w:tcPr>
          <w:p>
            <w:pPr>
              <w:spacing w:after="0"/>
              <w:rPr>
                <w:sz w:val="19"/>
                <w:szCs w:val="19"/>
                <w:color w:val="auto"/>
              </w:rPr>
            </w:pPr>
          </w:p>
        </w:tc>
        <w:tc>
          <w:tcPr>
            <w:tcW w:w="2940" w:type="dxa"/>
            <w:vAlign w:val="bottom"/>
            <w:tcBorders>
              <w:bottom w:val="single" w:sz="8" w:color="auto"/>
              <w:right w:val="single" w:sz="8" w:color="auto"/>
            </w:tcBorders>
          </w:tcPr>
          <w:p>
            <w:pPr>
              <w:jc w:val="right"/>
              <w:ind w:right="560"/>
              <w:spacing w:after="0" w:line="223" w:lineRule="exact"/>
              <w:rPr>
                <w:sz w:val="20"/>
                <w:szCs w:val="20"/>
                <w:color w:val="auto"/>
              </w:rPr>
            </w:pPr>
            <w:r>
              <w:rPr>
                <w:rFonts w:ascii="Times New Roman" w:cs="Times New Roman" w:eastAsia="Times New Roman" w:hAnsi="Times New Roman"/>
                <w:sz w:val="20"/>
                <w:szCs w:val="20"/>
                <w:color w:val="auto"/>
              </w:rPr>
              <w:t>6,422</w:t>
            </w:r>
          </w:p>
        </w:tc>
        <w:tc>
          <w:tcPr>
            <w:tcW w:w="920" w:type="dxa"/>
            <w:vAlign w:val="bottom"/>
            <w:tcBorders>
              <w:bottom w:val="single" w:sz="8" w:color="auto"/>
            </w:tcBorders>
          </w:tcPr>
          <w:p>
            <w:pPr>
              <w:spacing w:after="0"/>
              <w:rPr>
                <w:sz w:val="19"/>
                <w:szCs w:val="19"/>
                <w:color w:val="auto"/>
              </w:rPr>
            </w:pPr>
          </w:p>
        </w:tc>
        <w:tc>
          <w:tcPr>
            <w:tcW w:w="2400" w:type="dxa"/>
            <w:vAlign w:val="bottom"/>
            <w:tcBorders>
              <w:bottom w:val="single" w:sz="8" w:color="auto"/>
              <w:right w:val="single" w:sz="8" w:color="auto"/>
            </w:tcBorders>
          </w:tcPr>
          <w:p>
            <w:pPr>
              <w:jc w:val="right"/>
              <w:ind w:right="561"/>
              <w:spacing w:after="0" w:line="223" w:lineRule="exact"/>
              <w:rPr>
                <w:sz w:val="20"/>
                <w:szCs w:val="20"/>
                <w:color w:val="auto"/>
              </w:rPr>
            </w:pPr>
            <w:r>
              <w:rPr>
                <w:rFonts w:ascii="Times New Roman" w:cs="Times New Roman" w:eastAsia="Times New Roman" w:hAnsi="Times New Roman"/>
                <w:sz w:val="20"/>
                <w:szCs w:val="20"/>
                <w:color w:val="auto"/>
              </w:rPr>
              <w:t>532,174</w:t>
            </w:r>
          </w:p>
        </w:tc>
        <w:tc>
          <w:tcPr>
            <w:tcW w:w="0" w:type="dxa"/>
            <w:vAlign w:val="bottom"/>
          </w:tcPr>
          <w:p>
            <w:pPr>
              <w:spacing w:after="0"/>
              <w:rPr>
                <w:sz w:val="1"/>
                <w:szCs w:val="1"/>
                <w:color w:val="auto"/>
              </w:rPr>
            </w:pPr>
          </w:p>
        </w:tc>
      </w:tr>
    </w:tbl>
    <w:p>
      <w:pPr>
        <w:spacing w:after="0" w:line="328" w:lineRule="exact"/>
        <w:rPr>
          <w:sz w:val="20"/>
          <w:szCs w:val="20"/>
          <w:color w:val="auto"/>
        </w:rPr>
      </w:pPr>
    </w:p>
    <w:p>
      <w:pPr>
        <w:jc w:val="both"/>
        <w:ind w:left="340" w:hanging="332"/>
        <w:spacing w:after="0" w:line="249" w:lineRule="auto"/>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Amounts in this column are time-based and performance-based restricted stock that vested in 2025. The 2022 award of TSR performance-based restricted stock was forfeited and thereby vested at 0.0% of target in 2025. The 2022 award of ROIC performance-based restricted stock vested at 70.0% of target in 2025. For further information relating to the vesting of performance-based share awards, see “Compensation Discussion and Analysis – Long-Term Equity Incentives.”</w:t>
      </w:r>
    </w:p>
    <w:p>
      <w:pPr>
        <w:spacing w:after="0" w:line="179" w:lineRule="exact"/>
        <w:rPr>
          <w:rFonts w:ascii="Times New Roman" w:cs="Times New Roman" w:eastAsia="Times New Roman" w:hAnsi="Times New Roman"/>
          <w:sz w:val="20"/>
          <w:szCs w:val="20"/>
          <w:color w:val="auto"/>
        </w:rPr>
      </w:pPr>
    </w:p>
    <w:p>
      <w:pPr>
        <w:ind w:left="340" w:right="20" w:hanging="332"/>
        <w:spacing w:after="0" w:line="269" w:lineRule="auto"/>
        <w:tabs>
          <w:tab w:leader="none" w:pos="34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in this column are the aggregate dollar amount realized upon vesting, calculated by multiplying the number of shares of stock times the market value of the Company Common Stock at the date(s) of vesting.</w:t>
      </w:r>
    </w:p>
    <w:p>
      <w:pPr>
        <w:spacing w:after="0" w:line="200" w:lineRule="exact"/>
        <w:rPr>
          <w:sz w:val="20"/>
          <w:szCs w:val="20"/>
          <w:color w:val="auto"/>
        </w:rPr>
      </w:pP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Grant of Certain Equity Awards Close in Time</w:t>
      </w:r>
    </w:p>
    <w:p>
      <w:pPr>
        <w:spacing w:after="0" w:line="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to the Release of Material Nonpublic Information</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Company did not grant awards of stock options, stock appreciation rights or similar option-like instruments during 2025.</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Accordingly, there is nothing to report under Item 402(x) of Regulation S-K.</w:t>
      </w:r>
    </w:p>
    <w:p>
      <w:pPr>
        <w:spacing w:after="0" w:line="200" w:lineRule="exact"/>
        <w:rPr>
          <w:sz w:val="20"/>
          <w:szCs w:val="20"/>
          <w:color w:val="auto"/>
        </w:rPr>
      </w:pPr>
    </w:p>
    <w:p>
      <w:pPr>
        <w:spacing w:after="0" w:line="33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58</w:t>
      </w:r>
    </w:p>
    <w:p>
      <w:pPr>
        <w:sectPr>
          <w:pgSz w:w="11900" w:h="16838" w:orient="portrait"/>
          <w:cols w:equalWidth="0" w:num="1">
            <w:col w:w="11240"/>
          </w:cols>
          <w:pgMar w:left="320" w:top="567" w:right="339" w:bottom="1440" w:gutter="0" w:footer="0" w:header="0"/>
        </w:sectPr>
      </w:pPr>
    </w:p>
    <w:bookmarkStart w:id="61" w:name="page62"/>
    <w:bookmarkEnd w:id="61"/>
    <w:p>
      <w:pPr>
        <w:jc w:val="center"/>
        <w:spacing w:after="0"/>
        <w:rPr>
          <w:sz w:val="20"/>
          <w:szCs w:val="20"/>
          <w:color w:val="auto"/>
        </w:rPr>
      </w:pPr>
      <w:r>
        <w:rPr>
          <w:rFonts w:ascii="Times New Roman" w:cs="Times New Roman" w:eastAsia="Times New Roman" w:hAnsi="Times New Roman"/>
          <w:sz w:val="22"/>
          <w:szCs w:val="22"/>
          <w:b w:val="1"/>
          <w:bCs w:val="1"/>
          <w:color w:val="auto"/>
        </w:rPr>
        <w:t>Pension Benefits</w:t>
      </w:r>
    </w:p>
    <w:p>
      <w:pPr>
        <w:spacing w:after="0" w:line="210"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following table shows the present value of estimated benefits payable upon retirement to the NEOs under the Company’s U.S. Pension Plan, Senior Executive Retirement Plan and Restoration Plan, which are the defined-benefit pension plans maintained by the Company in which the NEOs participate.</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199"/>
        </w:trPr>
        <w:tc>
          <w:tcPr>
            <w:tcW w:w="2840" w:type="dxa"/>
            <w:vAlign w:val="bottom"/>
            <w:tcBorders>
              <w:top w:val="single" w:sz="8" w:color="auto"/>
              <w:left w:val="single" w:sz="8" w:color="auto"/>
              <w:right w:val="single" w:sz="8" w:color="auto"/>
            </w:tcBorders>
            <w:shd w:val="clear" w:color="auto" w:fill="29650B"/>
          </w:tcPr>
          <w:p>
            <w:pPr>
              <w:spacing w:after="0"/>
              <w:rPr>
                <w:sz w:val="17"/>
                <w:szCs w:val="17"/>
                <w:color w:val="auto"/>
              </w:rPr>
            </w:pPr>
          </w:p>
        </w:tc>
        <w:tc>
          <w:tcPr>
            <w:tcW w:w="2920" w:type="dxa"/>
            <w:vAlign w:val="bottom"/>
            <w:tcBorders>
              <w:top w:val="single" w:sz="8" w:color="auto"/>
              <w:right w:val="single" w:sz="8" w:color="auto"/>
            </w:tcBorders>
            <w:vMerge w:val="restart"/>
            <w:shd w:val="clear" w:color="auto" w:fill="29650B"/>
          </w:tcPr>
          <w:p>
            <w:pPr>
              <w:ind w:left="1260"/>
              <w:spacing w:after="0"/>
              <w:rPr>
                <w:sz w:val="20"/>
                <w:szCs w:val="20"/>
                <w:color w:val="auto"/>
              </w:rPr>
            </w:pPr>
            <w:r>
              <w:rPr>
                <w:rFonts w:ascii="Times New Roman" w:cs="Times New Roman" w:eastAsia="Times New Roman" w:hAnsi="Times New Roman"/>
                <w:sz w:val="19"/>
                <w:szCs w:val="19"/>
                <w:b w:val="1"/>
                <w:bCs w:val="1"/>
                <w:color w:val="FFFFFF"/>
              </w:rPr>
              <w:t>Plan</w:t>
            </w:r>
          </w:p>
        </w:tc>
        <w:tc>
          <w:tcPr>
            <w:tcW w:w="2240" w:type="dxa"/>
            <w:vAlign w:val="bottom"/>
            <w:tcBorders>
              <w:top w:val="single" w:sz="8" w:color="auto"/>
              <w:right w:val="single" w:sz="8" w:color="auto"/>
            </w:tcBorders>
            <w:vMerge w:val="restart"/>
            <w:shd w:val="clear" w:color="auto" w:fill="29650B"/>
          </w:tcPr>
          <w:p>
            <w:pPr>
              <w:jc w:val="right"/>
              <w:ind w:right="346"/>
              <w:spacing w:after="0"/>
              <w:rPr>
                <w:sz w:val="20"/>
                <w:szCs w:val="20"/>
                <w:color w:val="auto"/>
              </w:rPr>
            </w:pPr>
            <w:r>
              <w:rPr>
                <w:rFonts w:ascii="Times New Roman" w:cs="Times New Roman" w:eastAsia="Times New Roman" w:hAnsi="Times New Roman"/>
                <w:sz w:val="19"/>
                <w:szCs w:val="19"/>
                <w:b w:val="1"/>
                <w:bCs w:val="1"/>
                <w:color w:val="FFFFFF"/>
              </w:rPr>
              <w:t>Number of Years</w:t>
            </w:r>
          </w:p>
        </w:tc>
        <w:tc>
          <w:tcPr>
            <w:tcW w:w="3240" w:type="dxa"/>
            <w:vAlign w:val="bottom"/>
            <w:tcBorders>
              <w:top w:val="single" w:sz="8" w:color="auto"/>
              <w:right w:val="single" w:sz="8" w:color="auto"/>
            </w:tcBorders>
            <w:shd w:val="clear" w:color="auto" w:fill="29650B"/>
          </w:tcPr>
          <w:p>
            <w:pPr>
              <w:jc w:val="center"/>
              <w:spacing w:after="0" w:line="199" w:lineRule="exact"/>
              <w:rPr>
                <w:sz w:val="20"/>
                <w:szCs w:val="20"/>
                <w:color w:val="auto"/>
              </w:rPr>
            </w:pPr>
            <w:r>
              <w:rPr>
                <w:rFonts w:ascii="Times New Roman" w:cs="Times New Roman" w:eastAsia="Times New Roman" w:hAnsi="Times New Roman"/>
                <w:sz w:val="19"/>
                <w:szCs w:val="19"/>
                <w:b w:val="1"/>
                <w:bCs w:val="1"/>
                <w:color w:val="FFFFFF"/>
                <w:w w:val="98"/>
              </w:rPr>
              <w:t>Present Value of Accumulated</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vMerge w:val="restart"/>
            <w:shd w:val="clear" w:color="auto" w:fill="29650B"/>
          </w:tcPr>
          <w:p>
            <w:pPr>
              <w:ind w:left="1180"/>
              <w:spacing w:after="0" w:line="216" w:lineRule="exact"/>
              <w:rPr>
                <w:sz w:val="20"/>
                <w:szCs w:val="20"/>
                <w:color w:val="auto"/>
              </w:rPr>
            </w:pPr>
            <w:r>
              <w:rPr>
                <w:rFonts w:ascii="Times New Roman" w:cs="Times New Roman" w:eastAsia="Times New Roman" w:hAnsi="Times New Roman"/>
                <w:sz w:val="19"/>
                <w:szCs w:val="19"/>
                <w:b w:val="1"/>
                <w:bCs w:val="1"/>
                <w:color w:val="FFFFFF"/>
              </w:rPr>
              <w:t>Name</w:t>
            </w:r>
          </w:p>
        </w:tc>
        <w:tc>
          <w:tcPr>
            <w:tcW w:w="2920" w:type="dxa"/>
            <w:vAlign w:val="bottom"/>
            <w:tcBorders>
              <w:right w:val="single" w:sz="8" w:color="auto"/>
            </w:tcBorders>
            <w:vMerge w:val="continue"/>
            <w:shd w:val="clear" w:color="auto" w:fill="29650B"/>
          </w:tcPr>
          <w:p>
            <w:pPr>
              <w:spacing w:after="0"/>
              <w:rPr>
                <w:sz w:val="9"/>
                <w:szCs w:val="9"/>
                <w:color w:val="auto"/>
              </w:rPr>
            </w:pPr>
          </w:p>
        </w:tc>
        <w:tc>
          <w:tcPr>
            <w:tcW w:w="2240" w:type="dxa"/>
            <w:vAlign w:val="bottom"/>
            <w:tcBorders>
              <w:right w:val="single" w:sz="8" w:color="auto"/>
            </w:tcBorders>
            <w:vMerge w:val="continue"/>
            <w:shd w:val="clear" w:color="auto" w:fill="29650B"/>
          </w:tcPr>
          <w:p>
            <w:pPr>
              <w:spacing w:after="0"/>
              <w:rPr>
                <w:sz w:val="9"/>
                <w:szCs w:val="9"/>
                <w:color w:val="auto"/>
              </w:rPr>
            </w:pPr>
          </w:p>
        </w:tc>
        <w:tc>
          <w:tcPr>
            <w:tcW w:w="3240" w:type="dxa"/>
            <w:vAlign w:val="bottom"/>
            <w:tcBorders>
              <w:right w:val="single" w:sz="8" w:color="auto"/>
            </w:tcBorders>
            <w:vMerge w:val="restart"/>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Benefit (5)(6)</w:t>
            </w:r>
          </w:p>
        </w:tc>
        <w:tc>
          <w:tcPr>
            <w:tcW w:w="0" w:type="dxa"/>
            <w:vAlign w:val="bottom"/>
          </w:tcPr>
          <w:p>
            <w:pPr>
              <w:spacing w:after="0"/>
              <w:rPr>
                <w:sz w:val="1"/>
                <w:szCs w:val="1"/>
                <w:color w:val="auto"/>
              </w:rPr>
            </w:pPr>
          </w:p>
        </w:tc>
      </w:tr>
      <w:tr>
        <w:trPr>
          <w:trHeight w:val="108"/>
        </w:trPr>
        <w:tc>
          <w:tcPr>
            <w:tcW w:w="2840" w:type="dxa"/>
            <w:vAlign w:val="bottom"/>
            <w:tcBorders>
              <w:left w:val="single" w:sz="8" w:color="auto"/>
              <w:right w:val="single" w:sz="8" w:color="auto"/>
            </w:tcBorders>
            <w:vMerge w:val="continue"/>
            <w:shd w:val="clear" w:color="auto" w:fill="29650B"/>
          </w:tcPr>
          <w:p>
            <w:pPr>
              <w:spacing w:after="0"/>
              <w:rPr>
                <w:sz w:val="9"/>
                <w:szCs w:val="9"/>
                <w:color w:val="auto"/>
              </w:rPr>
            </w:pPr>
          </w:p>
        </w:tc>
        <w:tc>
          <w:tcPr>
            <w:tcW w:w="2920" w:type="dxa"/>
            <w:vAlign w:val="bottom"/>
            <w:tcBorders>
              <w:right w:val="single" w:sz="8" w:color="auto"/>
            </w:tcBorders>
            <w:vMerge w:val="restart"/>
            <w:shd w:val="clear" w:color="auto" w:fill="29650B"/>
          </w:tcPr>
          <w:p>
            <w:pPr>
              <w:ind w:left="860"/>
              <w:spacing w:after="0"/>
              <w:rPr>
                <w:sz w:val="20"/>
                <w:szCs w:val="20"/>
                <w:color w:val="auto"/>
              </w:rPr>
            </w:pPr>
            <w:r>
              <w:rPr>
                <w:rFonts w:ascii="Times New Roman" w:cs="Times New Roman" w:eastAsia="Times New Roman" w:hAnsi="Times New Roman"/>
                <w:sz w:val="19"/>
                <w:szCs w:val="19"/>
                <w:b w:val="1"/>
                <w:bCs w:val="1"/>
                <w:color w:val="FFFFFF"/>
              </w:rPr>
              <w:t>Name (1)(2)(3)</w:t>
            </w:r>
          </w:p>
        </w:tc>
        <w:tc>
          <w:tcPr>
            <w:tcW w:w="2240" w:type="dxa"/>
            <w:vAlign w:val="bottom"/>
            <w:tcBorders>
              <w:right w:val="single" w:sz="8" w:color="auto"/>
            </w:tcBorders>
            <w:vMerge w:val="restart"/>
            <w:shd w:val="clear" w:color="auto" w:fill="29650B"/>
          </w:tcPr>
          <w:p>
            <w:pPr>
              <w:jc w:val="right"/>
              <w:ind w:right="226"/>
              <w:spacing w:after="0"/>
              <w:rPr>
                <w:sz w:val="20"/>
                <w:szCs w:val="20"/>
                <w:color w:val="auto"/>
              </w:rPr>
            </w:pPr>
            <w:r>
              <w:rPr>
                <w:rFonts w:ascii="Times New Roman" w:cs="Times New Roman" w:eastAsia="Times New Roman" w:hAnsi="Times New Roman"/>
                <w:sz w:val="19"/>
                <w:szCs w:val="19"/>
                <w:b w:val="1"/>
                <w:bCs w:val="1"/>
                <w:color w:val="FFFFFF"/>
              </w:rPr>
              <w:t>Credited Service (4)</w:t>
            </w:r>
          </w:p>
        </w:tc>
        <w:tc>
          <w:tcPr>
            <w:tcW w:w="3240" w:type="dxa"/>
            <w:vAlign w:val="bottom"/>
            <w:tcBorders>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40"/>
        </w:trPr>
        <w:tc>
          <w:tcPr>
            <w:tcW w:w="2840" w:type="dxa"/>
            <w:vAlign w:val="bottom"/>
            <w:tcBorders>
              <w:left w:val="single" w:sz="8" w:color="auto"/>
              <w:right w:val="single" w:sz="8" w:color="auto"/>
            </w:tcBorders>
            <w:shd w:val="clear" w:color="auto" w:fill="29650B"/>
          </w:tcPr>
          <w:p>
            <w:pPr>
              <w:spacing w:after="0"/>
              <w:rPr>
                <w:sz w:val="12"/>
                <w:szCs w:val="12"/>
                <w:color w:val="auto"/>
              </w:rPr>
            </w:pPr>
          </w:p>
        </w:tc>
        <w:tc>
          <w:tcPr>
            <w:tcW w:w="2920" w:type="dxa"/>
            <w:vAlign w:val="bottom"/>
            <w:tcBorders>
              <w:right w:val="single" w:sz="8" w:color="auto"/>
            </w:tcBorders>
            <w:vMerge w:val="continue"/>
            <w:shd w:val="clear" w:color="auto" w:fill="29650B"/>
          </w:tcPr>
          <w:p>
            <w:pPr>
              <w:spacing w:after="0"/>
              <w:rPr>
                <w:sz w:val="12"/>
                <w:szCs w:val="12"/>
                <w:color w:val="auto"/>
              </w:rPr>
            </w:pPr>
          </w:p>
        </w:tc>
        <w:tc>
          <w:tcPr>
            <w:tcW w:w="2240" w:type="dxa"/>
            <w:vAlign w:val="bottom"/>
            <w:tcBorders>
              <w:right w:val="single" w:sz="8" w:color="auto"/>
            </w:tcBorders>
            <w:vMerge w:val="continue"/>
            <w:shd w:val="clear" w:color="auto" w:fill="29650B"/>
          </w:tcPr>
          <w:p>
            <w:pPr>
              <w:spacing w:after="0"/>
              <w:rPr>
                <w:sz w:val="12"/>
                <w:szCs w:val="12"/>
                <w:color w:val="auto"/>
              </w:rPr>
            </w:pPr>
          </w:p>
        </w:tc>
        <w:tc>
          <w:tcPr>
            <w:tcW w:w="32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0" w:type="dxa"/>
            <w:vAlign w:val="bottom"/>
          </w:tcPr>
          <w:p>
            <w:pPr>
              <w:spacing w:after="0"/>
              <w:rPr>
                <w:sz w:val="1"/>
                <w:szCs w:val="1"/>
                <w:color w:val="auto"/>
              </w:rPr>
            </w:pPr>
          </w:p>
        </w:tc>
      </w:tr>
      <w:tr>
        <w:trPr>
          <w:trHeight w:val="106"/>
        </w:trPr>
        <w:tc>
          <w:tcPr>
            <w:tcW w:w="284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2920" w:type="dxa"/>
            <w:vAlign w:val="bottom"/>
            <w:tcBorders>
              <w:bottom w:val="single" w:sz="8" w:color="auto"/>
              <w:right w:val="single" w:sz="8" w:color="auto"/>
            </w:tcBorders>
            <w:shd w:val="clear" w:color="auto" w:fill="29650B"/>
          </w:tcPr>
          <w:p>
            <w:pPr>
              <w:spacing w:after="0"/>
              <w:rPr>
                <w:sz w:val="9"/>
                <w:szCs w:val="9"/>
                <w:color w:val="auto"/>
              </w:rPr>
            </w:pPr>
          </w:p>
        </w:tc>
        <w:tc>
          <w:tcPr>
            <w:tcW w:w="2240" w:type="dxa"/>
            <w:vAlign w:val="bottom"/>
            <w:tcBorders>
              <w:bottom w:val="single" w:sz="8" w:color="auto"/>
              <w:right w:val="single" w:sz="8" w:color="auto"/>
            </w:tcBorders>
            <w:shd w:val="clear" w:color="auto" w:fill="29650B"/>
          </w:tcPr>
          <w:p>
            <w:pPr>
              <w:spacing w:after="0"/>
              <w:rPr>
                <w:sz w:val="9"/>
                <w:szCs w:val="9"/>
                <w:color w:val="auto"/>
              </w:rPr>
            </w:pPr>
          </w:p>
        </w:tc>
        <w:tc>
          <w:tcPr>
            <w:tcW w:w="324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97"/>
        </w:trPr>
        <w:tc>
          <w:tcPr>
            <w:tcW w:w="2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9"/>
                <w:szCs w:val="19"/>
                <w:color w:val="auto"/>
              </w:rPr>
              <w:t>Timothy Donahue</w:t>
            </w:r>
          </w:p>
        </w:tc>
        <w:tc>
          <w:tcPr>
            <w:tcW w:w="29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9"/>
                <w:szCs w:val="19"/>
                <w:color w:val="auto"/>
              </w:rPr>
              <w:t>Pension Plan</w:t>
            </w:r>
          </w:p>
        </w:tc>
        <w:tc>
          <w:tcPr>
            <w:tcW w:w="2240" w:type="dxa"/>
            <w:vAlign w:val="bottom"/>
            <w:tcBorders>
              <w:right w:val="single" w:sz="8" w:color="auto"/>
            </w:tcBorders>
          </w:tcPr>
          <w:p>
            <w:pPr>
              <w:jc w:val="right"/>
              <w:ind w:right="806"/>
              <w:spacing w:after="0" w:line="196" w:lineRule="exact"/>
              <w:rPr>
                <w:sz w:val="20"/>
                <w:szCs w:val="20"/>
                <w:color w:val="auto"/>
              </w:rPr>
            </w:pPr>
            <w:r>
              <w:rPr>
                <w:rFonts w:ascii="Times New Roman" w:cs="Times New Roman" w:eastAsia="Times New Roman" w:hAnsi="Times New Roman"/>
                <w:sz w:val="19"/>
                <w:szCs w:val="19"/>
                <w:color w:val="auto"/>
              </w:rPr>
              <w:t>35</w:t>
            </w:r>
          </w:p>
        </w:tc>
        <w:tc>
          <w:tcPr>
            <w:tcW w:w="3240" w:type="dxa"/>
            <w:vAlign w:val="bottom"/>
            <w:tcBorders>
              <w:right w:val="single" w:sz="8" w:color="auto"/>
            </w:tcBorders>
          </w:tcPr>
          <w:p>
            <w:pPr>
              <w:jc w:val="right"/>
              <w:ind w:right="786"/>
              <w:spacing w:after="0" w:line="196" w:lineRule="exact"/>
              <w:rPr>
                <w:sz w:val="20"/>
                <w:szCs w:val="20"/>
                <w:color w:val="auto"/>
              </w:rPr>
            </w:pPr>
            <w:r>
              <w:rPr>
                <w:rFonts w:ascii="Times New Roman" w:cs="Times New Roman" w:eastAsia="Times New Roman" w:hAnsi="Times New Roman"/>
                <w:sz w:val="19"/>
                <w:szCs w:val="19"/>
                <w:color w:val="auto"/>
              </w:rPr>
              <w:t>1,530,476</w:t>
            </w:r>
          </w:p>
        </w:tc>
        <w:tc>
          <w:tcPr>
            <w:tcW w:w="0" w:type="dxa"/>
            <w:vAlign w:val="bottom"/>
          </w:tcPr>
          <w:p>
            <w:pPr>
              <w:spacing w:after="0"/>
              <w:rPr>
                <w:sz w:val="1"/>
                <w:szCs w:val="1"/>
                <w:color w:val="auto"/>
              </w:rPr>
            </w:pPr>
          </w:p>
        </w:tc>
      </w:tr>
      <w:tr>
        <w:trPr>
          <w:trHeight w:val="136"/>
        </w:trPr>
        <w:tc>
          <w:tcPr>
            <w:tcW w:w="2840" w:type="dxa"/>
            <w:vAlign w:val="bottom"/>
            <w:tcBorders>
              <w:left w:val="single" w:sz="8" w:color="auto"/>
              <w:right w:val="single" w:sz="8" w:color="auto"/>
            </w:tcBorders>
            <w:vMerge w:val="continue"/>
          </w:tcPr>
          <w:p>
            <w:pPr>
              <w:spacing w:after="0"/>
              <w:rPr>
                <w:sz w:val="11"/>
                <w:szCs w:val="11"/>
                <w:color w:val="auto"/>
              </w:rPr>
            </w:pPr>
          </w:p>
        </w:tc>
        <w:tc>
          <w:tcPr>
            <w:tcW w:w="2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9"/>
                <w:szCs w:val="19"/>
                <w:color w:val="auto"/>
              </w:rPr>
              <w:t>SERP</w:t>
            </w:r>
          </w:p>
        </w:tc>
        <w:tc>
          <w:tcPr>
            <w:tcW w:w="2240" w:type="dxa"/>
            <w:vAlign w:val="bottom"/>
            <w:tcBorders>
              <w:right w:val="single" w:sz="8" w:color="auto"/>
            </w:tcBorders>
            <w:vMerge w:val="restart"/>
          </w:tcPr>
          <w:p>
            <w:pPr>
              <w:jc w:val="right"/>
              <w:ind w:right="806"/>
              <w:spacing w:after="0"/>
              <w:rPr>
                <w:sz w:val="20"/>
                <w:szCs w:val="20"/>
                <w:color w:val="auto"/>
              </w:rPr>
            </w:pPr>
            <w:r>
              <w:rPr>
                <w:rFonts w:ascii="Times New Roman" w:cs="Times New Roman" w:eastAsia="Times New Roman" w:hAnsi="Times New Roman"/>
                <w:sz w:val="19"/>
                <w:szCs w:val="19"/>
                <w:color w:val="auto"/>
              </w:rPr>
              <w:t>35</w:t>
            </w:r>
          </w:p>
        </w:tc>
        <w:tc>
          <w:tcPr>
            <w:tcW w:w="3240" w:type="dxa"/>
            <w:vAlign w:val="bottom"/>
            <w:tcBorders>
              <w:right w:val="single" w:sz="8" w:color="auto"/>
            </w:tcBorders>
            <w:vMerge w:val="restart"/>
          </w:tcPr>
          <w:p>
            <w:pPr>
              <w:jc w:val="right"/>
              <w:ind w:right="786"/>
              <w:spacing w:after="0"/>
              <w:rPr>
                <w:sz w:val="20"/>
                <w:szCs w:val="20"/>
                <w:color w:val="auto"/>
              </w:rPr>
            </w:pPr>
            <w:r>
              <w:rPr>
                <w:rFonts w:ascii="Times New Roman" w:cs="Times New Roman" w:eastAsia="Times New Roman" w:hAnsi="Times New Roman"/>
                <w:sz w:val="19"/>
                <w:szCs w:val="19"/>
                <w:color w:val="auto"/>
              </w:rPr>
              <w:t>24,460,816</w:t>
            </w:r>
          </w:p>
        </w:tc>
        <w:tc>
          <w:tcPr>
            <w:tcW w:w="0" w:type="dxa"/>
            <w:vAlign w:val="bottom"/>
          </w:tcPr>
          <w:p>
            <w:pPr>
              <w:spacing w:after="0"/>
              <w:rPr>
                <w:sz w:val="1"/>
                <w:szCs w:val="1"/>
                <w:color w:val="auto"/>
              </w:rPr>
            </w:pPr>
          </w:p>
        </w:tc>
      </w:tr>
      <w:tr>
        <w:trPr>
          <w:trHeight w:val="133"/>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2920" w:type="dxa"/>
            <w:vAlign w:val="bottom"/>
            <w:tcBorders>
              <w:bottom w:val="single" w:sz="8" w:color="auto"/>
              <w:right w:val="single" w:sz="8" w:color="auto"/>
            </w:tcBorders>
            <w:vMerge w:val="continue"/>
          </w:tcPr>
          <w:p>
            <w:pPr>
              <w:spacing w:after="0"/>
              <w:rPr>
                <w:sz w:val="11"/>
                <w:szCs w:val="11"/>
                <w:color w:val="auto"/>
              </w:rPr>
            </w:pPr>
          </w:p>
        </w:tc>
        <w:tc>
          <w:tcPr>
            <w:tcW w:w="2240" w:type="dxa"/>
            <w:vAlign w:val="bottom"/>
            <w:tcBorders>
              <w:bottom w:val="single" w:sz="8" w:color="auto"/>
              <w:right w:val="single" w:sz="8" w:color="auto"/>
            </w:tcBorders>
            <w:vMerge w:val="continue"/>
          </w:tcPr>
          <w:p>
            <w:pPr>
              <w:spacing w:after="0"/>
              <w:rPr>
                <w:sz w:val="11"/>
                <w:szCs w:val="11"/>
                <w:color w:val="auto"/>
              </w:rPr>
            </w:pPr>
          </w:p>
        </w:tc>
        <w:tc>
          <w:tcPr>
            <w:tcW w:w="32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84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9"/>
                <w:szCs w:val="19"/>
                <w:color w:val="auto"/>
              </w:rPr>
              <w:t>Kevin Clothier</w:t>
            </w:r>
          </w:p>
        </w:tc>
        <w:tc>
          <w:tcPr>
            <w:tcW w:w="2920" w:type="dxa"/>
            <w:vAlign w:val="bottom"/>
            <w:tcBorders>
              <w:right w:val="single" w:sz="8" w:color="auto"/>
            </w:tcBorders>
            <w:shd w:val="clear" w:color="auto" w:fill="D9D9D9"/>
          </w:tcPr>
          <w:p>
            <w:pPr>
              <w:ind w:left="100"/>
              <w:spacing w:after="0" w:line="196" w:lineRule="exact"/>
              <w:rPr>
                <w:sz w:val="20"/>
                <w:szCs w:val="20"/>
                <w:color w:val="auto"/>
              </w:rPr>
            </w:pPr>
            <w:r>
              <w:rPr>
                <w:rFonts w:ascii="Times New Roman" w:cs="Times New Roman" w:eastAsia="Times New Roman" w:hAnsi="Times New Roman"/>
                <w:sz w:val="19"/>
                <w:szCs w:val="19"/>
                <w:color w:val="auto"/>
              </w:rPr>
              <w:t>Pension Plan</w:t>
            </w:r>
          </w:p>
        </w:tc>
        <w:tc>
          <w:tcPr>
            <w:tcW w:w="2240" w:type="dxa"/>
            <w:vAlign w:val="bottom"/>
            <w:tcBorders>
              <w:right w:val="single" w:sz="8" w:color="auto"/>
            </w:tcBorders>
            <w:shd w:val="clear" w:color="auto" w:fill="D9D9D9"/>
          </w:tcPr>
          <w:p>
            <w:pPr>
              <w:jc w:val="right"/>
              <w:ind w:right="806"/>
              <w:spacing w:after="0" w:line="196" w:lineRule="exact"/>
              <w:rPr>
                <w:sz w:val="20"/>
                <w:szCs w:val="20"/>
                <w:color w:val="auto"/>
              </w:rPr>
            </w:pPr>
            <w:r>
              <w:rPr>
                <w:rFonts w:ascii="Times New Roman" w:cs="Times New Roman" w:eastAsia="Times New Roman" w:hAnsi="Times New Roman"/>
                <w:sz w:val="19"/>
                <w:szCs w:val="19"/>
                <w:color w:val="auto"/>
              </w:rPr>
              <w:t>33</w:t>
            </w:r>
          </w:p>
        </w:tc>
        <w:tc>
          <w:tcPr>
            <w:tcW w:w="3240" w:type="dxa"/>
            <w:vAlign w:val="bottom"/>
            <w:tcBorders>
              <w:right w:val="single" w:sz="8" w:color="auto"/>
            </w:tcBorders>
            <w:shd w:val="clear" w:color="auto" w:fill="D9D9D9"/>
          </w:tcPr>
          <w:p>
            <w:pPr>
              <w:jc w:val="right"/>
              <w:ind w:right="786"/>
              <w:spacing w:after="0" w:line="196" w:lineRule="exact"/>
              <w:rPr>
                <w:sz w:val="20"/>
                <w:szCs w:val="20"/>
                <w:color w:val="auto"/>
              </w:rPr>
            </w:pPr>
            <w:r>
              <w:rPr>
                <w:rFonts w:ascii="Times New Roman" w:cs="Times New Roman" w:eastAsia="Times New Roman" w:hAnsi="Times New Roman"/>
                <w:sz w:val="19"/>
                <w:szCs w:val="19"/>
                <w:color w:val="auto"/>
              </w:rPr>
              <w:t>1,028,242</w:t>
            </w:r>
          </w:p>
        </w:tc>
        <w:tc>
          <w:tcPr>
            <w:tcW w:w="0" w:type="dxa"/>
            <w:vAlign w:val="bottom"/>
          </w:tcPr>
          <w:p>
            <w:pPr>
              <w:spacing w:after="0"/>
              <w:rPr>
                <w:sz w:val="1"/>
                <w:szCs w:val="1"/>
                <w:color w:val="auto"/>
              </w:rPr>
            </w:pPr>
          </w:p>
        </w:tc>
      </w:tr>
      <w:tr>
        <w:trPr>
          <w:trHeight w:val="136"/>
        </w:trPr>
        <w:tc>
          <w:tcPr>
            <w:tcW w:w="28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92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9"/>
                <w:szCs w:val="19"/>
                <w:color w:val="auto"/>
              </w:rPr>
              <w:t>Restoration Plan</w:t>
            </w:r>
          </w:p>
        </w:tc>
        <w:tc>
          <w:tcPr>
            <w:tcW w:w="2240" w:type="dxa"/>
            <w:vAlign w:val="bottom"/>
            <w:tcBorders>
              <w:right w:val="single" w:sz="8" w:color="auto"/>
            </w:tcBorders>
            <w:vMerge w:val="restart"/>
            <w:shd w:val="clear" w:color="auto" w:fill="D9D9D9"/>
          </w:tcPr>
          <w:p>
            <w:pPr>
              <w:jc w:val="right"/>
              <w:ind w:right="806"/>
              <w:spacing w:after="0"/>
              <w:rPr>
                <w:sz w:val="20"/>
                <w:szCs w:val="20"/>
                <w:color w:val="auto"/>
              </w:rPr>
            </w:pPr>
            <w:r>
              <w:rPr>
                <w:rFonts w:ascii="Times New Roman" w:cs="Times New Roman" w:eastAsia="Times New Roman" w:hAnsi="Times New Roman"/>
                <w:sz w:val="19"/>
                <w:szCs w:val="19"/>
                <w:color w:val="auto"/>
              </w:rPr>
              <w:t>33</w:t>
            </w:r>
          </w:p>
        </w:tc>
        <w:tc>
          <w:tcPr>
            <w:tcW w:w="3240" w:type="dxa"/>
            <w:vAlign w:val="bottom"/>
            <w:tcBorders>
              <w:right w:val="single" w:sz="8" w:color="auto"/>
            </w:tcBorders>
            <w:vMerge w:val="restart"/>
            <w:shd w:val="clear" w:color="auto" w:fill="D9D9D9"/>
          </w:tcPr>
          <w:p>
            <w:pPr>
              <w:jc w:val="right"/>
              <w:ind w:right="786"/>
              <w:spacing w:after="0"/>
              <w:rPr>
                <w:sz w:val="20"/>
                <w:szCs w:val="20"/>
                <w:color w:val="auto"/>
              </w:rPr>
            </w:pPr>
            <w:r>
              <w:rPr>
                <w:rFonts w:ascii="Times New Roman" w:cs="Times New Roman" w:eastAsia="Times New Roman" w:hAnsi="Times New Roman"/>
                <w:sz w:val="19"/>
                <w:szCs w:val="19"/>
                <w:color w:val="auto"/>
              </w:rPr>
              <w:t>2,503,233</w:t>
            </w:r>
          </w:p>
        </w:tc>
        <w:tc>
          <w:tcPr>
            <w:tcW w:w="0" w:type="dxa"/>
            <w:vAlign w:val="bottom"/>
          </w:tcPr>
          <w:p>
            <w:pPr>
              <w:spacing w:after="0"/>
              <w:rPr>
                <w:sz w:val="1"/>
                <w:szCs w:val="1"/>
                <w:color w:val="auto"/>
              </w:rPr>
            </w:pPr>
          </w:p>
        </w:tc>
      </w:tr>
      <w:tr>
        <w:trPr>
          <w:trHeight w:val="133"/>
        </w:trPr>
        <w:tc>
          <w:tcPr>
            <w:tcW w:w="284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92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224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324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9"/>
                <w:szCs w:val="19"/>
                <w:color w:val="auto"/>
              </w:rPr>
              <w:t>Gerard Gifford</w:t>
            </w:r>
          </w:p>
        </w:tc>
        <w:tc>
          <w:tcPr>
            <w:tcW w:w="2920" w:type="dxa"/>
            <w:vAlign w:val="bottom"/>
            <w:tcBorders>
              <w:right w:val="single" w:sz="8" w:color="auto"/>
            </w:tcBorders>
          </w:tcPr>
          <w:p>
            <w:pPr>
              <w:ind w:left="100"/>
              <w:spacing w:after="0" w:line="196" w:lineRule="exact"/>
              <w:rPr>
                <w:sz w:val="20"/>
                <w:szCs w:val="20"/>
                <w:color w:val="auto"/>
              </w:rPr>
            </w:pPr>
            <w:r>
              <w:rPr>
                <w:rFonts w:ascii="Times New Roman" w:cs="Times New Roman" w:eastAsia="Times New Roman" w:hAnsi="Times New Roman"/>
                <w:sz w:val="19"/>
                <w:szCs w:val="19"/>
                <w:color w:val="auto"/>
              </w:rPr>
              <w:t>Pension Plan</w:t>
            </w:r>
          </w:p>
        </w:tc>
        <w:tc>
          <w:tcPr>
            <w:tcW w:w="2240" w:type="dxa"/>
            <w:vAlign w:val="bottom"/>
            <w:tcBorders>
              <w:right w:val="single" w:sz="8" w:color="auto"/>
            </w:tcBorders>
          </w:tcPr>
          <w:p>
            <w:pPr>
              <w:jc w:val="right"/>
              <w:ind w:right="806"/>
              <w:spacing w:after="0" w:line="196" w:lineRule="exact"/>
              <w:rPr>
                <w:sz w:val="20"/>
                <w:szCs w:val="20"/>
                <w:color w:val="auto"/>
              </w:rPr>
            </w:pPr>
            <w:r>
              <w:rPr>
                <w:rFonts w:ascii="Times New Roman" w:cs="Times New Roman" w:eastAsia="Times New Roman" w:hAnsi="Times New Roman"/>
                <w:sz w:val="19"/>
                <w:szCs w:val="19"/>
                <w:color w:val="auto"/>
              </w:rPr>
              <w:t>43</w:t>
            </w:r>
          </w:p>
        </w:tc>
        <w:tc>
          <w:tcPr>
            <w:tcW w:w="3240" w:type="dxa"/>
            <w:vAlign w:val="bottom"/>
            <w:tcBorders>
              <w:right w:val="single" w:sz="8" w:color="auto"/>
            </w:tcBorders>
          </w:tcPr>
          <w:p>
            <w:pPr>
              <w:jc w:val="right"/>
              <w:ind w:right="766"/>
              <w:spacing w:after="0" w:line="196" w:lineRule="exact"/>
              <w:rPr>
                <w:sz w:val="20"/>
                <w:szCs w:val="20"/>
                <w:color w:val="auto"/>
              </w:rPr>
            </w:pPr>
            <w:r>
              <w:rPr>
                <w:rFonts w:ascii="Times New Roman" w:cs="Times New Roman" w:eastAsia="Times New Roman" w:hAnsi="Times New Roman"/>
                <w:sz w:val="19"/>
                <w:szCs w:val="19"/>
                <w:color w:val="auto"/>
              </w:rPr>
              <w:t>1,695,317</w:t>
            </w:r>
          </w:p>
        </w:tc>
        <w:tc>
          <w:tcPr>
            <w:tcW w:w="0" w:type="dxa"/>
            <w:vAlign w:val="bottom"/>
          </w:tcPr>
          <w:p>
            <w:pPr>
              <w:spacing w:after="0"/>
              <w:rPr>
                <w:sz w:val="1"/>
                <w:szCs w:val="1"/>
                <w:color w:val="auto"/>
              </w:rPr>
            </w:pPr>
          </w:p>
        </w:tc>
      </w:tr>
      <w:tr>
        <w:trPr>
          <w:trHeight w:val="136"/>
        </w:trPr>
        <w:tc>
          <w:tcPr>
            <w:tcW w:w="2840" w:type="dxa"/>
            <w:vAlign w:val="bottom"/>
            <w:tcBorders>
              <w:left w:val="single" w:sz="8" w:color="auto"/>
              <w:right w:val="single" w:sz="8" w:color="auto"/>
            </w:tcBorders>
            <w:vMerge w:val="continue"/>
          </w:tcPr>
          <w:p>
            <w:pPr>
              <w:spacing w:after="0"/>
              <w:rPr>
                <w:sz w:val="11"/>
                <w:szCs w:val="11"/>
                <w:color w:val="auto"/>
              </w:rPr>
            </w:pPr>
          </w:p>
        </w:tc>
        <w:tc>
          <w:tcPr>
            <w:tcW w:w="2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9"/>
                <w:szCs w:val="19"/>
                <w:color w:val="auto"/>
              </w:rPr>
              <w:t>SERP/Restoration Plan</w:t>
            </w:r>
          </w:p>
        </w:tc>
        <w:tc>
          <w:tcPr>
            <w:tcW w:w="2240" w:type="dxa"/>
            <w:vAlign w:val="bottom"/>
            <w:tcBorders>
              <w:right w:val="single" w:sz="8" w:color="auto"/>
            </w:tcBorders>
            <w:vMerge w:val="restart"/>
          </w:tcPr>
          <w:p>
            <w:pPr>
              <w:jc w:val="right"/>
              <w:ind w:right="806"/>
              <w:spacing w:after="0"/>
              <w:rPr>
                <w:sz w:val="20"/>
                <w:szCs w:val="20"/>
                <w:color w:val="auto"/>
              </w:rPr>
            </w:pPr>
            <w:r>
              <w:rPr>
                <w:rFonts w:ascii="Times New Roman" w:cs="Times New Roman" w:eastAsia="Times New Roman" w:hAnsi="Times New Roman"/>
                <w:sz w:val="19"/>
                <w:szCs w:val="19"/>
                <w:color w:val="auto"/>
              </w:rPr>
              <w:t>43</w:t>
            </w:r>
          </w:p>
        </w:tc>
        <w:tc>
          <w:tcPr>
            <w:tcW w:w="3240" w:type="dxa"/>
            <w:vAlign w:val="bottom"/>
            <w:tcBorders>
              <w:right w:val="single" w:sz="8" w:color="auto"/>
            </w:tcBorders>
            <w:vMerge w:val="restart"/>
          </w:tcPr>
          <w:p>
            <w:pPr>
              <w:jc w:val="right"/>
              <w:ind w:right="766"/>
              <w:spacing w:after="0"/>
              <w:rPr>
                <w:sz w:val="20"/>
                <w:szCs w:val="20"/>
                <w:color w:val="auto"/>
              </w:rPr>
            </w:pPr>
            <w:r>
              <w:rPr>
                <w:rFonts w:ascii="Times New Roman" w:cs="Times New Roman" w:eastAsia="Times New Roman" w:hAnsi="Times New Roman"/>
                <w:sz w:val="19"/>
                <w:szCs w:val="19"/>
                <w:color w:val="auto"/>
              </w:rPr>
              <w:t>12,764,949</w:t>
            </w:r>
          </w:p>
        </w:tc>
        <w:tc>
          <w:tcPr>
            <w:tcW w:w="0" w:type="dxa"/>
            <w:vAlign w:val="bottom"/>
          </w:tcPr>
          <w:p>
            <w:pPr>
              <w:spacing w:after="0"/>
              <w:rPr>
                <w:sz w:val="1"/>
                <w:szCs w:val="1"/>
                <w:color w:val="auto"/>
              </w:rPr>
            </w:pPr>
          </w:p>
        </w:tc>
      </w:tr>
      <w:tr>
        <w:trPr>
          <w:trHeight w:val="133"/>
        </w:trPr>
        <w:tc>
          <w:tcPr>
            <w:tcW w:w="2840" w:type="dxa"/>
            <w:vAlign w:val="bottom"/>
            <w:tcBorders>
              <w:left w:val="single" w:sz="8" w:color="auto"/>
              <w:bottom w:val="single" w:sz="8" w:color="auto"/>
              <w:right w:val="single" w:sz="8" w:color="auto"/>
            </w:tcBorders>
          </w:tcPr>
          <w:p>
            <w:pPr>
              <w:spacing w:after="0"/>
              <w:rPr>
                <w:sz w:val="11"/>
                <w:szCs w:val="11"/>
                <w:color w:val="auto"/>
              </w:rPr>
            </w:pPr>
          </w:p>
        </w:tc>
        <w:tc>
          <w:tcPr>
            <w:tcW w:w="2920" w:type="dxa"/>
            <w:vAlign w:val="bottom"/>
            <w:tcBorders>
              <w:bottom w:val="single" w:sz="8" w:color="auto"/>
              <w:right w:val="single" w:sz="8" w:color="auto"/>
            </w:tcBorders>
            <w:vMerge w:val="continue"/>
          </w:tcPr>
          <w:p>
            <w:pPr>
              <w:spacing w:after="0"/>
              <w:rPr>
                <w:sz w:val="11"/>
                <w:szCs w:val="11"/>
                <w:color w:val="auto"/>
              </w:rPr>
            </w:pPr>
          </w:p>
        </w:tc>
        <w:tc>
          <w:tcPr>
            <w:tcW w:w="2240" w:type="dxa"/>
            <w:vAlign w:val="bottom"/>
            <w:tcBorders>
              <w:bottom w:val="single" w:sz="8" w:color="auto"/>
              <w:right w:val="single" w:sz="8" w:color="auto"/>
            </w:tcBorders>
            <w:vMerge w:val="continue"/>
          </w:tcPr>
          <w:p>
            <w:pPr>
              <w:spacing w:after="0"/>
              <w:rPr>
                <w:sz w:val="11"/>
                <w:szCs w:val="11"/>
                <w:color w:val="auto"/>
              </w:rPr>
            </w:pPr>
          </w:p>
        </w:tc>
        <w:tc>
          <w:tcPr>
            <w:tcW w:w="3240" w:type="dxa"/>
            <w:vAlign w:val="bottom"/>
            <w:tcBorders>
              <w:bottom w:val="single" w:sz="8" w:color="auto"/>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97"/>
        </w:trPr>
        <w:tc>
          <w:tcPr>
            <w:tcW w:w="2840" w:type="dxa"/>
            <w:vAlign w:val="bottom"/>
            <w:tcBorders>
              <w:left w:val="single" w:sz="8" w:color="auto"/>
              <w:right w:val="single" w:sz="8" w:color="auto"/>
            </w:tcBorders>
            <w:vMerge w:val="restart"/>
            <w:shd w:val="clear" w:color="auto" w:fill="D9D9D9"/>
          </w:tcPr>
          <w:p>
            <w:pPr>
              <w:ind w:left="120"/>
              <w:spacing w:after="0"/>
              <w:rPr>
                <w:sz w:val="20"/>
                <w:szCs w:val="20"/>
                <w:color w:val="auto"/>
              </w:rPr>
            </w:pPr>
            <w:r>
              <w:rPr>
                <w:rFonts w:ascii="Times New Roman" w:cs="Times New Roman" w:eastAsia="Times New Roman" w:hAnsi="Times New Roman"/>
                <w:sz w:val="19"/>
                <w:szCs w:val="19"/>
                <w:color w:val="auto"/>
              </w:rPr>
              <w:t>Djalma Novaes</w:t>
            </w:r>
          </w:p>
        </w:tc>
        <w:tc>
          <w:tcPr>
            <w:tcW w:w="2920" w:type="dxa"/>
            <w:vAlign w:val="bottom"/>
            <w:tcBorders>
              <w:right w:val="single" w:sz="8" w:color="auto"/>
            </w:tcBorders>
            <w:shd w:val="clear" w:color="auto" w:fill="D9D9D9"/>
          </w:tcPr>
          <w:p>
            <w:pPr>
              <w:ind w:left="100"/>
              <w:spacing w:after="0" w:line="196" w:lineRule="exact"/>
              <w:rPr>
                <w:sz w:val="20"/>
                <w:szCs w:val="20"/>
                <w:color w:val="auto"/>
              </w:rPr>
            </w:pPr>
            <w:r>
              <w:rPr>
                <w:rFonts w:ascii="Times New Roman" w:cs="Times New Roman" w:eastAsia="Times New Roman" w:hAnsi="Times New Roman"/>
                <w:sz w:val="19"/>
                <w:szCs w:val="19"/>
                <w:color w:val="auto"/>
              </w:rPr>
              <w:t>Pension Plan</w:t>
            </w:r>
          </w:p>
        </w:tc>
        <w:tc>
          <w:tcPr>
            <w:tcW w:w="2240" w:type="dxa"/>
            <w:vAlign w:val="bottom"/>
            <w:tcBorders>
              <w:right w:val="single" w:sz="8" w:color="auto"/>
            </w:tcBorders>
            <w:shd w:val="clear" w:color="auto" w:fill="D9D9D9"/>
          </w:tcPr>
          <w:p>
            <w:pPr>
              <w:jc w:val="right"/>
              <w:ind w:right="806"/>
              <w:spacing w:after="0" w:line="196" w:lineRule="exact"/>
              <w:rPr>
                <w:sz w:val="20"/>
                <w:szCs w:val="20"/>
                <w:color w:val="auto"/>
              </w:rPr>
            </w:pPr>
            <w:r>
              <w:rPr>
                <w:rFonts w:ascii="Times New Roman" w:cs="Times New Roman" w:eastAsia="Times New Roman" w:hAnsi="Times New Roman"/>
                <w:sz w:val="19"/>
                <w:szCs w:val="19"/>
                <w:color w:val="auto"/>
              </w:rPr>
              <w:t>15</w:t>
            </w:r>
          </w:p>
        </w:tc>
        <w:tc>
          <w:tcPr>
            <w:tcW w:w="3240" w:type="dxa"/>
            <w:vAlign w:val="bottom"/>
            <w:tcBorders>
              <w:right w:val="single" w:sz="8" w:color="auto"/>
            </w:tcBorders>
            <w:shd w:val="clear" w:color="auto" w:fill="D9D9D9"/>
          </w:tcPr>
          <w:p>
            <w:pPr>
              <w:jc w:val="right"/>
              <w:ind w:right="786"/>
              <w:spacing w:after="0" w:line="196" w:lineRule="exact"/>
              <w:rPr>
                <w:sz w:val="20"/>
                <w:szCs w:val="20"/>
                <w:color w:val="auto"/>
              </w:rPr>
            </w:pPr>
            <w:r>
              <w:rPr>
                <w:rFonts w:ascii="Times New Roman" w:cs="Times New Roman" w:eastAsia="Times New Roman" w:hAnsi="Times New Roman"/>
                <w:sz w:val="19"/>
                <w:szCs w:val="19"/>
                <w:color w:val="auto"/>
              </w:rPr>
              <w:t>733,367</w:t>
            </w:r>
          </w:p>
        </w:tc>
        <w:tc>
          <w:tcPr>
            <w:tcW w:w="0" w:type="dxa"/>
            <w:vAlign w:val="bottom"/>
          </w:tcPr>
          <w:p>
            <w:pPr>
              <w:spacing w:after="0"/>
              <w:rPr>
                <w:sz w:val="1"/>
                <w:szCs w:val="1"/>
                <w:color w:val="auto"/>
              </w:rPr>
            </w:pPr>
          </w:p>
        </w:tc>
      </w:tr>
      <w:tr>
        <w:trPr>
          <w:trHeight w:val="136"/>
        </w:trPr>
        <w:tc>
          <w:tcPr>
            <w:tcW w:w="2840" w:type="dxa"/>
            <w:vAlign w:val="bottom"/>
            <w:tcBorders>
              <w:left w:val="single" w:sz="8" w:color="auto"/>
              <w:right w:val="single" w:sz="8" w:color="auto"/>
            </w:tcBorders>
            <w:vMerge w:val="continue"/>
            <w:shd w:val="clear" w:color="auto" w:fill="D9D9D9"/>
          </w:tcPr>
          <w:p>
            <w:pPr>
              <w:spacing w:after="0"/>
              <w:rPr>
                <w:sz w:val="11"/>
                <w:szCs w:val="11"/>
                <w:color w:val="auto"/>
              </w:rPr>
            </w:pPr>
          </w:p>
        </w:tc>
        <w:tc>
          <w:tcPr>
            <w:tcW w:w="2920" w:type="dxa"/>
            <w:vAlign w:val="bottom"/>
            <w:tcBorders>
              <w:right w:val="single" w:sz="8" w:color="auto"/>
            </w:tcBorders>
            <w:vMerge w:val="restart"/>
            <w:shd w:val="clear" w:color="auto" w:fill="D9D9D9"/>
          </w:tcPr>
          <w:p>
            <w:pPr>
              <w:ind w:left="100"/>
              <w:spacing w:after="0"/>
              <w:rPr>
                <w:sz w:val="20"/>
                <w:szCs w:val="20"/>
                <w:color w:val="auto"/>
              </w:rPr>
            </w:pPr>
            <w:r>
              <w:rPr>
                <w:rFonts w:ascii="Times New Roman" w:cs="Times New Roman" w:eastAsia="Times New Roman" w:hAnsi="Times New Roman"/>
                <w:sz w:val="19"/>
                <w:szCs w:val="19"/>
                <w:color w:val="auto"/>
              </w:rPr>
              <w:t>SERP</w:t>
            </w:r>
          </w:p>
        </w:tc>
        <w:tc>
          <w:tcPr>
            <w:tcW w:w="2240" w:type="dxa"/>
            <w:vAlign w:val="bottom"/>
            <w:tcBorders>
              <w:right w:val="single" w:sz="8" w:color="auto"/>
            </w:tcBorders>
            <w:vMerge w:val="restart"/>
            <w:shd w:val="clear" w:color="auto" w:fill="D9D9D9"/>
          </w:tcPr>
          <w:p>
            <w:pPr>
              <w:jc w:val="right"/>
              <w:ind w:right="806"/>
              <w:spacing w:after="0"/>
              <w:rPr>
                <w:sz w:val="20"/>
                <w:szCs w:val="20"/>
                <w:color w:val="auto"/>
              </w:rPr>
            </w:pPr>
            <w:r>
              <w:rPr>
                <w:rFonts w:ascii="Times New Roman" w:cs="Times New Roman" w:eastAsia="Times New Roman" w:hAnsi="Times New Roman"/>
                <w:sz w:val="19"/>
                <w:szCs w:val="19"/>
                <w:color w:val="auto"/>
              </w:rPr>
              <w:t>26</w:t>
            </w:r>
          </w:p>
        </w:tc>
        <w:tc>
          <w:tcPr>
            <w:tcW w:w="3240" w:type="dxa"/>
            <w:vAlign w:val="bottom"/>
            <w:tcBorders>
              <w:right w:val="single" w:sz="8" w:color="auto"/>
            </w:tcBorders>
            <w:vMerge w:val="restart"/>
            <w:shd w:val="clear" w:color="auto" w:fill="D9D9D9"/>
          </w:tcPr>
          <w:p>
            <w:pPr>
              <w:jc w:val="right"/>
              <w:ind w:right="786"/>
              <w:spacing w:after="0"/>
              <w:rPr>
                <w:sz w:val="20"/>
                <w:szCs w:val="20"/>
                <w:color w:val="auto"/>
              </w:rPr>
            </w:pPr>
            <w:r>
              <w:rPr>
                <w:rFonts w:ascii="Times New Roman" w:cs="Times New Roman" w:eastAsia="Times New Roman" w:hAnsi="Times New Roman"/>
                <w:sz w:val="19"/>
                <w:szCs w:val="19"/>
                <w:color w:val="auto"/>
              </w:rPr>
              <w:t>7,074,509</w:t>
            </w:r>
          </w:p>
        </w:tc>
        <w:tc>
          <w:tcPr>
            <w:tcW w:w="0" w:type="dxa"/>
            <w:vAlign w:val="bottom"/>
          </w:tcPr>
          <w:p>
            <w:pPr>
              <w:spacing w:after="0"/>
              <w:rPr>
                <w:sz w:val="1"/>
                <w:szCs w:val="1"/>
                <w:color w:val="auto"/>
              </w:rPr>
            </w:pPr>
          </w:p>
        </w:tc>
      </w:tr>
      <w:tr>
        <w:trPr>
          <w:trHeight w:val="133"/>
        </w:trPr>
        <w:tc>
          <w:tcPr>
            <w:tcW w:w="2840" w:type="dxa"/>
            <w:vAlign w:val="bottom"/>
            <w:tcBorders>
              <w:left w:val="single" w:sz="8" w:color="auto"/>
              <w:bottom w:val="single" w:sz="8" w:color="auto"/>
              <w:right w:val="single" w:sz="8" w:color="auto"/>
            </w:tcBorders>
            <w:shd w:val="clear" w:color="auto" w:fill="D9D9D9"/>
          </w:tcPr>
          <w:p>
            <w:pPr>
              <w:spacing w:after="0"/>
              <w:rPr>
                <w:sz w:val="11"/>
                <w:szCs w:val="11"/>
                <w:color w:val="auto"/>
              </w:rPr>
            </w:pPr>
          </w:p>
        </w:tc>
        <w:tc>
          <w:tcPr>
            <w:tcW w:w="292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224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3240" w:type="dxa"/>
            <w:vAlign w:val="bottom"/>
            <w:tcBorders>
              <w:bottom w:val="single" w:sz="8" w:color="auto"/>
              <w:right w:val="single" w:sz="8" w:color="auto"/>
            </w:tcBorders>
            <w:vMerge w:val="continue"/>
            <w:shd w:val="clear" w:color="auto" w:fill="D9D9D9"/>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2840" w:type="dxa"/>
            <w:vAlign w:val="bottom"/>
            <w:tcBorders>
              <w:left w:val="single" w:sz="8" w:color="auto"/>
              <w:right w:val="single" w:sz="8" w:color="auto"/>
            </w:tcBorders>
            <w:vMerge w:val="restart"/>
          </w:tcPr>
          <w:p>
            <w:pPr>
              <w:ind w:left="120"/>
              <w:spacing w:after="0"/>
              <w:rPr>
                <w:sz w:val="20"/>
                <w:szCs w:val="20"/>
                <w:color w:val="auto"/>
              </w:rPr>
            </w:pPr>
            <w:r>
              <w:rPr>
                <w:rFonts w:ascii="Times New Roman" w:cs="Times New Roman" w:eastAsia="Times New Roman" w:hAnsi="Times New Roman"/>
                <w:sz w:val="19"/>
                <w:szCs w:val="19"/>
                <w:color w:val="auto"/>
              </w:rPr>
              <w:t>Adam Dickstein</w:t>
            </w:r>
          </w:p>
        </w:tc>
        <w:tc>
          <w:tcPr>
            <w:tcW w:w="29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9"/>
                <w:szCs w:val="19"/>
                <w:color w:val="auto"/>
              </w:rPr>
              <w:t>Pension Plan</w:t>
            </w:r>
          </w:p>
        </w:tc>
        <w:tc>
          <w:tcPr>
            <w:tcW w:w="2240" w:type="dxa"/>
            <w:vAlign w:val="bottom"/>
            <w:tcBorders>
              <w:right w:val="single" w:sz="8" w:color="auto"/>
            </w:tcBorders>
          </w:tcPr>
          <w:p>
            <w:pPr>
              <w:jc w:val="right"/>
              <w:ind w:right="806"/>
              <w:spacing w:after="0"/>
              <w:rPr>
                <w:sz w:val="20"/>
                <w:szCs w:val="20"/>
                <w:color w:val="auto"/>
              </w:rPr>
            </w:pPr>
            <w:r>
              <w:rPr>
                <w:rFonts w:ascii="Times New Roman" w:cs="Times New Roman" w:eastAsia="Times New Roman" w:hAnsi="Times New Roman"/>
                <w:sz w:val="19"/>
                <w:szCs w:val="19"/>
                <w:color w:val="auto"/>
              </w:rPr>
              <w:t>18</w:t>
            </w:r>
          </w:p>
        </w:tc>
        <w:tc>
          <w:tcPr>
            <w:tcW w:w="3240" w:type="dxa"/>
            <w:vAlign w:val="bottom"/>
            <w:tcBorders>
              <w:right w:val="single" w:sz="8" w:color="auto"/>
            </w:tcBorders>
          </w:tcPr>
          <w:p>
            <w:pPr>
              <w:jc w:val="right"/>
              <w:ind w:right="786"/>
              <w:spacing w:after="0"/>
              <w:rPr>
                <w:sz w:val="20"/>
                <w:szCs w:val="20"/>
                <w:color w:val="auto"/>
              </w:rPr>
            </w:pPr>
            <w:r>
              <w:rPr>
                <w:rFonts w:ascii="Times New Roman" w:cs="Times New Roman" w:eastAsia="Times New Roman" w:hAnsi="Times New Roman"/>
                <w:sz w:val="19"/>
                <w:szCs w:val="19"/>
                <w:color w:val="auto"/>
              </w:rPr>
              <w:t>732,296</w:t>
            </w:r>
          </w:p>
        </w:tc>
        <w:tc>
          <w:tcPr>
            <w:tcW w:w="0" w:type="dxa"/>
            <w:vAlign w:val="bottom"/>
          </w:tcPr>
          <w:p>
            <w:pPr>
              <w:spacing w:after="0"/>
              <w:rPr>
                <w:sz w:val="1"/>
                <w:szCs w:val="1"/>
                <w:color w:val="auto"/>
              </w:rPr>
            </w:pPr>
          </w:p>
        </w:tc>
      </w:tr>
      <w:tr>
        <w:trPr>
          <w:trHeight w:val="123"/>
        </w:trPr>
        <w:tc>
          <w:tcPr>
            <w:tcW w:w="2840" w:type="dxa"/>
            <w:vAlign w:val="bottom"/>
            <w:tcBorders>
              <w:left w:val="single" w:sz="8" w:color="auto"/>
              <w:right w:val="single" w:sz="8" w:color="auto"/>
            </w:tcBorders>
            <w:vMerge w:val="continue"/>
          </w:tcPr>
          <w:p>
            <w:pPr>
              <w:spacing w:after="0"/>
              <w:rPr>
                <w:sz w:val="10"/>
                <w:szCs w:val="10"/>
                <w:color w:val="auto"/>
              </w:rPr>
            </w:pPr>
          </w:p>
        </w:tc>
        <w:tc>
          <w:tcPr>
            <w:tcW w:w="292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9"/>
                <w:szCs w:val="19"/>
                <w:color w:val="auto"/>
              </w:rPr>
              <w:t>Restoration Plan</w:t>
            </w:r>
          </w:p>
        </w:tc>
        <w:tc>
          <w:tcPr>
            <w:tcW w:w="2240" w:type="dxa"/>
            <w:vAlign w:val="bottom"/>
            <w:tcBorders>
              <w:right w:val="single" w:sz="8" w:color="auto"/>
            </w:tcBorders>
            <w:vMerge w:val="restart"/>
          </w:tcPr>
          <w:p>
            <w:pPr>
              <w:jc w:val="right"/>
              <w:ind w:right="806"/>
              <w:spacing w:after="0"/>
              <w:rPr>
                <w:sz w:val="20"/>
                <w:szCs w:val="20"/>
                <w:color w:val="auto"/>
              </w:rPr>
            </w:pPr>
            <w:r>
              <w:rPr>
                <w:rFonts w:ascii="Times New Roman" w:cs="Times New Roman" w:eastAsia="Times New Roman" w:hAnsi="Times New Roman"/>
                <w:sz w:val="19"/>
                <w:szCs w:val="19"/>
                <w:color w:val="auto"/>
              </w:rPr>
              <w:t>18</w:t>
            </w:r>
          </w:p>
        </w:tc>
        <w:tc>
          <w:tcPr>
            <w:tcW w:w="3240" w:type="dxa"/>
            <w:vAlign w:val="bottom"/>
            <w:tcBorders>
              <w:right w:val="single" w:sz="8" w:color="auto"/>
            </w:tcBorders>
            <w:vMerge w:val="restart"/>
          </w:tcPr>
          <w:p>
            <w:pPr>
              <w:jc w:val="right"/>
              <w:ind w:right="786"/>
              <w:spacing w:after="0"/>
              <w:rPr>
                <w:sz w:val="20"/>
                <w:szCs w:val="20"/>
                <w:color w:val="auto"/>
              </w:rPr>
            </w:pPr>
            <w:r>
              <w:rPr>
                <w:rFonts w:ascii="Times New Roman" w:cs="Times New Roman" w:eastAsia="Times New Roman" w:hAnsi="Times New Roman"/>
                <w:sz w:val="19"/>
                <w:szCs w:val="19"/>
                <w:color w:val="auto"/>
              </w:rPr>
              <w:t>1,685,520</w:t>
            </w:r>
          </w:p>
        </w:tc>
        <w:tc>
          <w:tcPr>
            <w:tcW w:w="0" w:type="dxa"/>
            <w:vAlign w:val="bottom"/>
          </w:tcPr>
          <w:p>
            <w:pPr>
              <w:spacing w:after="0"/>
              <w:rPr>
                <w:sz w:val="1"/>
                <w:szCs w:val="1"/>
                <w:color w:val="auto"/>
              </w:rPr>
            </w:pPr>
          </w:p>
        </w:tc>
      </w:tr>
      <w:tr>
        <w:trPr>
          <w:trHeight w:val="147"/>
        </w:trPr>
        <w:tc>
          <w:tcPr>
            <w:tcW w:w="2840" w:type="dxa"/>
            <w:vAlign w:val="bottom"/>
            <w:tcBorders>
              <w:left w:val="single" w:sz="8" w:color="auto"/>
              <w:bottom w:val="single" w:sz="8" w:color="auto"/>
              <w:right w:val="single" w:sz="8" w:color="auto"/>
            </w:tcBorders>
          </w:tcPr>
          <w:p>
            <w:pPr>
              <w:spacing w:after="0"/>
              <w:rPr>
                <w:sz w:val="12"/>
                <w:szCs w:val="12"/>
                <w:color w:val="auto"/>
              </w:rPr>
            </w:pPr>
          </w:p>
        </w:tc>
        <w:tc>
          <w:tcPr>
            <w:tcW w:w="2920" w:type="dxa"/>
            <w:vAlign w:val="bottom"/>
            <w:tcBorders>
              <w:bottom w:val="single" w:sz="8" w:color="auto"/>
              <w:right w:val="single" w:sz="8" w:color="auto"/>
            </w:tcBorders>
            <w:vMerge w:val="continue"/>
          </w:tcPr>
          <w:p>
            <w:pPr>
              <w:spacing w:after="0"/>
              <w:rPr>
                <w:sz w:val="12"/>
                <w:szCs w:val="12"/>
                <w:color w:val="auto"/>
              </w:rPr>
            </w:pPr>
          </w:p>
        </w:tc>
        <w:tc>
          <w:tcPr>
            <w:tcW w:w="2240" w:type="dxa"/>
            <w:vAlign w:val="bottom"/>
            <w:tcBorders>
              <w:bottom w:val="single" w:sz="8" w:color="auto"/>
              <w:right w:val="single" w:sz="8" w:color="auto"/>
            </w:tcBorders>
            <w:vMerge w:val="continue"/>
          </w:tcPr>
          <w:p>
            <w:pPr>
              <w:spacing w:after="0"/>
              <w:rPr>
                <w:sz w:val="12"/>
                <w:szCs w:val="12"/>
                <w:color w:val="auto"/>
              </w:rPr>
            </w:pPr>
          </w:p>
        </w:tc>
        <w:tc>
          <w:tcPr>
            <w:tcW w:w="3240" w:type="dxa"/>
            <w:vAlign w:val="bottom"/>
            <w:tcBorders>
              <w:bottom w:val="single" w:sz="8" w:color="auto"/>
              <w:right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340" w:hanging="332"/>
        <w:spacing w:after="0" w:line="269" w:lineRule="auto"/>
        <w:tabs>
          <w:tab w:leader="none" w:pos="3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U.S. Pension Plan in which all U.S.-based NEOs participate is designed and administered to qualify under Section 401(a) of the Code. For further information, see “Compensation Discussion and Analysis – Retirement Benefits.”</w:t>
      </w:r>
    </w:p>
    <w:p>
      <w:pPr>
        <w:spacing w:after="0" w:line="51" w:lineRule="exact"/>
        <w:rPr>
          <w:rFonts w:ascii="Times New Roman" w:cs="Times New Roman" w:eastAsia="Times New Roman" w:hAnsi="Times New Roman"/>
          <w:sz w:val="20"/>
          <w:szCs w:val="20"/>
          <w:color w:val="auto"/>
        </w:rPr>
      </w:pPr>
    </w:p>
    <w:p>
      <w:pPr>
        <w:jc w:val="both"/>
        <w:ind w:left="340" w:hanging="332"/>
        <w:spacing w:after="0" w:line="243" w:lineRule="auto"/>
        <w:tabs>
          <w:tab w:leader="none" w:pos="3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benefit for those NEOs who participate in the SERP is based upon a formula equal to (i) 2.0% of the average of the five highest consecutive years of earnings during the last 10 years of service (consisting of salary and bonus, but excluding stock compensation, and determined without regard to the limits imposed on tax-qualified retirement plans) times years of service up to twenty years plus (ii) 1.45% of such average earnings for the next fifteen years of service plus (iii) at the discretion of the Compensation Committee, 1% of such average earnings for years of service beyond thirty-five years less (iv) Social Security old-age benefits (and similar benefits provided in foreign jurisdictions) attributable to employment with the Company and the Company-funded portion of the executive’s Pension Plan benefits. In the case of Mr. Gifford, the SERP is also reduced by his benefits under the Company’s Restoration Plan. For further information, see “Compensation Discussion and Analysis – Retirement Benefits.”</w:t>
      </w:r>
    </w:p>
    <w:p>
      <w:pPr>
        <w:spacing w:after="0" w:line="81" w:lineRule="exact"/>
        <w:rPr>
          <w:rFonts w:ascii="Times New Roman" w:cs="Times New Roman" w:eastAsia="Times New Roman" w:hAnsi="Times New Roman"/>
          <w:sz w:val="20"/>
          <w:szCs w:val="20"/>
          <w:color w:val="auto"/>
        </w:rPr>
      </w:pPr>
    </w:p>
    <w:p>
      <w:pPr>
        <w:jc w:val="both"/>
        <w:ind w:left="340" w:hanging="332"/>
        <w:spacing w:after="0" w:line="249" w:lineRule="auto"/>
        <w:tabs>
          <w:tab w:leader="none" w:pos="3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annual supplemental retirement benefit for each participant under the Restoration Plan (Messrs. Clothier, Gifford and Dickstein) is equal to the difference between (i) the annual benefit he would have accrued under the U.S. Pension Plan if his target bonus amount were included in compensation for purposes of calculating the benefit under such Plan and if certain statutory limitations on benefit accrual did not apply and (ii) the annual benefit accrued under the U.S. Pension Plan basic pension formula as applicable to him.</w:t>
      </w:r>
    </w:p>
    <w:p>
      <w:pPr>
        <w:spacing w:after="0" w:line="71"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Years of service are rounded to the nearest full year.</w:t>
      </w:r>
    </w:p>
    <w:p>
      <w:pPr>
        <w:spacing w:after="0" w:line="107" w:lineRule="exact"/>
        <w:rPr>
          <w:rFonts w:ascii="Times New Roman" w:cs="Times New Roman" w:eastAsia="Times New Roman" w:hAnsi="Times New Roman"/>
          <w:sz w:val="20"/>
          <w:szCs w:val="20"/>
          <w:color w:val="auto"/>
        </w:rPr>
      </w:pPr>
    </w:p>
    <w:p>
      <w:pPr>
        <w:jc w:val="both"/>
        <w:ind w:left="340" w:hanging="332"/>
        <w:spacing w:after="0" w:line="246" w:lineRule="auto"/>
        <w:tabs>
          <w:tab w:leader="none" w:pos="3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calculation of the lump-sum present value is based on assumptions that were in accordance with the guidelines of FASB ASC Topic 715 and that are discussed in Note S, “Pension and Other Postretirement Benefits” to the financial statements in the Company’s Annual Report on Form 10-K for the fiscal year ended December 31, 2025. Not all of the pension benefits payable to our NEOs will be paid in a lump sum. Interest rates strongly affect the present value of such benefits. Future changes in interest rates could cause significant changes in the lump-sum value of such benefits.</w:t>
      </w:r>
    </w:p>
    <w:p>
      <w:pPr>
        <w:spacing w:after="0" w:line="76"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of the benefits are vested with respect to the NEOs.</w:t>
      </w:r>
    </w:p>
    <w:p>
      <w:pPr>
        <w:spacing w:after="0" w:line="200" w:lineRule="exact"/>
        <w:rPr>
          <w:sz w:val="20"/>
          <w:szCs w:val="20"/>
          <w:color w:val="auto"/>
        </w:rPr>
      </w:pPr>
    </w:p>
    <w:p>
      <w:pPr>
        <w:spacing w:after="0" w:line="21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59</w:t>
      </w:r>
    </w:p>
    <w:p>
      <w:pPr>
        <w:sectPr>
          <w:pgSz w:w="11900" w:h="16838" w:orient="portrait"/>
          <w:cols w:equalWidth="0" w:num="1">
            <w:col w:w="11240"/>
          </w:cols>
          <w:pgMar w:left="320" w:top="567" w:right="339" w:bottom="1440" w:gutter="0" w:footer="0" w:header="0"/>
        </w:sectPr>
      </w:pPr>
    </w:p>
    <w:bookmarkStart w:id="62" w:name="page63"/>
    <w:bookmarkEnd w:id="62"/>
    <w:p>
      <w:pPr>
        <w:jc w:val="center"/>
        <w:spacing w:after="0"/>
        <w:rPr>
          <w:sz w:val="20"/>
          <w:szCs w:val="20"/>
          <w:color w:val="auto"/>
        </w:rPr>
      </w:pPr>
      <w:r>
        <w:rPr>
          <w:rFonts w:ascii="Times New Roman" w:cs="Times New Roman" w:eastAsia="Times New Roman" w:hAnsi="Times New Roman"/>
          <w:sz w:val="22"/>
          <w:szCs w:val="22"/>
          <w:b w:val="1"/>
          <w:bCs w:val="1"/>
          <w:color w:val="auto"/>
        </w:rPr>
        <w:t>Employment Agreements and Potential Payments upon Termination</w:t>
      </w:r>
    </w:p>
    <w:p>
      <w:pPr>
        <w:spacing w:after="0" w:line="345"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Company has employment agreements with all of its NEOs. In addition to the compensation and benefits described above, these contracts provide for certain post-employment severance payments in the event of employment termination under certain circumstances. The Committee believes that these contracts provide an incentive to the NEOs to remain with the Company and serve to align the interests of the NEOs and Shareholders, including in the event of a potential acquisition of the Company.</w:t>
      </w:r>
    </w:p>
    <w:p>
      <w:pPr>
        <w:spacing w:after="0" w:line="204"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Under his employment agreement, Mr. Donahue has agreed that, during his employment and for two years thereafter, he will not compete with the Company or solicit Company employees to terminate employment with the Company. All other NEOs are subject to a similar non-competition provision for a one-year post-employment period, extended to two years if following a change in control.</w:t>
      </w:r>
    </w:p>
    <w:p>
      <w:pPr>
        <w:spacing w:after="0" w:line="180" w:lineRule="exact"/>
        <w:rPr>
          <w:sz w:val="20"/>
          <w:szCs w:val="20"/>
          <w:color w:val="auto"/>
        </w:rPr>
      </w:pPr>
    </w:p>
    <w:p>
      <w:pPr>
        <w:jc w:val="both"/>
        <w:ind w:firstLine="648"/>
        <w:spacing w:after="0" w:line="232" w:lineRule="auto"/>
        <w:rPr>
          <w:sz w:val="20"/>
          <w:szCs w:val="20"/>
          <w:color w:val="auto"/>
        </w:rPr>
      </w:pPr>
      <w:r>
        <w:rPr>
          <w:rFonts w:ascii="Times New Roman" w:cs="Times New Roman" w:eastAsia="Times New Roman" w:hAnsi="Times New Roman"/>
          <w:sz w:val="22"/>
          <w:szCs w:val="22"/>
          <w:color w:val="auto"/>
        </w:rPr>
        <w:t>Under the agreement for each of the NEOs, if the executive’s employment is terminated because of a voluntary termination or retirement, the Company will pay the executive his base salary through the date of termination or retirement, a pro-rated bonus payment (which is payable at the Company’s discretion for Mr. Clothier in the case of a voluntary termination) and any vested retirement, incentive or other benefits. The pro-rated bonus payment is based on the actual bonus for all NEOs except for Mr. Gifford, whose pro-rated payment is based on his target bonus in the event of his voluntary termination or retirement. In the event of death, the compensation is identical to the above except that (i) the payment of a pro-rated bonus payment is mandatory for each NEO and (ii) the pro-rated bonus payment is based on the actual bonus for Messrs. Donahue, Clothier and Dickstein, but on the target bonus for Messrs. Gifford and Novaes. All payments will be made to the executive’s estate in the event of death. In the case of a termination of employment due to a disability, each of the NEOs other than Mr. Donahue will be entitled to his base salary through the date of disability, a pro-rated bonus payment and any vested retirement, incentive or other benefits, plus an annual disability benefit equal to 75% of his base salary. The pro-rated bonus payment is based on the target bonus for Messrs. Gifford and Novaes and the actual bonus for Messrs. Clothier and Dickstein. In the case of Mr. Donahue’s disability, he will be entitled to his base salary through the date of disability, an annual disability benefit equal to 100% of his base salary plus a bonus equal to the average annual bonus paid or payable to him for the three most recently completed years, and any vested retirement, incentive or other benefits. If the employment of any of the NEOs is terminated for “Cause,” the Company will pay to the executive only the base salary owed through his date of termination and his vested retirement, incentive or other benefits.</w:t>
      </w:r>
    </w:p>
    <w:p>
      <w:pPr>
        <w:spacing w:after="0" w:line="19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Under the agreement for Mr. Donahue, if his employment is terminated by the Company without Cause or by him for “Good Reason” other than within the 12-month period following a “Change in Control,” in addition to his base salary through the date of termination, the Company will pay to Mr. Donahue (i) a pro-rated actual bonus payment and (ii) a lump-sum payment equal to three times the sum of the executive’s base salary and his target bonus for the year of termination. Under the agreement for each of the other NEOs, upon the termination of the executive’s employment by the Company without Cause other than within the 12-month period following a Change in Control, the Company will pay to the executive (i) his base salary through the date of termination, (ii) a pro-rated actual (but, for Mr. Gifford, a pro-rated target) bonus payment and (iii) a lump-sum payment equal to the executive’s annual base salary. In all such cases, the Company will also pay to the executive any vested retirement, incentive or other benefits.</w:t>
      </w:r>
    </w:p>
    <w:p>
      <w:pPr>
        <w:spacing w:after="0" w:line="7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60</w:t>
      </w:r>
    </w:p>
    <w:p>
      <w:pPr>
        <w:sectPr>
          <w:pgSz w:w="11900" w:h="16838" w:orient="portrait"/>
          <w:cols w:equalWidth="0" w:num="1">
            <w:col w:w="11240"/>
          </w:cols>
          <w:pgMar w:left="320" w:top="567" w:right="339" w:bottom="1440" w:gutter="0" w:footer="0" w:header="0"/>
        </w:sectPr>
      </w:pPr>
    </w:p>
    <w:bookmarkStart w:id="63" w:name="page64"/>
    <w:bookmarkEnd w:id="63"/>
    <w:p>
      <w:pPr>
        <w:jc w:val="both"/>
        <w:ind w:firstLine="648"/>
        <w:spacing w:after="0" w:line="233" w:lineRule="auto"/>
        <w:rPr>
          <w:sz w:val="20"/>
          <w:szCs w:val="20"/>
          <w:color w:val="auto"/>
        </w:rPr>
      </w:pPr>
      <w:r>
        <w:rPr>
          <w:rFonts w:ascii="Times New Roman" w:cs="Times New Roman" w:eastAsia="Times New Roman" w:hAnsi="Times New Roman"/>
          <w:sz w:val="22"/>
          <w:szCs w:val="22"/>
          <w:color w:val="auto"/>
        </w:rPr>
        <w:t>Under the agreement for each of the NEOs, if the executive’s employment is terminated by the Company without Cause or by the executive for Good Reason, during the 12-month period following a Change in Control, the Company will pay him (i) his base salary through the date of termination plus, (ii) a lump-sum payment equal to three times (but, for Mr. Novaes, 2.99 times) the sum of the executive’s base salary and his average bonus over the three completed years prior to the year of termination (but, for Mr. Novaes, his target bonus for the year of termination). On a Change in Control, all stock options and time-based restricted stock granted to the executive by the Company will become fully vested and, in the case of stock options, immediately exercisable. In addition, on a Change in Control, performance-based restricted stock will vest based upon the Company’s performance as compared to the applicable performance goals between the start of the measurement period and the date of the Change in Control. In all such cases, the Company will also pay to the executive any vested retirement, incentive or other benefits. To the extent that the executive would be subject to the excise tax under Code Section 4999 on the amounts and benefits received on a Change in Control for purposes of Code Section 280G, either (i) such amounts and benefits will be reduced or delayed by the minimum amount necessary such that no portion of the amount or benefits is subject to the excise tax or (ii) the full amount and benefits shall be paid, whichever, after taking into account all applicable taxes, including the excise tax, results in the executive’s receipt, or an after-tax basis, of the greater amount and benefits.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61</w:t>
      </w:r>
    </w:p>
    <w:p>
      <w:pPr>
        <w:sectPr>
          <w:pgSz w:w="11900" w:h="16838" w:orient="portrait"/>
          <w:cols w:equalWidth="0" w:num="1">
            <w:col w:w="11240"/>
          </w:cols>
          <w:pgMar w:left="320" w:top="1165" w:right="339" w:bottom="1440" w:gutter="0" w:footer="0" w:header="0"/>
        </w:sectPr>
      </w:pPr>
    </w:p>
    <w:bookmarkStart w:id="64" w:name="page65"/>
    <w:bookmarkEnd w:id="64"/>
    <w:p>
      <w:pPr>
        <w:ind w:firstLine="648"/>
        <w:spacing w:after="0" w:line="258" w:lineRule="auto"/>
        <w:rPr>
          <w:sz w:val="20"/>
          <w:szCs w:val="20"/>
          <w:color w:val="auto"/>
        </w:rPr>
      </w:pPr>
      <w:r>
        <w:rPr>
          <w:rFonts w:ascii="Times New Roman" w:cs="Times New Roman" w:eastAsia="Times New Roman" w:hAnsi="Times New Roman"/>
          <w:sz w:val="22"/>
          <w:szCs w:val="22"/>
          <w:color w:val="auto"/>
        </w:rPr>
        <w:t>The following table provides estimates of the potential severance and other post-termination benefits each NEO would receive assuming his employment was terminated as of December 31, 2025.</w:t>
      </w:r>
    </w:p>
    <w:p>
      <w:pPr>
        <w:spacing w:after="0" w:line="166" w:lineRule="exact"/>
        <w:rPr>
          <w:sz w:val="20"/>
          <w:szCs w:val="20"/>
          <w:color w:val="auto"/>
        </w:rPr>
      </w:pPr>
    </w:p>
    <w:tbl>
      <w:tblPr>
        <w:tblLayout w:type="fixed"/>
        <w:tblInd w:w="10" w:type="dxa"/>
        <w:tblCellMar>
          <w:top w:w="0" w:type="dxa"/>
          <w:left w:w="0" w:type="dxa"/>
          <w:bottom w:w="0" w:type="dxa"/>
          <w:right w:w="0" w:type="dxa"/>
        </w:tblCellMar>
      </w:tblPr>
      <w:tr>
        <w:trPr>
          <w:trHeight w:val="200"/>
        </w:trPr>
        <w:tc>
          <w:tcPr>
            <w:tcW w:w="1720" w:type="dxa"/>
            <w:vAlign w:val="bottom"/>
            <w:tcBorders>
              <w:top w:val="single" w:sz="8" w:color="auto"/>
              <w:left w:val="single" w:sz="8" w:color="auto"/>
              <w:right w:val="single" w:sz="8" w:color="auto"/>
            </w:tcBorders>
            <w:shd w:val="clear" w:color="auto" w:fill="29650B"/>
          </w:tcPr>
          <w:p>
            <w:pPr>
              <w:spacing w:after="0"/>
              <w:rPr>
                <w:sz w:val="17"/>
                <w:szCs w:val="17"/>
                <w:color w:val="auto"/>
              </w:rPr>
            </w:pPr>
          </w:p>
        </w:tc>
        <w:tc>
          <w:tcPr>
            <w:tcW w:w="2020" w:type="dxa"/>
            <w:vAlign w:val="bottom"/>
            <w:tcBorders>
              <w:top w:val="single" w:sz="8" w:color="auto"/>
              <w:right w:val="single" w:sz="8" w:color="auto"/>
            </w:tcBorders>
            <w:shd w:val="clear" w:color="auto" w:fill="29650B"/>
          </w:tcPr>
          <w:p>
            <w:pPr>
              <w:spacing w:after="0"/>
              <w:rPr>
                <w:sz w:val="17"/>
                <w:szCs w:val="17"/>
                <w:color w:val="auto"/>
              </w:rPr>
            </w:pPr>
          </w:p>
        </w:tc>
        <w:tc>
          <w:tcPr>
            <w:tcW w:w="1680" w:type="dxa"/>
            <w:vAlign w:val="bottom"/>
            <w:tcBorders>
              <w:top w:val="single" w:sz="8" w:color="auto"/>
              <w:right w:val="single" w:sz="8" w:color="auto"/>
            </w:tcBorders>
            <w:shd w:val="clear" w:color="auto" w:fill="29650B"/>
          </w:tcPr>
          <w:p>
            <w:pPr>
              <w:spacing w:after="0"/>
              <w:rPr>
                <w:sz w:val="17"/>
                <w:szCs w:val="17"/>
                <w:color w:val="auto"/>
              </w:rPr>
            </w:pPr>
          </w:p>
        </w:tc>
        <w:tc>
          <w:tcPr>
            <w:tcW w:w="158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Resignation for</w:t>
            </w:r>
          </w:p>
        </w:tc>
        <w:tc>
          <w:tcPr>
            <w:tcW w:w="1780" w:type="dxa"/>
            <w:vAlign w:val="bottom"/>
            <w:tcBorders>
              <w:top w:val="single" w:sz="8" w:color="auto"/>
              <w:right w:val="single" w:sz="8" w:color="auto"/>
            </w:tcBorders>
            <w:shd w:val="clear" w:color="auto" w:fill="29650B"/>
          </w:tcPr>
          <w:p>
            <w:pPr>
              <w:spacing w:after="0"/>
              <w:rPr>
                <w:sz w:val="17"/>
                <w:szCs w:val="17"/>
                <w:color w:val="auto"/>
              </w:rPr>
            </w:pPr>
          </w:p>
        </w:tc>
        <w:tc>
          <w:tcPr>
            <w:tcW w:w="2460" w:type="dxa"/>
            <w:vAlign w:val="bottom"/>
            <w:tcBorders>
              <w:top w:val="single" w:sz="8" w:color="auto"/>
              <w:right w:val="single" w:sz="8" w:color="auto"/>
            </w:tcBorders>
            <w:shd w:val="clear" w:color="auto" w:fill="29650B"/>
          </w:tcPr>
          <w:p>
            <w:pPr>
              <w:spacing w:after="0"/>
              <w:rPr>
                <w:sz w:val="17"/>
                <w:szCs w:val="17"/>
                <w:color w:val="auto"/>
              </w:rPr>
            </w:pPr>
          </w:p>
        </w:tc>
      </w:tr>
      <w:tr>
        <w:trPr>
          <w:trHeight w:val="203"/>
        </w:trPr>
        <w:tc>
          <w:tcPr>
            <w:tcW w:w="1720" w:type="dxa"/>
            <w:vAlign w:val="bottom"/>
            <w:tcBorders>
              <w:left w:val="single" w:sz="8" w:color="auto"/>
              <w:right w:val="single" w:sz="8" w:color="auto"/>
            </w:tcBorders>
            <w:shd w:val="clear" w:color="auto" w:fill="29650B"/>
          </w:tcPr>
          <w:p>
            <w:pPr>
              <w:spacing w:after="0"/>
              <w:rPr>
                <w:sz w:val="17"/>
                <w:szCs w:val="17"/>
                <w:color w:val="auto"/>
              </w:rPr>
            </w:pPr>
          </w:p>
        </w:tc>
        <w:tc>
          <w:tcPr>
            <w:tcW w:w="2020" w:type="dxa"/>
            <w:vAlign w:val="bottom"/>
            <w:tcBorders>
              <w:right w:val="single" w:sz="8" w:color="auto"/>
            </w:tcBorders>
            <w:shd w:val="clear" w:color="auto" w:fill="29650B"/>
          </w:tcPr>
          <w:p>
            <w:pPr>
              <w:spacing w:after="0"/>
              <w:rPr>
                <w:sz w:val="17"/>
                <w:szCs w:val="17"/>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Termination upon</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Good Reason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w w:val="99"/>
              </w:rPr>
              <w:t>Termination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Termination without Cause or</w:t>
            </w:r>
          </w:p>
        </w:tc>
      </w:tr>
      <w:tr>
        <w:trPr>
          <w:trHeight w:val="203"/>
        </w:trPr>
        <w:tc>
          <w:tcPr>
            <w:tcW w:w="1720" w:type="dxa"/>
            <w:vAlign w:val="bottom"/>
            <w:tcBorders>
              <w:left w:val="single" w:sz="8" w:color="auto"/>
              <w:right w:val="single" w:sz="8" w:color="auto"/>
            </w:tcBorders>
            <w:shd w:val="clear" w:color="auto" w:fill="29650B"/>
          </w:tcPr>
          <w:p>
            <w:pPr>
              <w:spacing w:after="0"/>
              <w:rPr>
                <w:sz w:val="17"/>
                <w:szCs w:val="17"/>
                <w:color w:val="auto"/>
              </w:rPr>
            </w:pPr>
          </w:p>
        </w:tc>
        <w:tc>
          <w:tcPr>
            <w:tcW w:w="2020" w:type="dxa"/>
            <w:vAlign w:val="bottom"/>
            <w:tcBorders>
              <w:right w:val="single" w:sz="8" w:color="auto"/>
            </w:tcBorders>
            <w:shd w:val="clear" w:color="auto" w:fill="29650B"/>
          </w:tcPr>
          <w:p>
            <w:pPr>
              <w:spacing w:after="0"/>
              <w:rPr>
                <w:sz w:val="17"/>
                <w:szCs w:val="17"/>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Retirement,</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prior to a</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without Cause prior</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Resignation for Good</w:t>
            </w:r>
          </w:p>
        </w:tc>
      </w:tr>
      <w:tr>
        <w:trPr>
          <w:trHeight w:val="203"/>
        </w:trPr>
        <w:tc>
          <w:tcPr>
            <w:tcW w:w="1720" w:type="dxa"/>
            <w:vAlign w:val="bottom"/>
            <w:tcBorders>
              <w:left w:val="single" w:sz="8" w:color="auto"/>
              <w:right w:val="single" w:sz="8" w:color="auto"/>
            </w:tcBorders>
            <w:shd w:val="clear" w:color="auto" w:fill="29650B"/>
          </w:tcPr>
          <w:p>
            <w:pPr>
              <w:spacing w:after="0"/>
              <w:rPr>
                <w:sz w:val="17"/>
                <w:szCs w:val="17"/>
                <w:color w:val="auto"/>
              </w:rPr>
            </w:pPr>
          </w:p>
        </w:tc>
        <w:tc>
          <w:tcPr>
            <w:tcW w:w="2020" w:type="dxa"/>
            <w:vAlign w:val="bottom"/>
            <w:tcBorders>
              <w:right w:val="single" w:sz="8" w:color="auto"/>
            </w:tcBorders>
            <w:shd w:val="clear" w:color="auto" w:fill="29650B"/>
          </w:tcPr>
          <w:p>
            <w:pPr>
              <w:spacing w:after="0"/>
              <w:rPr>
                <w:sz w:val="17"/>
                <w:szCs w:val="17"/>
                <w:color w:val="auto"/>
              </w:rPr>
            </w:pP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Disability or</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Change in</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to a Change in</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Reason after a Change</w:t>
            </w:r>
          </w:p>
        </w:tc>
      </w:tr>
      <w:tr>
        <w:trPr>
          <w:trHeight w:val="203"/>
        </w:trPr>
        <w:tc>
          <w:tcPr>
            <w:tcW w:w="1720" w:type="dxa"/>
            <w:vAlign w:val="bottom"/>
            <w:tcBorders>
              <w:left w:val="single" w:sz="8" w:color="auto"/>
              <w:right w:val="single" w:sz="8" w:color="auto"/>
            </w:tcBorders>
            <w:shd w:val="clear" w:color="auto" w:fill="29650B"/>
          </w:tcPr>
          <w:p>
            <w:pPr>
              <w:ind w:left="660"/>
              <w:spacing w:after="0"/>
              <w:rPr>
                <w:sz w:val="20"/>
                <w:szCs w:val="20"/>
                <w:color w:val="auto"/>
              </w:rPr>
            </w:pPr>
            <w:r>
              <w:rPr>
                <w:rFonts w:ascii="Times New Roman" w:cs="Times New Roman" w:eastAsia="Times New Roman" w:hAnsi="Times New Roman"/>
                <w:sz w:val="16"/>
                <w:szCs w:val="16"/>
                <w:b w:val="1"/>
                <w:bCs w:val="1"/>
                <w:color w:val="FFFFFF"/>
              </w:rPr>
              <w:t>Name</w:t>
            </w:r>
          </w:p>
        </w:tc>
        <w:tc>
          <w:tcPr>
            <w:tcW w:w="2020" w:type="dxa"/>
            <w:vAlign w:val="bottom"/>
            <w:tcBorders>
              <w:right w:val="single" w:sz="8" w:color="auto"/>
            </w:tcBorders>
            <w:shd w:val="clear" w:color="auto" w:fill="29650B"/>
          </w:tcPr>
          <w:p>
            <w:pPr>
              <w:ind w:left="740"/>
              <w:spacing w:after="0"/>
              <w:rPr>
                <w:sz w:val="20"/>
                <w:szCs w:val="20"/>
                <w:color w:val="auto"/>
              </w:rPr>
            </w:pPr>
            <w:r>
              <w:rPr>
                <w:rFonts w:ascii="Times New Roman" w:cs="Times New Roman" w:eastAsia="Times New Roman" w:hAnsi="Times New Roman"/>
                <w:sz w:val="16"/>
                <w:szCs w:val="16"/>
                <w:b w:val="1"/>
                <w:bCs w:val="1"/>
                <w:color w:val="FFFFFF"/>
              </w:rPr>
              <w:t>Benefit</w:t>
            </w:r>
          </w:p>
        </w:tc>
        <w:tc>
          <w:tcPr>
            <w:tcW w:w="16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Death (1)</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Control</w:t>
            </w:r>
          </w:p>
        </w:tc>
        <w:tc>
          <w:tcPr>
            <w:tcW w:w="17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Control</w:t>
            </w:r>
          </w:p>
        </w:tc>
        <w:tc>
          <w:tcPr>
            <w:tcW w:w="2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rPr>
              <w:t>in Control (2)</w:t>
            </w:r>
          </w:p>
        </w:tc>
      </w:tr>
      <w:tr>
        <w:trPr>
          <w:trHeight w:val="215"/>
        </w:trPr>
        <w:tc>
          <w:tcPr>
            <w:tcW w:w="1720" w:type="dxa"/>
            <w:vAlign w:val="bottom"/>
            <w:tcBorders>
              <w:left w:val="single" w:sz="8" w:color="auto"/>
              <w:bottom w:val="single" w:sz="8" w:color="auto"/>
              <w:right w:val="single" w:sz="8" w:color="auto"/>
            </w:tcBorders>
            <w:shd w:val="clear" w:color="auto" w:fill="29650B"/>
          </w:tcPr>
          <w:p>
            <w:pPr>
              <w:spacing w:after="0"/>
              <w:rPr>
                <w:sz w:val="18"/>
                <w:szCs w:val="18"/>
                <w:color w:val="auto"/>
              </w:rPr>
            </w:pPr>
          </w:p>
        </w:tc>
        <w:tc>
          <w:tcPr>
            <w:tcW w:w="2020" w:type="dxa"/>
            <w:vAlign w:val="bottom"/>
            <w:tcBorders>
              <w:bottom w:val="single" w:sz="8" w:color="auto"/>
              <w:right w:val="single" w:sz="8" w:color="auto"/>
            </w:tcBorders>
            <w:shd w:val="clear" w:color="auto" w:fill="29650B"/>
          </w:tcPr>
          <w:p>
            <w:pPr>
              <w:spacing w:after="0"/>
              <w:rPr>
                <w:sz w:val="18"/>
                <w:szCs w:val="18"/>
                <w:color w:val="auto"/>
              </w:rPr>
            </w:pPr>
          </w:p>
        </w:tc>
        <w:tc>
          <w:tcPr>
            <w:tcW w:w="16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5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178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2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6"/>
                <w:szCs w:val="16"/>
                <w:b w:val="1"/>
                <w:bCs w:val="1"/>
                <w:color w:val="FFFFFF"/>
                <w:w w:val="96"/>
              </w:rPr>
              <w:t>($)</w:t>
            </w:r>
          </w:p>
        </w:tc>
      </w:tr>
      <w:tr>
        <w:trPr>
          <w:trHeight w:val="233"/>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Timothy Donahue</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Salary:</w:t>
            </w: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4,350,000</w:t>
            </w:r>
          </w:p>
        </w:tc>
        <w:tc>
          <w:tcPr>
            <w:tcW w:w="17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4,350,000</w:t>
            </w:r>
          </w:p>
        </w:tc>
        <w:tc>
          <w:tcPr>
            <w:tcW w:w="246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4,350,000</w:t>
            </w:r>
          </w:p>
        </w:tc>
      </w:tr>
      <w:tr>
        <w:trPr>
          <w:trHeight w:val="235"/>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Bonus:</w:t>
            </w:r>
          </w:p>
        </w:tc>
        <w:tc>
          <w:tcPr>
            <w:tcW w:w="16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4,205,000</w:t>
            </w:r>
          </w:p>
        </w:tc>
        <w:tc>
          <w:tcPr>
            <w:tcW w:w="1580" w:type="dxa"/>
            <w:vAlign w:val="bottom"/>
            <w:tcBorders>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10,512,500</w:t>
            </w:r>
          </w:p>
        </w:tc>
        <w:tc>
          <w:tcPr>
            <w:tcW w:w="17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10,512,500</w:t>
            </w:r>
          </w:p>
        </w:tc>
        <w:tc>
          <w:tcPr>
            <w:tcW w:w="246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7,552,957</w:t>
            </w:r>
          </w:p>
        </w:tc>
      </w:tr>
      <w:tr>
        <w:trPr>
          <w:trHeight w:val="203"/>
        </w:trPr>
        <w:tc>
          <w:tcPr>
            <w:tcW w:w="17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Accelerated Restricted</w:t>
            </w: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r>
      <w:tr>
        <w:trPr>
          <w:trHeight w:val="213"/>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Stock Vesting: (3)</w:t>
            </w:r>
          </w:p>
        </w:tc>
        <w:tc>
          <w:tcPr>
            <w:tcW w:w="16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6,851,727</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25,872,860</w:t>
            </w:r>
          </w:p>
        </w:tc>
      </w:tr>
      <w:tr>
        <w:trPr>
          <w:trHeight w:val="223"/>
        </w:trPr>
        <w:tc>
          <w:tcPr>
            <w:tcW w:w="1720" w:type="dxa"/>
            <w:vAlign w:val="bottom"/>
            <w:tcBorders>
              <w:left w:val="single" w:sz="8" w:color="auto"/>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11,056,727</w:t>
            </w:r>
          </w:p>
        </w:tc>
        <w:tc>
          <w:tcPr>
            <w:tcW w:w="1580" w:type="dxa"/>
            <w:vAlign w:val="bottom"/>
            <w:tcBorders>
              <w:bottom w:val="single" w:sz="8" w:color="auto"/>
              <w:right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14,862,500</w:t>
            </w: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14,862,500</w:t>
            </w:r>
          </w:p>
        </w:tc>
        <w:tc>
          <w:tcPr>
            <w:tcW w:w="246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37,775,817</w:t>
            </w:r>
          </w:p>
        </w:tc>
      </w:tr>
      <w:tr>
        <w:trPr>
          <w:trHeight w:val="233"/>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6"/>
                <w:szCs w:val="16"/>
                <w:color w:val="auto"/>
              </w:rPr>
              <w:t>Kevin Clothier</w:t>
            </w: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color w:val="auto"/>
              </w:rPr>
              <w:t>Salary:</w:t>
            </w:r>
          </w:p>
        </w:tc>
        <w:tc>
          <w:tcPr>
            <w:tcW w:w="1680" w:type="dxa"/>
            <w:vAlign w:val="bottom"/>
            <w:tcBorders>
              <w:right w:val="single" w:sz="8" w:color="auto"/>
            </w:tcBorders>
            <w:shd w:val="clear" w:color="auto" w:fill="D9D9D9"/>
          </w:tcPr>
          <w:p>
            <w:pPr>
              <w:spacing w:after="0"/>
              <w:rPr>
                <w:sz w:val="20"/>
                <w:szCs w:val="20"/>
                <w:color w:val="auto"/>
              </w:rPr>
            </w:pPr>
          </w:p>
        </w:tc>
        <w:tc>
          <w:tcPr>
            <w:tcW w:w="1580" w:type="dxa"/>
            <w:vAlign w:val="bottom"/>
            <w:tcBorders>
              <w:right w:val="single" w:sz="8" w:color="auto"/>
            </w:tcBorders>
            <w:shd w:val="clear" w:color="auto" w:fill="D9D9D9"/>
          </w:tcPr>
          <w:p>
            <w:pPr>
              <w:spacing w:after="0"/>
              <w:rPr>
                <w:sz w:val="20"/>
                <w:szCs w:val="20"/>
                <w:color w:val="auto"/>
              </w:rPr>
            </w:pPr>
          </w:p>
        </w:tc>
        <w:tc>
          <w:tcPr>
            <w:tcW w:w="1780" w:type="dxa"/>
            <w:vAlign w:val="bottom"/>
            <w:tcBorders>
              <w:right w:val="single" w:sz="8" w:color="auto"/>
            </w:tcBorders>
            <w:shd w:val="clear" w:color="auto" w:fill="D9D9D9"/>
          </w:tcPr>
          <w:p>
            <w:pPr>
              <w:jc w:val="right"/>
              <w:ind w:right="59"/>
              <w:spacing w:after="0"/>
              <w:rPr>
                <w:sz w:val="20"/>
                <w:szCs w:val="20"/>
                <w:color w:val="auto"/>
              </w:rPr>
            </w:pPr>
            <w:r>
              <w:rPr>
                <w:rFonts w:ascii="Times New Roman" w:cs="Times New Roman" w:eastAsia="Times New Roman" w:hAnsi="Times New Roman"/>
                <w:sz w:val="16"/>
                <w:szCs w:val="16"/>
                <w:color w:val="auto"/>
              </w:rPr>
              <w:t>805,000</w:t>
            </w:r>
          </w:p>
        </w:tc>
        <w:tc>
          <w:tcPr>
            <w:tcW w:w="2460" w:type="dxa"/>
            <w:vAlign w:val="bottom"/>
            <w:tcBorders>
              <w:right w:val="single" w:sz="8" w:color="auto"/>
            </w:tcBorders>
            <w:shd w:val="clear" w:color="auto" w:fill="D9D9D9"/>
          </w:tcPr>
          <w:p>
            <w:pPr>
              <w:jc w:val="right"/>
              <w:ind w:right="239"/>
              <w:spacing w:after="0"/>
              <w:rPr>
                <w:sz w:val="20"/>
                <w:szCs w:val="20"/>
                <w:color w:val="auto"/>
              </w:rPr>
            </w:pPr>
            <w:r>
              <w:rPr>
                <w:rFonts w:ascii="Times New Roman" w:cs="Times New Roman" w:eastAsia="Times New Roman" w:hAnsi="Times New Roman"/>
                <w:sz w:val="16"/>
                <w:szCs w:val="16"/>
                <w:color w:val="auto"/>
              </w:rPr>
              <w:t>2,415,000</w:t>
            </w:r>
          </w:p>
        </w:tc>
      </w:tr>
      <w:tr>
        <w:trPr>
          <w:trHeight w:val="243"/>
        </w:trPr>
        <w:tc>
          <w:tcPr>
            <w:tcW w:w="1720" w:type="dxa"/>
            <w:vAlign w:val="bottom"/>
            <w:tcBorders>
              <w:left w:val="single" w:sz="8" w:color="auto"/>
              <w:right w:val="single" w:sz="8" w:color="auto"/>
            </w:tcBorders>
            <w:shd w:val="clear" w:color="auto" w:fill="D9D9D9"/>
          </w:tcPr>
          <w:p>
            <w:pPr>
              <w:spacing w:after="0"/>
              <w:rPr>
                <w:sz w:val="21"/>
                <w:szCs w:val="21"/>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color w:val="auto"/>
              </w:rPr>
              <w:t>Bonus:</w:t>
            </w:r>
          </w:p>
        </w:tc>
        <w:tc>
          <w:tcPr>
            <w:tcW w:w="1680" w:type="dxa"/>
            <w:vAlign w:val="bottom"/>
            <w:tcBorders>
              <w:right w:val="single" w:sz="8" w:color="auto"/>
            </w:tcBorders>
            <w:shd w:val="clear" w:color="auto" w:fill="D9D9D9"/>
          </w:tcPr>
          <w:p>
            <w:pPr>
              <w:jc w:val="right"/>
              <w:ind w:right="39"/>
              <w:spacing w:after="0"/>
              <w:rPr>
                <w:sz w:val="20"/>
                <w:szCs w:val="20"/>
                <w:color w:val="auto"/>
              </w:rPr>
            </w:pPr>
            <w:r>
              <w:rPr>
                <w:rFonts w:ascii="Times New Roman" w:cs="Times New Roman" w:eastAsia="Times New Roman" w:hAnsi="Times New Roman"/>
                <w:sz w:val="16"/>
                <w:szCs w:val="16"/>
                <w:color w:val="auto"/>
              </w:rPr>
              <w:t>1,449,000</w:t>
            </w:r>
          </w:p>
        </w:tc>
        <w:tc>
          <w:tcPr>
            <w:tcW w:w="1580" w:type="dxa"/>
            <w:vAlign w:val="bottom"/>
            <w:tcBorders>
              <w:right w:val="single" w:sz="8" w:color="auto"/>
            </w:tcBorders>
            <w:shd w:val="clear" w:color="auto" w:fill="D9D9D9"/>
          </w:tcPr>
          <w:p>
            <w:pPr>
              <w:spacing w:after="0"/>
              <w:rPr>
                <w:sz w:val="21"/>
                <w:szCs w:val="21"/>
                <w:color w:val="auto"/>
              </w:rPr>
            </w:pPr>
          </w:p>
        </w:tc>
        <w:tc>
          <w:tcPr>
            <w:tcW w:w="1780" w:type="dxa"/>
            <w:vAlign w:val="bottom"/>
            <w:tcBorders>
              <w:right w:val="single" w:sz="8" w:color="auto"/>
            </w:tcBorders>
            <w:shd w:val="clear" w:color="auto" w:fill="D9D9D9"/>
          </w:tcPr>
          <w:p>
            <w:pPr>
              <w:jc w:val="right"/>
              <w:ind w:right="59"/>
              <w:spacing w:after="0"/>
              <w:rPr>
                <w:sz w:val="20"/>
                <w:szCs w:val="20"/>
                <w:color w:val="auto"/>
              </w:rPr>
            </w:pPr>
            <w:r>
              <w:rPr>
                <w:rFonts w:ascii="Times New Roman" w:cs="Times New Roman" w:eastAsia="Times New Roman" w:hAnsi="Times New Roman"/>
                <w:sz w:val="16"/>
                <w:szCs w:val="16"/>
                <w:color w:val="auto"/>
              </w:rPr>
              <w:t>1,449,000</w:t>
            </w:r>
          </w:p>
        </w:tc>
        <w:tc>
          <w:tcPr>
            <w:tcW w:w="2460" w:type="dxa"/>
            <w:vAlign w:val="bottom"/>
            <w:tcBorders>
              <w:right w:val="single" w:sz="8" w:color="auto"/>
            </w:tcBorders>
            <w:shd w:val="clear" w:color="auto" w:fill="D9D9D9"/>
          </w:tcPr>
          <w:p>
            <w:pPr>
              <w:jc w:val="right"/>
              <w:ind w:right="239"/>
              <w:spacing w:after="0"/>
              <w:rPr>
                <w:sz w:val="20"/>
                <w:szCs w:val="20"/>
                <w:color w:val="auto"/>
              </w:rPr>
            </w:pPr>
            <w:r>
              <w:rPr>
                <w:rFonts w:ascii="Times New Roman" w:cs="Times New Roman" w:eastAsia="Times New Roman" w:hAnsi="Times New Roman"/>
                <w:sz w:val="16"/>
                <w:szCs w:val="16"/>
                <w:color w:val="auto"/>
              </w:rPr>
              <w:t>2,088,220</w:t>
            </w:r>
          </w:p>
        </w:tc>
      </w:tr>
      <w:tr>
        <w:trPr>
          <w:trHeight w:val="235"/>
        </w:trPr>
        <w:tc>
          <w:tcPr>
            <w:tcW w:w="1720" w:type="dxa"/>
            <w:vAlign w:val="bottom"/>
            <w:tcBorders>
              <w:left w:val="single" w:sz="8" w:color="auto"/>
              <w:right w:val="single" w:sz="8" w:color="auto"/>
            </w:tcBorders>
            <w:shd w:val="clear" w:color="auto" w:fill="D9D9D9"/>
          </w:tcPr>
          <w:p>
            <w:pPr>
              <w:spacing w:after="0"/>
              <w:rPr>
                <w:sz w:val="20"/>
                <w:szCs w:val="20"/>
                <w:color w:val="auto"/>
              </w:rPr>
            </w:pPr>
          </w:p>
        </w:tc>
        <w:tc>
          <w:tcPr>
            <w:tcW w:w="202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6"/>
                <w:szCs w:val="16"/>
                <w:color w:val="auto"/>
              </w:rPr>
              <w:t>Accelerated Restricted</w:t>
            </w:r>
          </w:p>
        </w:tc>
        <w:tc>
          <w:tcPr>
            <w:tcW w:w="1680" w:type="dxa"/>
            <w:vAlign w:val="bottom"/>
            <w:tcBorders>
              <w:right w:val="single" w:sz="8" w:color="auto"/>
            </w:tcBorders>
            <w:shd w:val="clear" w:color="auto" w:fill="D9D9D9"/>
          </w:tcPr>
          <w:p>
            <w:pPr>
              <w:spacing w:after="0"/>
              <w:rPr>
                <w:sz w:val="20"/>
                <w:szCs w:val="20"/>
                <w:color w:val="auto"/>
              </w:rPr>
            </w:pPr>
          </w:p>
        </w:tc>
        <w:tc>
          <w:tcPr>
            <w:tcW w:w="1580" w:type="dxa"/>
            <w:vAlign w:val="bottom"/>
            <w:tcBorders>
              <w:right w:val="single" w:sz="8" w:color="auto"/>
            </w:tcBorders>
            <w:shd w:val="clear" w:color="auto" w:fill="D9D9D9"/>
          </w:tcPr>
          <w:p>
            <w:pPr>
              <w:spacing w:after="0"/>
              <w:rPr>
                <w:sz w:val="20"/>
                <w:szCs w:val="20"/>
                <w:color w:val="auto"/>
              </w:rPr>
            </w:pPr>
          </w:p>
        </w:tc>
        <w:tc>
          <w:tcPr>
            <w:tcW w:w="1780" w:type="dxa"/>
            <w:vAlign w:val="bottom"/>
            <w:tcBorders>
              <w:right w:val="single" w:sz="8" w:color="auto"/>
            </w:tcBorders>
            <w:shd w:val="clear" w:color="auto" w:fill="D9D9D9"/>
          </w:tcPr>
          <w:p>
            <w:pPr>
              <w:spacing w:after="0"/>
              <w:rPr>
                <w:sz w:val="20"/>
                <w:szCs w:val="20"/>
                <w:color w:val="auto"/>
              </w:rPr>
            </w:pPr>
          </w:p>
        </w:tc>
        <w:tc>
          <w:tcPr>
            <w:tcW w:w="2460" w:type="dxa"/>
            <w:vAlign w:val="bottom"/>
            <w:tcBorders>
              <w:right w:val="single" w:sz="8" w:color="auto"/>
            </w:tcBorders>
            <w:shd w:val="clear" w:color="auto" w:fill="D9D9D9"/>
          </w:tcPr>
          <w:p>
            <w:pPr>
              <w:spacing w:after="0"/>
              <w:rPr>
                <w:sz w:val="20"/>
                <w:szCs w:val="20"/>
                <w:color w:val="auto"/>
              </w:rPr>
            </w:pPr>
          </w:p>
        </w:tc>
      </w:tr>
      <w:tr>
        <w:trPr>
          <w:trHeight w:val="213"/>
        </w:trPr>
        <w:tc>
          <w:tcPr>
            <w:tcW w:w="1720" w:type="dxa"/>
            <w:vAlign w:val="bottom"/>
            <w:tcBorders>
              <w:left w:val="single" w:sz="8" w:color="auto"/>
              <w:bottom w:val="single" w:sz="8" w:color="D9D9D9"/>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6"/>
                <w:szCs w:val="16"/>
                <w:color w:val="auto"/>
              </w:rPr>
              <w:t>Stock Vesting: (3)</w:t>
            </w:r>
          </w:p>
        </w:tc>
        <w:tc>
          <w:tcPr>
            <w:tcW w:w="1680" w:type="dxa"/>
            <w:vAlign w:val="bottom"/>
            <w:tcBorders>
              <w:bottom w:val="single" w:sz="8" w:color="auto"/>
              <w:right w:val="single" w:sz="8" w:color="auto"/>
            </w:tcBorders>
            <w:shd w:val="clear" w:color="auto" w:fill="D9D9D9"/>
          </w:tcPr>
          <w:p>
            <w:pPr>
              <w:jc w:val="right"/>
              <w:ind w:right="39"/>
              <w:spacing w:after="0"/>
              <w:rPr>
                <w:sz w:val="20"/>
                <w:szCs w:val="20"/>
                <w:color w:val="auto"/>
              </w:rPr>
            </w:pPr>
            <w:r>
              <w:rPr>
                <w:rFonts w:ascii="Times New Roman" w:cs="Times New Roman" w:eastAsia="Times New Roman" w:hAnsi="Times New Roman"/>
                <w:sz w:val="16"/>
                <w:szCs w:val="16"/>
                <w:color w:val="auto"/>
              </w:rPr>
              <w:t>1,479,061</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spacing w:after="0"/>
              <w:rPr>
                <w:sz w:val="18"/>
                <w:szCs w:val="18"/>
                <w:color w:val="auto"/>
              </w:rPr>
            </w:pPr>
          </w:p>
        </w:tc>
        <w:tc>
          <w:tcPr>
            <w:tcW w:w="2460" w:type="dxa"/>
            <w:vAlign w:val="bottom"/>
            <w:tcBorders>
              <w:bottom w:val="single" w:sz="8" w:color="auto"/>
              <w:right w:val="single" w:sz="8" w:color="auto"/>
            </w:tcBorders>
            <w:shd w:val="clear" w:color="auto" w:fill="D9D9D9"/>
          </w:tcPr>
          <w:p>
            <w:pPr>
              <w:jc w:val="right"/>
              <w:ind w:right="239"/>
              <w:spacing w:after="0"/>
              <w:rPr>
                <w:sz w:val="20"/>
                <w:szCs w:val="20"/>
                <w:color w:val="auto"/>
              </w:rPr>
            </w:pPr>
            <w:r>
              <w:rPr>
                <w:rFonts w:ascii="Times New Roman" w:cs="Times New Roman" w:eastAsia="Times New Roman" w:hAnsi="Times New Roman"/>
                <w:sz w:val="16"/>
                <w:szCs w:val="16"/>
                <w:color w:val="auto"/>
              </w:rPr>
              <w:t>5,368,032</w:t>
            </w:r>
          </w:p>
        </w:tc>
      </w:tr>
      <w:tr>
        <w:trPr>
          <w:trHeight w:val="236"/>
        </w:trPr>
        <w:tc>
          <w:tcPr>
            <w:tcW w:w="172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right w:val="single" w:sz="8" w:color="auto"/>
            </w:tcBorders>
            <w:shd w:val="clear" w:color="auto" w:fill="D9D9D9"/>
          </w:tcPr>
          <w:p>
            <w:pPr>
              <w:jc w:val="right"/>
              <w:ind w:right="39"/>
              <w:spacing w:after="0"/>
              <w:rPr>
                <w:sz w:val="20"/>
                <w:szCs w:val="20"/>
                <w:color w:val="auto"/>
              </w:rPr>
            </w:pPr>
            <w:r>
              <w:rPr>
                <w:rFonts w:ascii="Times New Roman" w:cs="Times New Roman" w:eastAsia="Times New Roman" w:hAnsi="Times New Roman"/>
                <w:sz w:val="16"/>
                <w:szCs w:val="16"/>
                <w:color w:val="auto"/>
              </w:rPr>
              <w:t>2,928,061</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jc w:val="right"/>
              <w:ind w:right="59"/>
              <w:spacing w:after="0"/>
              <w:rPr>
                <w:sz w:val="20"/>
                <w:szCs w:val="20"/>
                <w:color w:val="auto"/>
              </w:rPr>
            </w:pPr>
            <w:r>
              <w:rPr>
                <w:rFonts w:ascii="Times New Roman" w:cs="Times New Roman" w:eastAsia="Times New Roman" w:hAnsi="Times New Roman"/>
                <w:sz w:val="16"/>
                <w:szCs w:val="16"/>
                <w:color w:val="auto"/>
              </w:rPr>
              <w:t>2,254,000</w:t>
            </w:r>
          </w:p>
        </w:tc>
        <w:tc>
          <w:tcPr>
            <w:tcW w:w="2460" w:type="dxa"/>
            <w:vAlign w:val="bottom"/>
            <w:tcBorders>
              <w:bottom w:val="single" w:sz="8" w:color="auto"/>
              <w:right w:val="single" w:sz="8" w:color="auto"/>
            </w:tcBorders>
            <w:shd w:val="clear" w:color="auto" w:fill="D9D9D9"/>
          </w:tcPr>
          <w:p>
            <w:pPr>
              <w:jc w:val="right"/>
              <w:ind w:right="239"/>
              <w:spacing w:after="0"/>
              <w:rPr>
                <w:sz w:val="20"/>
                <w:szCs w:val="20"/>
                <w:color w:val="auto"/>
              </w:rPr>
            </w:pPr>
            <w:r>
              <w:rPr>
                <w:rFonts w:ascii="Times New Roman" w:cs="Times New Roman" w:eastAsia="Times New Roman" w:hAnsi="Times New Roman"/>
                <w:sz w:val="16"/>
                <w:szCs w:val="16"/>
                <w:color w:val="auto"/>
              </w:rPr>
              <w:t>9,871,252</w:t>
            </w:r>
          </w:p>
        </w:tc>
      </w:tr>
      <w:tr>
        <w:trPr>
          <w:trHeight w:val="234"/>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Gerard Gifford</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Salary:</w:t>
            </w: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972,000</w:t>
            </w:r>
          </w:p>
        </w:tc>
        <w:tc>
          <w:tcPr>
            <w:tcW w:w="246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2,916,000</w:t>
            </w:r>
          </w:p>
        </w:tc>
      </w:tr>
      <w:tr>
        <w:trPr>
          <w:trHeight w:val="243"/>
        </w:trPr>
        <w:tc>
          <w:tcPr>
            <w:tcW w:w="1720" w:type="dxa"/>
            <w:vAlign w:val="bottom"/>
            <w:tcBorders>
              <w:left w:val="single" w:sz="8" w:color="auto"/>
              <w:right w:val="single" w:sz="8" w:color="auto"/>
            </w:tcBorders>
          </w:tcPr>
          <w:p>
            <w:pPr>
              <w:spacing w:after="0"/>
              <w:rPr>
                <w:sz w:val="21"/>
                <w:szCs w:val="21"/>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Bonus:</w:t>
            </w:r>
          </w:p>
        </w:tc>
        <w:tc>
          <w:tcPr>
            <w:tcW w:w="16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1,069,200</w:t>
            </w:r>
          </w:p>
        </w:tc>
        <w:tc>
          <w:tcPr>
            <w:tcW w:w="1580" w:type="dxa"/>
            <w:vAlign w:val="bottom"/>
            <w:tcBorders>
              <w:right w:val="single" w:sz="8" w:color="auto"/>
            </w:tcBorders>
          </w:tcPr>
          <w:p>
            <w:pPr>
              <w:spacing w:after="0"/>
              <w:rPr>
                <w:sz w:val="21"/>
                <w:szCs w:val="21"/>
                <w:color w:val="auto"/>
              </w:rPr>
            </w:pPr>
          </w:p>
        </w:tc>
        <w:tc>
          <w:tcPr>
            <w:tcW w:w="17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1,069,200</w:t>
            </w:r>
          </w:p>
        </w:tc>
        <w:tc>
          <w:tcPr>
            <w:tcW w:w="246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3,726,228</w:t>
            </w:r>
          </w:p>
        </w:tc>
      </w:tr>
      <w:tr>
        <w:trPr>
          <w:trHeight w:val="235"/>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Accelerated Restricted</w:t>
            </w: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2460" w:type="dxa"/>
            <w:vAlign w:val="bottom"/>
            <w:tcBorders>
              <w:right w:val="single" w:sz="8" w:color="auto"/>
            </w:tcBorders>
          </w:tcPr>
          <w:p>
            <w:pPr>
              <w:spacing w:after="0"/>
              <w:rPr>
                <w:sz w:val="20"/>
                <w:szCs w:val="20"/>
                <w:color w:val="auto"/>
              </w:rPr>
            </w:pPr>
          </w:p>
        </w:tc>
      </w:tr>
      <w:tr>
        <w:trPr>
          <w:trHeight w:val="213"/>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Stock Vesting: (3)</w:t>
            </w:r>
          </w:p>
        </w:tc>
        <w:tc>
          <w:tcPr>
            <w:tcW w:w="16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2,695,652</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10,196,089</w:t>
            </w:r>
          </w:p>
        </w:tc>
      </w:tr>
      <w:tr>
        <w:trPr>
          <w:trHeight w:val="237"/>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3,764,852</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2,041,200</w:t>
            </w:r>
          </w:p>
        </w:tc>
        <w:tc>
          <w:tcPr>
            <w:tcW w:w="246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16,838,317</w:t>
            </w:r>
          </w:p>
        </w:tc>
      </w:tr>
      <w:tr>
        <w:trPr>
          <w:trHeight w:val="233"/>
        </w:trPr>
        <w:tc>
          <w:tcPr>
            <w:tcW w:w="1720" w:type="dxa"/>
            <w:vAlign w:val="bottom"/>
            <w:tcBorders>
              <w:left w:val="single" w:sz="8" w:color="auto"/>
              <w:right w:val="single" w:sz="8" w:color="auto"/>
            </w:tcBorders>
            <w:shd w:val="clear" w:color="auto" w:fill="D9D9D9"/>
          </w:tcPr>
          <w:p>
            <w:pPr>
              <w:ind w:left="120"/>
              <w:spacing w:after="0"/>
              <w:rPr>
                <w:sz w:val="20"/>
                <w:szCs w:val="20"/>
                <w:color w:val="auto"/>
              </w:rPr>
            </w:pPr>
            <w:r>
              <w:rPr>
                <w:rFonts w:ascii="Times New Roman" w:cs="Times New Roman" w:eastAsia="Times New Roman" w:hAnsi="Times New Roman"/>
                <w:sz w:val="16"/>
                <w:szCs w:val="16"/>
                <w:color w:val="auto"/>
              </w:rPr>
              <w:t>Djalma Novaes</w:t>
            </w: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color w:val="auto"/>
              </w:rPr>
              <w:t>Salary:</w:t>
            </w:r>
          </w:p>
        </w:tc>
        <w:tc>
          <w:tcPr>
            <w:tcW w:w="1680" w:type="dxa"/>
            <w:vAlign w:val="bottom"/>
            <w:tcBorders>
              <w:right w:val="single" w:sz="8" w:color="auto"/>
            </w:tcBorders>
            <w:shd w:val="clear" w:color="auto" w:fill="D9D9D9"/>
          </w:tcPr>
          <w:p>
            <w:pPr>
              <w:spacing w:after="0"/>
              <w:rPr>
                <w:sz w:val="20"/>
                <w:szCs w:val="20"/>
                <w:color w:val="auto"/>
              </w:rPr>
            </w:pPr>
          </w:p>
        </w:tc>
        <w:tc>
          <w:tcPr>
            <w:tcW w:w="1580" w:type="dxa"/>
            <w:vAlign w:val="bottom"/>
            <w:tcBorders>
              <w:right w:val="single" w:sz="8" w:color="auto"/>
            </w:tcBorders>
            <w:shd w:val="clear" w:color="auto" w:fill="D9D9D9"/>
          </w:tcPr>
          <w:p>
            <w:pPr>
              <w:spacing w:after="0"/>
              <w:rPr>
                <w:sz w:val="20"/>
                <w:szCs w:val="20"/>
                <w:color w:val="auto"/>
              </w:rPr>
            </w:pPr>
          </w:p>
        </w:tc>
        <w:tc>
          <w:tcPr>
            <w:tcW w:w="1780" w:type="dxa"/>
            <w:vAlign w:val="bottom"/>
            <w:tcBorders>
              <w:right w:val="single" w:sz="8" w:color="auto"/>
            </w:tcBorders>
            <w:shd w:val="clear" w:color="auto" w:fill="D9D9D9"/>
          </w:tcPr>
          <w:p>
            <w:pPr>
              <w:jc w:val="right"/>
              <w:ind w:right="59"/>
              <w:spacing w:after="0"/>
              <w:rPr>
                <w:sz w:val="20"/>
                <w:szCs w:val="20"/>
                <w:color w:val="auto"/>
              </w:rPr>
            </w:pPr>
            <w:r>
              <w:rPr>
                <w:rFonts w:ascii="Times New Roman" w:cs="Times New Roman" w:eastAsia="Times New Roman" w:hAnsi="Times New Roman"/>
                <w:sz w:val="16"/>
                <w:szCs w:val="16"/>
                <w:color w:val="auto"/>
              </w:rPr>
              <w:t>800,000</w:t>
            </w:r>
          </w:p>
        </w:tc>
        <w:tc>
          <w:tcPr>
            <w:tcW w:w="2460" w:type="dxa"/>
            <w:vAlign w:val="bottom"/>
            <w:tcBorders>
              <w:right w:val="single" w:sz="8" w:color="auto"/>
            </w:tcBorders>
            <w:shd w:val="clear" w:color="auto" w:fill="D9D9D9"/>
          </w:tcPr>
          <w:p>
            <w:pPr>
              <w:jc w:val="right"/>
              <w:ind w:right="239"/>
              <w:spacing w:after="0"/>
              <w:rPr>
                <w:sz w:val="20"/>
                <w:szCs w:val="20"/>
                <w:color w:val="auto"/>
              </w:rPr>
            </w:pPr>
            <w:r>
              <w:rPr>
                <w:rFonts w:ascii="Times New Roman" w:cs="Times New Roman" w:eastAsia="Times New Roman" w:hAnsi="Times New Roman"/>
                <w:sz w:val="16"/>
                <w:szCs w:val="16"/>
                <w:color w:val="auto"/>
              </w:rPr>
              <w:t>2,392,000</w:t>
            </w:r>
          </w:p>
        </w:tc>
      </w:tr>
      <w:tr>
        <w:trPr>
          <w:trHeight w:val="243"/>
        </w:trPr>
        <w:tc>
          <w:tcPr>
            <w:tcW w:w="1720" w:type="dxa"/>
            <w:vAlign w:val="bottom"/>
            <w:tcBorders>
              <w:left w:val="single" w:sz="8" w:color="auto"/>
              <w:right w:val="single" w:sz="8" w:color="auto"/>
            </w:tcBorders>
            <w:shd w:val="clear" w:color="auto" w:fill="D9D9D9"/>
          </w:tcPr>
          <w:p>
            <w:pPr>
              <w:spacing w:after="0"/>
              <w:rPr>
                <w:sz w:val="21"/>
                <w:szCs w:val="21"/>
                <w:color w:val="auto"/>
              </w:rPr>
            </w:pPr>
          </w:p>
        </w:tc>
        <w:tc>
          <w:tcPr>
            <w:tcW w:w="202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6"/>
                <w:szCs w:val="16"/>
                <w:color w:val="auto"/>
              </w:rPr>
              <w:t>Bonus:</w:t>
            </w:r>
          </w:p>
        </w:tc>
        <w:tc>
          <w:tcPr>
            <w:tcW w:w="1680" w:type="dxa"/>
            <w:vAlign w:val="bottom"/>
            <w:tcBorders>
              <w:right w:val="single" w:sz="8" w:color="auto"/>
            </w:tcBorders>
            <w:shd w:val="clear" w:color="auto" w:fill="D9D9D9"/>
          </w:tcPr>
          <w:p>
            <w:pPr>
              <w:jc w:val="right"/>
              <w:ind w:right="39"/>
              <w:spacing w:after="0"/>
              <w:rPr>
                <w:sz w:val="20"/>
                <w:szCs w:val="20"/>
                <w:color w:val="auto"/>
              </w:rPr>
            </w:pPr>
            <w:r>
              <w:rPr>
                <w:rFonts w:ascii="Times New Roman" w:cs="Times New Roman" w:eastAsia="Times New Roman" w:hAnsi="Times New Roman"/>
                <w:sz w:val="16"/>
                <w:szCs w:val="16"/>
                <w:color w:val="auto"/>
              </w:rPr>
              <w:t>1,408,000</w:t>
            </w:r>
          </w:p>
        </w:tc>
        <w:tc>
          <w:tcPr>
            <w:tcW w:w="1580" w:type="dxa"/>
            <w:vAlign w:val="bottom"/>
            <w:tcBorders>
              <w:right w:val="single" w:sz="8" w:color="auto"/>
            </w:tcBorders>
            <w:shd w:val="clear" w:color="auto" w:fill="D9D9D9"/>
          </w:tcPr>
          <w:p>
            <w:pPr>
              <w:spacing w:after="0"/>
              <w:rPr>
                <w:sz w:val="21"/>
                <w:szCs w:val="21"/>
                <w:color w:val="auto"/>
              </w:rPr>
            </w:pPr>
          </w:p>
        </w:tc>
        <w:tc>
          <w:tcPr>
            <w:tcW w:w="1780" w:type="dxa"/>
            <w:vAlign w:val="bottom"/>
            <w:tcBorders>
              <w:right w:val="single" w:sz="8" w:color="auto"/>
            </w:tcBorders>
            <w:shd w:val="clear" w:color="auto" w:fill="D9D9D9"/>
          </w:tcPr>
          <w:p>
            <w:pPr>
              <w:jc w:val="right"/>
              <w:ind w:right="59"/>
              <w:spacing w:after="0"/>
              <w:rPr>
                <w:sz w:val="20"/>
                <w:szCs w:val="20"/>
                <w:color w:val="auto"/>
              </w:rPr>
            </w:pPr>
            <w:r>
              <w:rPr>
                <w:rFonts w:ascii="Times New Roman" w:cs="Times New Roman" w:eastAsia="Times New Roman" w:hAnsi="Times New Roman"/>
                <w:sz w:val="16"/>
                <w:szCs w:val="16"/>
                <w:color w:val="auto"/>
              </w:rPr>
              <w:t>1,408,000</w:t>
            </w:r>
          </w:p>
        </w:tc>
        <w:tc>
          <w:tcPr>
            <w:tcW w:w="2460" w:type="dxa"/>
            <w:vAlign w:val="bottom"/>
            <w:tcBorders>
              <w:right w:val="single" w:sz="8" w:color="auto"/>
            </w:tcBorders>
            <w:shd w:val="clear" w:color="auto" w:fill="D9D9D9"/>
          </w:tcPr>
          <w:p>
            <w:pPr>
              <w:jc w:val="right"/>
              <w:ind w:right="239"/>
              <w:spacing w:after="0"/>
              <w:rPr>
                <w:sz w:val="20"/>
                <w:szCs w:val="20"/>
                <w:color w:val="auto"/>
              </w:rPr>
            </w:pPr>
            <w:r>
              <w:rPr>
                <w:rFonts w:ascii="Times New Roman" w:cs="Times New Roman" w:eastAsia="Times New Roman" w:hAnsi="Times New Roman"/>
                <w:sz w:val="16"/>
                <w:szCs w:val="16"/>
                <w:color w:val="auto"/>
              </w:rPr>
              <w:t>2,392,000</w:t>
            </w:r>
          </w:p>
        </w:tc>
      </w:tr>
      <w:tr>
        <w:trPr>
          <w:trHeight w:val="195"/>
        </w:trPr>
        <w:tc>
          <w:tcPr>
            <w:tcW w:w="1720" w:type="dxa"/>
            <w:vAlign w:val="bottom"/>
            <w:tcBorders>
              <w:left w:val="single" w:sz="8" w:color="auto"/>
              <w:right w:val="single" w:sz="8" w:color="auto"/>
            </w:tcBorders>
            <w:shd w:val="clear" w:color="auto" w:fill="D9D9D9"/>
          </w:tcPr>
          <w:p>
            <w:pPr>
              <w:spacing w:after="0"/>
              <w:rPr>
                <w:sz w:val="16"/>
                <w:szCs w:val="16"/>
                <w:color w:val="auto"/>
              </w:rPr>
            </w:pPr>
          </w:p>
        </w:tc>
        <w:tc>
          <w:tcPr>
            <w:tcW w:w="2020" w:type="dxa"/>
            <w:vAlign w:val="bottom"/>
            <w:tcBorders>
              <w:right w:val="single" w:sz="8" w:color="auto"/>
            </w:tcBorders>
            <w:shd w:val="clear" w:color="auto" w:fill="D9D9D9"/>
          </w:tcPr>
          <w:p>
            <w:pPr>
              <w:ind w:left="80"/>
              <w:spacing w:after="0"/>
              <w:rPr>
                <w:sz w:val="20"/>
                <w:szCs w:val="20"/>
                <w:color w:val="auto"/>
              </w:rPr>
            </w:pPr>
            <w:r>
              <w:rPr>
                <w:rFonts w:ascii="Times New Roman" w:cs="Times New Roman" w:eastAsia="Times New Roman" w:hAnsi="Times New Roman"/>
                <w:sz w:val="16"/>
                <w:szCs w:val="16"/>
                <w:color w:val="auto"/>
              </w:rPr>
              <w:t>Accelerated Restricted</w:t>
            </w:r>
          </w:p>
        </w:tc>
        <w:tc>
          <w:tcPr>
            <w:tcW w:w="1680" w:type="dxa"/>
            <w:vAlign w:val="bottom"/>
            <w:tcBorders>
              <w:right w:val="single" w:sz="8" w:color="auto"/>
            </w:tcBorders>
            <w:shd w:val="clear" w:color="auto" w:fill="D9D9D9"/>
          </w:tcPr>
          <w:p>
            <w:pPr>
              <w:spacing w:after="0"/>
              <w:rPr>
                <w:sz w:val="16"/>
                <w:szCs w:val="16"/>
                <w:color w:val="auto"/>
              </w:rPr>
            </w:pPr>
          </w:p>
        </w:tc>
        <w:tc>
          <w:tcPr>
            <w:tcW w:w="1580" w:type="dxa"/>
            <w:vAlign w:val="bottom"/>
            <w:tcBorders>
              <w:right w:val="single" w:sz="8" w:color="auto"/>
            </w:tcBorders>
            <w:shd w:val="clear" w:color="auto" w:fill="D9D9D9"/>
          </w:tcPr>
          <w:p>
            <w:pPr>
              <w:spacing w:after="0"/>
              <w:rPr>
                <w:sz w:val="16"/>
                <w:szCs w:val="16"/>
                <w:color w:val="auto"/>
              </w:rPr>
            </w:pPr>
          </w:p>
        </w:tc>
        <w:tc>
          <w:tcPr>
            <w:tcW w:w="1780" w:type="dxa"/>
            <w:vAlign w:val="bottom"/>
            <w:tcBorders>
              <w:right w:val="single" w:sz="8" w:color="auto"/>
            </w:tcBorders>
            <w:shd w:val="clear" w:color="auto" w:fill="D9D9D9"/>
          </w:tcPr>
          <w:p>
            <w:pPr>
              <w:spacing w:after="0"/>
              <w:rPr>
                <w:sz w:val="16"/>
                <w:szCs w:val="16"/>
                <w:color w:val="auto"/>
              </w:rPr>
            </w:pPr>
          </w:p>
        </w:tc>
        <w:tc>
          <w:tcPr>
            <w:tcW w:w="2460" w:type="dxa"/>
            <w:vAlign w:val="bottom"/>
            <w:tcBorders>
              <w:right w:val="single" w:sz="8" w:color="auto"/>
            </w:tcBorders>
            <w:shd w:val="clear" w:color="auto" w:fill="D9D9D9"/>
          </w:tcPr>
          <w:p>
            <w:pPr>
              <w:spacing w:after="0"/>
              <w:rPr>
                <w:sz w:val="16"/>
                <w:szCs w:val="16"/>
                <w:color w:val="auto"/>
              </w:rPr>
            </w:pPr>
          </w:p>
        </w:tc>
      </w:tr>
      <w:tr>
        <w:trPr>
          <w:trHeight w:val="213"/>
        </w:trPr>
        <w:tc>
          <w:tcPr>
            <w:tcW w:w="1720" w:type="dxa"/>
            <w:vAlign w:val="bottom"/>
            <w:tcBorders>
              <w:left w:val="single" w:sz="8" w:color="auto"/>
              <w:bottom w:val="single" w:sz="8" w:color="D9D9D9"/>
              <w:right w:val="single" w:sz="8" w:color="auto"/>
            </w:tcBorders>
            <w:shd w:val="clear" w:color="auto" w:fill="D9D9D9"/>
          </w:tcPr>
          <w:p>
            <w:pPr>
              <w:spacing w:after="0"/>
              <w:rPr>
                <w:sz w:val="18"/>
                <w:szCs w:val="18"/>
                <w:color w:val="auto"/>
              </w:rPr>
            </w:pPr>
          </w:p>
        </w:tc>
        <w:tc>
          <w:tcPr>
            <w:tcW w:w="2020" w:type="dxa"/>
            <w:vAlign w:val="bottom"/>
            <w:tcBorders>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6"/>
                <w:szCs w:val="16"/>
                <w:color w:val="auto"/>
              </w:rPr>
              <w:t>Stock Vesting: (3)</w:t>
            </w:r>
          </w:p>
        </w:tc>
        <w:tc>
          <w:tcPr>
            <w:tcW w:w="1680" w:type="dxa"/>
            <w:vAlign w:val="bottom"/>
            <w:tcBorders>
              <w:bottom w:val="single" w:sz="8" w:color="auto"/>
              <w:right w:val="single" w:sz="8" w:color="auto"/>
            </w:tcBorders>
            <w:shd w:val="clear" w:color="auto" w:fill="D9D9D9"/>
          </w:tcPr>
          <w:p>
            <w:pPr>
              <w:jc w:val="right"/>
              <w:ind w:right="39"/>
              <w:spacing w:after="0"/>
              <w:rPr>
                <w:sz w:val="20"/>
                <w:szCs w:val="20"/>
                <w:color w:val="auto"/>
              </w:rPr>
            </w:pPr>
            <w:r>
              <w:rPr>
                <w:rFonts w:ascii="Times New Roman" w:cs="Times New Roman" w:eastAsia="Times New Roman" w:hAnsi="Times New Roman"/>
                <w:sz w:val="16"/>
                <w:szCs w:val="16"/>
                <w:color w:val="auto"/>
              </w:rPr>
              <w:t>1,281,977</w:t>
            </w:r>
          </w:p>
        </w:tc>
        <w:tc>
          <w:tcPr>
            <w:tcW w:w="1580" w:type="dxa"/>
            <w:vAlign w:val="bottom"/>
            <w:tcBorders>
              <w:bottom w:val="single" w:sz="8" w:color="auto"/>
              <w:right w:val="single" w:sz="8" w:color="auto"/>
            </w:tcBorders>
            <w:shd w:val="clear" w:color="auto" w:fill="D9D9D9"/>
          </w:tcPr>
          <w:p>
            <w:pPr>
              <w:spacing w:after="0"/>
              <w:rPr>
                <w:sz w:val="18"/>
                <w:szCs w:val="18"/>
                <w:color w:val="auto"/>
              </w:rPr>
            </w:pPr>
          </w:p>
        </w:tc>
        <w:tc>
          <w:tcPr>
            <w:tcW w:w="1780" w:type="dxa"/>
            <w:vAlign w:val="bottom"/>
            <w:tcBorders>
              <w:bottom w:val="single" w:sz="8" w:color="auto"/>
              <w:right w:val="single" w:sz="8" w:color="auto"/>
            </w:tcBorders>
            <w:shd w:val="clear" w:color="auto" w:fill="D9D9D9"/>
          </w:tcPr>
          <w:p>
            <w:pPr>
              <w:spacing w:after="0"/>
              <w:rPr>
                <w:sz w:val="18"/>
                <w:szCs w:val="18"/>
                <w:color w:val="auto"/>
              </w:rPr>
            </w:pPr>
          </w:p>
        </w:tc>
        <w:tc>
          <w:tcPr>
            <w:tcW w:w="2460" w:type="dxa"/>
            <w:vAlign w:val="bottom"/>
            <w:tcBorders>
              <w:bottom w:val="single" w:sz="8" w:color="auto"/>
              <w:right w:val="single" w:sz="8" w:color="auto"/>
            </w:tcBorders>
            <w:shd w:val="clear" w:color="auto" w:fill="D9D9D9"/>
          </w:tcPr>
          <w:p>
            <w:pPr>
              <w:jc w:val="right"/>
              <w:ind w:right="239"/>
              <w:spacing w:after="0"/>
              <w:rPr>
                <w:sz w:val="20"/>
                <w:szCs w:val="20"/>
                <w:color w:val="auto"/>
              </w:rPr>
            </w:pPr>
            <w:r>
              <w:rPr>
                <w:rFonts w:ascii="Times New Roman" w:cs="Times New Roman" w:eastAsia="Times New Roman" w:hAnsi="Times New Roman"/>
                <w:sz w:val="16"/>
                <w:szCs w:val="16"/>
                <w:color w:val="auto"/>
              </w:rPr>
              <w:t>4,696,565</w:t>
            </w:r>
          </w:p>
        </w:tc>
      </w:tr>
      <w:tr>
        <w:trPr>
          <w:trHeight w:val="237"/>
        </w:trPr>
        <w:tc>
          <w:tcPr>
            <w:tcW w:w="1720" w:type="dxa"/>
            <w:vAlign w:val="bottom"/>
            <w:tcBorders>
              <w:left w:val="single" w:sz="8" w:color="auto"/>
              <w:bottom w:val="single" w:sz="8" w:color="auto"/>
              <w:right w:val="single" w:sz="8" w:color="auto"/>
            </w:tcBorders>
            <w:shd w:val="clear" w:color="auto" w:fill="D9D9D9"/>
          </w:tcPr>
          <w:p>
            <w:pPr>
              <w:spacing w:after="0"/>
              <w:rPr>
                <w:sz w:val="20"/>
                <w:szCs w:val="20"/>
                <w:color w:val="auto"/>
              </w:rPr>
            </w:pPr>
          </w:p>
        </w:tc>
        <w:tc>
          <w:tcPr>
            <w:tcW w:w="2020" w:type="dxa"/>
            <w:vAlign w:val="bottom"/>
            <w:tcBorders>
              <w:bottom w:val="single" w:sz="8" w:color="auto"/>
              <w:right w:val="single" w:sz="8" w:color="auto"/>
            </w:tcBorders>
            <w:shd w:val="clear" w:color="auto" w:fill="D9D9D9"/>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right w:val="single" w:sz="8" w:color="auto"/>
            </w:tcBorders>
            <w:shd w:val="clear" w:color="auto" w:fill="D9D9D9"/>
          </w:tcPr>
          <w:p>
            <w:pPr>
              <w:jc w:val="right"/>
              <w:ind w:right="39"/>
              <w:spacing w:after="0"/>
              <w:rPr>
                <w:sz w:val="20"/>
                <w:szCs w:val="20"/>
                <w:color w:val="auto"/>
              </w:rPr>
            </w:pPr>
            <w:r>
              <w:rPr>
                <w:rFonts w:ascii="Times New Roman" w:cs="Times New Roman" w:eastAsia="Times New Roman" w:hAnsi="Times New Roman"/>
                <w:sz w:val="16"/>
                <w:szCs w:val="16"/>
                <w:color w:val="auto"/>
              </w:rPr>
              <w:t>2,689,977</w:t>
            </w:r>
          </w:p>
        </w:tc>
        <w:tc>
          <w:tcPr>
            <w:tcW w:w="1580" w:type="dxa"/>
            <w:vAlign w:val="bottom"/>
            <w:tcBorders>
              <w:bottom w:val="single" w:sz="8" w:color="auto"/>
              <w:right w:val="single" w:sz="8" w:color="auto"/>
            </w:tcBorders>
            <w:shd w:val="clear" w:color="auto" w:fill="D9D9D9"/>
          </w:tcPr>
          <w:p>
            <w:pPr>
              <w:spacing w:after="0"/>
              <w:rPr>
                <w:sz w:val="20"/>
                <w:szCs w:val="20"/>
                <w:color w:val="auto"/>
              </w:rPr>
            </w:pPr>
          </w:p>
        </w:tc>
        <w:tc>
          <w:tcPr>
            <w:tcW w:w="1780" w:type="dxa"/>
            <w:vAlign w:val="bottom"/>
            <w:tcBorders>
              <w:bottom w:val="single" w:sz="8" w:color="auto"/>
              <w:right w:val="single" w:sz="8" w:color="auto"/>
            </w:tcBorders>
            <w:shd w:val="clear" w:color="auto" w:fill="D9D9D9"/>
          </w:tcPr>
          <w:p>
            <w:pPr>
              <w:jc w:val="right"/>
              <w:ind w:right="59"/>
              <w:spacing w:after="0"/>
              <w:rPr>
                <w:sz w:val="20"/>
                <w:szCs w:val="20"/>
                <w:color w:val="auto"/>
              </w:rPr>
            </w:pPr>
            <w:r>
              <w:rPr>
                <w:rFonts w:ascii="Times New Roman" w:cs="Times New Roman" w:eastAsia="Times New Roman" w:hAnsi="Times New Roman"/>
                <w:sz w:val="16"/>
                <w:szCs w:val="16"/>
                <w:color w:val="auto"/>
              </w:rPr>
              <w:t>2,208,000</w:t>
            </w:r>
          </w:p>
        </w:tc>
        <w:tc>
          <w:tcPr>
            <w:tcW w:w="2460" w:type="dxa"/>
            <w:vAlign w:val="bottom"/>
            <w:tcBorders>
              <w:bottom w:val="single" w:sz="8" w:color="auto"/>
              <w:right w:val="single" w:sz="8" w:color="auto"/>
            </w:tcBorders>
            <w:shd w:val="clear" w:color="auto" w:fill="D9D9D9"/>
          </w:tcPr>
          <w:p>
            <w:pPr>
              <w:jc w:val="right"/>
              <w:ind w:right="239"/>
              <w:spacing w:after="0"/>
              <w:rPr>
                <w:sz w:val="20"/>
                <w:szCs w:val="20"/>
                <w:color w:val="auto"/>
              </w:rPr>
            </w:pPr>
            <w:r>
              <w:rPr>
                <w:rFonts w:ascii="Times New Roman" w:cs="Times New Roman" w:eastAsia="Times New Roman" w:hAnsi="Times New Roman"/>
                <w:sz w:val="16"/>
                <w:szCs w:val="16"/>
                <w:color w:val="auto"/>
              </w:rPr>
              <w:t>9,480,565</w:t>
            </w:r>
          </w:p>
        </w:tc>
      </w:tr>
      <w:tr>
        <w:trPr>
          <w:trHeight w:val="233"/>
        </w:trPr>
        <w:tc>
          <w:tcPr>
            <w:tcW w:w="17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6"/>
                <w:szCs w:val="16"/>
                <w:color w:val="auto"/>
              </w:rPr>
              <w:t>Adam Dickstein</w:t>
            </w: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Salary:</w:t>
            </w:r>
          </w:p>
        </w:tc>
        <w:tc>
          <w:tcPr>
            <w:tcW w:w="1680" w:type="dxa"/>
            <w:vAlign w:val="bottom"/>
            <w:tcBorders>
              <w:right w:val="single" w:sz="8" w:color="auto"/>
            </w:tcBorders>
          </w:tcPr>
          <w:p>
            <w:pPr>
              <w:spacing w:after="0"/>
              <w:rPr>
                <w:sz w:val="20"/>
                <w:szCs w:val="20"/>
                <w:color w:val="auto"/>
              </w:rPr>
            </w:pPr>
          </w:p>
        </w:tc>
        <w:tc>
          <w:tcPr>
            <w:tcW w:w="15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675,000</w:t>
            </w:r>
          </w:p>
        </w:tc>
        <w:tc>
          <w:tcPr>
            <w:tcW w:w="246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2,025,000</w:t>
            </w:r>
          </w:p>
        </w:tc>
      </w:tr>
      <w:tr>
        <w:trPr>
          <w:trHeight w:val="235"/>
        </w:trPr>
        <w:tc>
          <w:tcPr>
            <w:tcW w:w="1720" w:type="dxa"/>
            <w:vAlign w:val="bottom"/>
            <w:tcBorders>
              <w:left w:val="single" w:sz="8" w:color="auto"/>
              <w:right w:val="single" w:sz="8" w:color="auto"/>
            </w:tcBorders>
          </w:tcPr>
          <w:p>
            <w:pPr>
              <w:spacing w:after="0"/>
              <w:rPr>
                <w:sz w:val="20"/>
                <w:szCs w:val="20"/>
                <w:color w:val="auto"/>
              </w:rPr>
            </w:pPr>
          </w:p>
        </w:tc>
        <w:tc>
          <w:tcPr>
            <w:tcW w:w="20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Bonus:</w:t>
            </w:r>
          </w:p>
        </w:tc>
        <w:tc>
          <w:tcPr>
            <w:tcW w:w="1680" w:type="dxa"/>
            <w:vAlign w:val="bottom"/>
            <w:tcBorders>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1,080,000</w:t>
            </w:r>
          </w:p>
        </w:tc>
        <w:tc>
          <w:tcPr>
            <w:tcW w:w="158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1,080,000</w:t>
            </w:r>
          </w:p>
        </w:tc>
        <w:tc>
          <w:tcPr>
            <w:tcW w:w="2460" w:type="dxa"/>
            <w:vAlign w:val="bottom"/>
            <w:tcBorders>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1,717,485</w:t>
            </w:r>
          </w:p>
        </w:tc>
      </w:tr>
      <w:tr>
        <w:trPr>
          <w:trHeight w:val="203"/>
        </w:trPr>
        <w:tc>
          <w:tcPr>
            <w:tcW w:w="1720" w:type="dxa"/>
            <w:vAlign w:val="bottom"/>
            <w:tcBorders>
              <w:left w:val="single" w:sz="8" w:color="auto"/>
              <w:right w:val="single" w:sz="8" w:color="auto"/>
            </w:tcBorders>
          </w:tcPr>
          <w:p>
            <w:pPr>
              <w:spacing w:after="0"/>
              <w:rPr>
                <w:sz w:val="17"/>
                <w:szCs w:val="17"/>
                <w:color w:val="auto"/>
              </w:rPr>
            </w:pPr>
          </w:p>
        </w:tc>
        <w:tc>
          <w:tcPr>
            <w:tcW w:w="202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Accelerated Restricted</w:t>
            </w:r>
          </w:p>
        </w:tc>
        <w:tc>
          <w:tcPr>
            <w:tcW w:w="1680" w:type="dxa"/>
            <w:vAlign w:val="bottom"/>
            <w:tcBorders>
              <w:right w:val="single" w:sz="8" w:color="auto"/>
            </w:tcBorders>
          </w:tcPr>
          <w:p>
            <w:pPr>
              <w:spacing w:after="0"/>
              <w:rPr>
                <w:sz w:val="17"/>
                <w:szCs w:val="17"/>
                <w:color w:val="auto"/>
              </w:rPr>
            </w:pPr>
          </w:p>
        </w:tc>
        <w:tc>
          <w:tcPr>
            <w:tcW w:w="158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2460" w:type="dxa"/>
            <w:vAlign w:val="bottom"/>
            <w:tcBorders>
              <w:right w:val="single" w:sz="8" w:color="auto"/>
            </w:tcBorders>
          </w:tcPr>
          <w:p>
            <w:pPr>
              <w:spacing w:after="0"/>
              <w:rPr>
                <w:sz w:val="17"/>
                <w:szCs w:val="17"/>
                <w:color w:val="auto"/>
              </w:rPr>
            </w:pPr>
          </w:p>
        </w:tc>
      </w:tr>
      <w:tr>
        <w:trPr>
          <w:trHeight w:val="213"/>
        </w:trPr>
        <w:tc>
          <w:tcPr>
            <w:tcW w:w="1720" w:type="dxa"/>
            <w:vAlign w:val="bottom"/>
            <w:tcBorders>
              <w:left w:val="single" w:sz="8" w:color="auto"/>
              <w:right w:val="single" w:sz="8" w:color="auto"/>
            </w:tcBorders>
          </w:tcPr>
          <w:p>
            <w:pPr>
              <w:spacing w:after="0"/>
              <w:rPr>
                <w:sz w:val="18"/>
                <w:szCs w:val="18"/>
                <w:color w:val="auto"/>
              </w:rPr>
            </w:pPr>
          </w:p>
        </w:tc>
        <w:tc>
          <w:tcPr>
            <w:tcW w:w="202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6"/>
                <w:szCs w:val="16"/>
                <w:color w:val="auto"/>
              </w:rPr>
              <w:t>Stock Vesting: (3)</w:t>
            </w:r>
          </w:p>
        </w:tc>
        <w:tc>
          <w:tcPr>
            <w:tcW w:w="16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1,008,900</w:t>
            </w:r>
          </w:p>
        </w:tc>
        <w:tc>
          <w:tcPr>
            <w:tcW w:w="158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3,825,747</w:t>
            </w:r>
          </w:p>
        </w:tc>
      </w:tr>
      <w:tr>
        <w:trPr>
          <w:trHeight w:val="237"/>
        </w:trPr>
        <w:tc>
          <w:tcPr>
            <w:tcW w:w="1720" w:type="dxa"/>
            <w:vAlign w:val="bottom"/>
            <w:tcBorders>
              <w:left w:val="single" w:sz="8" w:color="auto"/>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1680" w:type="dxa"/>
            <w:vAlign w:val="bottom"/>
            <w:tcBorders>
              <w:bottom w:val="single" w:sz="8" w:color="auto"/>
              <w:right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2,088,900</w:t>
            </w:r>
          </w:p>
        </w:tc>
        <w:tc>
          <w:tcPr>
            <w:tcW w:w="158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rPr>
              <w:t>1,755,000</w:t>
            </w:r>
          </w:p>
        </w:tc>
        <w:tc>
          <w:tcPr>
            <w:tcW w:w="2460" w:type="dxa"/>
            <w:vAlign w:val="bottom"/>
            <w:tcBorders>
              <w:bottom w:val="single" w:sz="8" w:color="auto"/>
              <w:right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rPr>
              <w:t>7,568,232</w:t>
            </w:r>
          </w:p>
        </w:tc>
      </w:tr>
    </w:tbl>
    <w:p>
      <w:pPr>
        <w:spacing w:after="0" w:line="198" w:lineRule="exact"/>
        <w:rPr>
          <w:sz w:val="20"/>
          <w:szCs w:val="20"/>
          <w:color w:val="auto"/>
        </w:rPr>
      </w:pPr>
    </w:p>
    <w:p>
      <w:pPr>
        <w:ind w:left="340" w:right="20" w:hanging="332"/>
        <w:spacing w:after="0" w:line="282"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bonus amounts in this column assume a retirement scenario. In death or disability scenarios, the amounts for some of the NEOs would be different because, in these cases, bonus calculations are based on target, and not actual, bonus amounts.</w:t>
      </w:r>
    </w:p>
    <w:p>
      <w:pPr>
        <w:spacing w:after="0" w:line="161"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as indicated in the Pension Benefits table, Messrs. Donahue, Gifford and Novaes are participants in the Company’s SERP and Messrs. Clothier, Gifford and Dickstein participate in the Company’s Restoration Plan. Currently, the SERP and Restoration Plan benefits are vested for each participant. In addition, as soon as administratively practicable but in no event more than 10 business days after a Change in Control, all benefits under the SERP and Restoration Plan will be paid to each vested NEO in a cash lump sum.</w:t>
      </w:r>
    </w:p>
    <w:p>
      <w:pPr>
        <w:spacing w:after="0" w:line="179" w:lineRule="exact"/>
        <w:rPr>
          <w:rFonts w:ascii="Times New Roman" w:cs="Times New Roman" w:eastAsia="Times New Roman" w:hAnsi="Times New Roman"/>
          <w:sz w:val="18"/>
          <w:szCs w:val="18"/>
          <w:color w:val="auto"/>
        </w:rPr>
      </w:pPr>
    </w:p>
    <w:p>
      <w:pPr>
        <w:jc w:val="both"/>
        <w:ind w:left="340" w:hanging="332"/>
        <w:spacing w:after="0" w:line="254" w:lineRule="auto"/>
        <w:tabs>
          <w:tab w:leader="none" w:pos="3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retirement with Committee approval, disability or death, the vesting of time-based restricted stock awards accelerates and the performance-based shares remain outstanding, subject to performance conditions until the performance period ends. Accordingly, no performance share compensation has been provided for terminations upon retirement, disability or death because payout cannot be assured. On a Change in Control, all time-based restricted stock will become vested, and performance-based restricted stock will vest based upon the Company’s achievement of the performance goals between the beginning of the relevant measurement period(s) and the date of the Change in Control. For termination after a Change in Control, the table assumes that the target level of performance share compensation will be achieved. For further details, refer to the Outstanding Equity Awards at Fiscal Year-End table above and Note X, “Stock-Based Compensation” to the Company’s financial statements in its Annual Report on Form 10-K for the fiscal year ended December 31, 2025.</w:t>
      </w:r>
    </w:p>
    <w:p>
      <w:pPr>
        <w:spacing w:after="0" w:line="7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62</w:t>
      </w:r>
    </w:p>
    <w:p>
      <w:pPr>
        <w:sectPr>
          <w:pgSz w:w="11900" w:h="16838" w:orient="portrait"/>
          <w:cols w:equalWidth="0" w:num="1">
            <w:col w:w="11240"/>
          </w:cols>
          <w:pgMar w:left="320" w:top="571" w:right="33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22"/>
          <w:szCs w:val="22"/>
          <w:b w:val="1"/>
          <w:bCs w:val="1"/>
          <w:color w:val="auto"/>
        </w:rPr>
        <w:t>Pay Ratio Disclosure</w:t>
      </w:r>
    </w:p>
    <w:p>
      <w:pPr>
        <w:spacing w:after="0" w:line="28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0"/>
          <w:szCs w:val="20"/>
          <w:color w:val="auto"/>
        </w:rPr>
        <w:t>Federal law requires that the Company disclose the ratio of its CEO’s total compensation to the total compensation of its median employee (excluding the CEO). Generally, the median employee is required to be identified only once every three years. The Company identified its median employee using salary/wages and bonus information from the Company’s payroll records as of December 31, 2024. To determine the ratio we utilized our global workforce consisting of all U.S., non-U.S., full-time, part-time and temporary employees of the Company and its consolidated subsidiaries, except that, pursuant to the de minimis exemption as permitted by SEC rules, we excluded all non-U.S. employees located in certain jurisdictions representing, in the aggregate, less than 5% of our total employees. The jurisdictions and numbers of non-U.S. employees excluded as of the date of determination were: Saudi Arabia (352 employees), Myanmar (58 employees), Cambodia (614 employees), Kenya (31 employees), Malaysia (8 employees) and Trinidad (18 employees). The total number of employees in our global workforce (excluding the CEO) as of the date of determination, irrespective of any exemption, was 21,633 employees, 5,970 of whom were U.S. employees and 15,663 of whom were non-U.S. employees. After application of the de minimis exemption, the total number of U.S. employees used was 5,970, and the total number of non-U.S. employees used was 14,582. No cost-of-living adjustments with respect to compensation were made. Compensation was annualized for all full-time employees who began employment or were on unpaid leave of absence during 2024. For employees hired after October 2024, bonuses were calculated on a yearly basis to ensure proper comparison. The Company’s median employee was based outside of the U.S. The median employee’s total compensation was calculated using the same methodology used to calculate the Total Compensation of the CEO as set forth in the Summary Compensation Table included in the Executive Compensation section of this Proxy Statement. In 2025, the median employee’s total compensation was $53,106 and the total compensation of the CEO was $17,501,363. Accordingly, the ratio of the annual total compensation of the CEO to the median of the annual total compensation of all employees of the Company, except the CEO, is 330:1.</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Pay Versus Performance Disclosure</w:t>
      </w:r>
    </w:p>
    <w:p>
      <w:pPr>
        <w:spacing w:after="0" w:line="10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20"/>
          <w:szCs w:val="20"/>
          <w:color w:val="auto"/>
        </w:rPr>
        <w:t xml:space="preserve">In accordance with rules adopted by the Securities and Exchange Commission pursuant to the Dodd-Frank Wall Street Reform and Consumer Protection Act of 2010, we provide the following disclosure regarding the relationship between executive compensation “actually paid” (as defined by the SEC rules) to our principal executive officer (“PEO”) and Non-PEO NEOs and Company performance for the fiscal years listed below. The Compensation Committee did not consider the pay versus performance disclosure below in making its pay decisions for any of the years shown. </w:t>
      </w:r>
      <w:r>
        <w:rPr>
          <w:rFonts w:ascii="Times New Roman" w:cs="Times New Roman" w:eastAsia="Times New Roman" w:hAnsi="Times New Roman"/>
          <w:sz w:val="20"/>
          <w:szCs w:val="20"/>
          <w:b w:val="1"/>
          <w:bCs w:val="1"/>
          <w:color w:val="auto"/>
        </w:rPr>
        <w:t>The amounts in the table below are calculated in accordance with the SEC rules and do not represent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amounts actually earned, realized, or paid to the Company’s NEOs, including with respect to equity awards.</w:t>
      </w:r>
    </w:p>
    <w:p>
      <w:pPr>
        <w:spacing w:after="0" w:line="79"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700" w:type="dxa"/>
            <w:vAlign w:val="bottom"/>
            <w:tcBorders>
              <w:top w:val="single" w:sz="8" w:color="auto"/>
              <w:left w:val="single" w:sz="8" w:color="auto"/>
              <w:right w:val="single" w:sz="8" w:color="auto"/>
            </w:tcBorders>
            <w:shd w:val="clear" w:color="auto" w:fill="29650B"/>
          </w:tcPr>
          <w:p>
            <w:pPr>
              <w:spacing w:after="0"/>
              <w:rPr>
                <w:sz w:val="18"/>
                <w:szCs w:val="18"/>
                <w:color w:val="auto"/>
              </w:rPr>
            </w:pPr>
          </w:p>
        </w:tc>
        <w:tc>
          <w:tcPr>
            <w:tcW w:w="1580" w:type="dxa"/>
            <w:vAlign w:val="bottom"/>
            <w:tcBorders>
              <w:top w:val="single" w:sz="8" w:color="auto"/>
              <w:right w:val="single" w:sz="8" w:color="auto"/>
            </w:tcBorders>
            <w:shd w:val="clear" w:color="auto" w:fill="29650B"/>
          </w:tcPr>
          <w:p>
            <w:pPr>
              <w:spacing w:after="0"/>
              <w:rPr>
                <w:sz w:val="18"/>
                <w:szCs w:val="18"/>
                <w:color w:val="auto"/>
              </w:rPr>
            </w:pPr>
          </w:p>
        </w:tc>
        <w:tc>
          <w:tcPr>
            <w:tcW w:w="1580" w:type="dxa"/>
            <w:vAlign w:val="bottom"/>
            <w:tcBorders>
              <w:top w:val="single" w:sz="8" w:color="auto"/>
              <w:right w:val="single" w:sz="8" w:color="auto"/>
            </w:tcBorders>
            <w:shd w:val="clear" w:color="auto" w:fill="29650B"/>
          </w:tcPr>
          <w:p>
            <w:pPr>
              <w:spacing w:after="0"/>
              <w:rPr>
                <w:sz w:val="18"/>
                <w:szCs w:val="18"/>
                <w:color w:val="auto"/>
              </w:rPr>
            </w:pPr>
          </w:p>
        </w:tc>
        <w:tc>
          <w:tcPr>
            <w:tcW w:w="2140" w:type="dxa"/>
            <w:vAlign w:val="bottom"/>
            <w:tcBorders>
              <w:top w:val="single" w:sz="8" w:color="auto"/>
              <w:right w:val="single" w:sz="8" w:color="auto"/>
            </w:tcBorders>
            <w:shd w:val="clear" w:color="auto" w:fill="29650B"/>
          </w:tcPr>
          <w:p>
            <w:pPr>
              <w:spacing w:after="0"/>
              <w:rPr>
                <w:sz w:val="18"/>
                <w:szCs w:val="18"/>
                <w:color w:val="auto"/>
              </w:rPr>
            </w:pPr>
          </w:p>
        </w:tc>
        <w:tc>
          <w:tcPr>
            <w:tcW w:w="1560" w:type="dxa"/>
            <w:vAlign w:val="bottom"/>
            <w:tcBorders>
              <w:top w:val="single" w:sz="8" w:color="auto"/>
              <w:right w:val="single" w:sz="8" w:color="auto"/>
            </w:tcBorders>
            <w:shd w:val="clear" w:color="auto" w:fill="29650B"/>
          </w:tcPr>
          <w:p>
            <w:pPr>
              <w:spacing w:after="0"/>
              <w:rPr>
                <w:sz w:val="18"/>
                <w:szCs w:val="18"/>
                <w:color w:val="auto"/>
              </w:rPr>
            </w:pPr>
          </w:p>
        </w:tc>
        <w:tc>
          <w:tcPr>
            <w:tcW w:w="1680" w:type="dxa"/>
            <w:vAlign w:val="bottom"/>
            <w:tcBorders>
              <w:top w:val="single" w:sz="8" w:color="auto"/>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Value of Initial</w:t>
            </w:r>
          </w:p>
        </w:tc>
        <w:tc>
          <w:tcPr>
            <w:tcW w:w="1220" w:type="dxa"/>
            <w:vAlign w:val="bottom"/>
            <w:tcBorders>
              <w:top w:val="single" w:sz="8" w:color="auto"/>
              <w:right w:val="single" w:sz="8" w:color="auto"/>
            </w:tcBorders>
            <w:shd w:val="clear" w:color="auto" w:fill="29650B"/>
          </w:tcPr>
          <w:p>
            <w:pPr>
              <w:spacing w:after="0"/>
              <w:rPr>
                <w:sz w:val="18"/>
                <w:szCs w:val="18"/>
                <w:color w:val="auto"/>
              </w:rPr>
            </w:pPr>
          </w:p>
        </w:tc>
        <w:tc>
          <w:tcPr>
            <w:tcW w:w="780" w:type="dxa"/>
            <w:vAlign w:val="bottom"/>
            <w:tcBorders>
              <w:top w:val="single" w:sz="8" w:color="auto"/>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 w:type="dxa"/>
            <w:vAlign w:val="bottom"/>
            <w:tcBorders>
              <w:left w:val="single" w:sz="8" w:color="auto"/>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c>
          <w:tcPr>
            <w:tcW w:w="1580" w:type="dxa"/>
            <w:vAlign w:val="bottom"/>
            <w:tcBorders>
              <w:right w:val="single" w:sz="8" w:color="auto"/>
            </w:tcBorders>
            <w:shd w:val="clear" w:color="auto" w:fill="29650B"/>
          </w:tcPr>
          <w:p>
            <w:pPr>
              <w:spacing w:after="0"/>
              <w:rPr>
                <w:sz w:val="18"/>
                <w:szCs w:val="18"/>
                <w:color w:val="auto"/>
              </w:rPr>
            </w:pPr>
          </w:p>
        </w:tc>
        <w:tc>
          <w:tcPr>
            <w:tcW w:w="2140" w:type="dxa"/>
            <w:vAlign w:val="bottom"/>
            <w:tcBorders>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680" w:type="dxa"/>
            <w:vAlign w:val="bottom"/>
            <w:tcBorders>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Fixed $100</w:t>
            </w:r>
          </w:p>
        </w:tc>
        <w:tc>
          <w:tcPr>
            <w:tcW w:w="1220" w:type="dxa"/>
            <w:vAlign w:val="bottom"/>
            <w:tcBorders>
              <w:right w:val="single" w:sz="8" w:color="auto"/>
            </w:tcBorders>
            <w:shd w:val="clear" w:color="auto" w:fill="29650B"/>
          </w:tcPr>
          <w:p>
            <w:pPr>
              <w:spacing w:after="0"/>
              <w:rPr>
                <w:sz w:val="18"/>
                <w:szCs w:val="18"/>
                <w:color w:val="auto"/>
              </w:rPr>
            </w:pPr>
          </w:p>
        </w:tc>
        <w:tc>
          <w:tcPr>
            <w:tcW w:w="78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00" w:type="dxa"/>
            <w:vAlign w:val="bottom"/>
            <w:tcBorders>
              <w:left w:val="single" w:sz="8" w:color="auto"/>
              <w:right w:val="single" w:sz="8" w:color="auto"/>
            </w:tcBorders>
            <w:shd w:val="clear" w:color="auto" w:fill="29650B"/>
          </w:tcPr>
          <w:p>
            <w:pPr>
              <w:spacing w:after="0"/>
              <w:rPr>
                <w:sz w:val="19"/>
                <w:szCs w:val="19"/>
                <w:color w:val="auto"/>
              </w:rPr>
            </w:pPr>
          </w:p>
        </w:tc>
        <w:tc>
          <w:tcPr>
            <w:tcW w:w="1580" w:type="dxa"/>
            <w:vAlign w:val="bottom"/>
            <w:tcBorders>
              <w:right w:val="single" w:sz="8" w:color="auto"/>
            </w:tcBorders>
            <w:shd w:val="clear" w:color="auto" w:fill="29650B"/>
          </w:tcPr>
          <w:p>
            <w:pPr>
              <w:spacing w:after="0"/>
              <w:rPr>
                <w:sz w:val="19"/>
                <w:szCs w:val="19"/>
                <w:color w:val="auto"/>
              </w:rPr>
            </w:pPr>
          </w:p>
        </w:tc>
        <w:tc>
          <w:tcPr>
            <w:tcW w:w="1580" w:type="dxa"/>
            <w:vAlign w:val="bottom"/>
            <w:tcBorders>
              <w:right w:val="single" w:sz="8" w:color="auto"/>
            </w:tcBorders>
            <w:shd w:val="clear" w:color="auto" w:fill="29650B"/>
          </w:tcPr>
          <w:p>
            <w:pPr>
              <w:spacing w:after="0"/>
              <w:rPr>
                <w:sz w:val="19"/>
                <w:szCs w:val="19"/>
                <w:color w:val="auto"/>
              </w:rPr>
            </w:pPr>
          </w:p>
        </w:tc>
        <w:tc>
          <w:tcPr>
            <w:tcW w:w="21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Average Summary</w:t>
            </w:r>
          </w:p>
        </w:tc>
        <w:tc>
          <w:tcPr>
            <w:tcW w:w="15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Average</w:t>
            </w:r>
          </w:p>
        </w:tc>
        <w:tc>
          <w:tcPr>
            <w:tcW w:w="1680" w:type="dxa"/>
            <w:vAlign w:val="bottom"/>
            <w:tcBorders>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Investment based</w:t>
            </w:r>
          </w:p>
        </w:tc>
        <w:tc>
          <w:tcPr>
            <w:tcW w:w="1220" w:type="dxa"/>
            <w:vAlign w:val="bottom"/>
            <w:tcBorders>
              <w:right w:val="single" w:sz="8" w:color="auto"/>
            </w:tcBorders>
            <w:shd w:val="clear" w:color="auto" w:fill="29650B"/>
          </w:tcPr>
          <w:p>
            <w:pPr>
              <w:spacing w:after="0"/>
              <w:rPr>
                <w:sz w:val="19"/>
                <w:szCs w:val="19"/>
                <w:color w:val="auto"/>
              </w:rPr>
            </w:pPr>
          </w:p>
        </w:tc>
        <w:tc>
          <w:tcPr>
            <w:tcW w:w="780" w:type="dxa"/>
            <w:vAlign w:val="bottom"/>
            <w:tcBorders>
              <w:right w:val="single" w:sz="8" w:color="auto"/>
            </w:tcBorders>
            <w:shd w:val="clear" w:color="auto" w:fill="29650B"/>
          </w:tcPr>
          <w:p>
            <w:pPr>
              <w:spacing w:after="0"/>
              <w:rPr>
                <w:sz w:val="19"/>
                <w:szCs w:val="19"/>
                <w:color w:val="auto"/>
              </w:rPr>
            </w:pPr>
          </w:p>
        </w:tc>
        <w:tc>
          <w:tcPr>
            <w:tcW w:w="0" w:type="dxa"/>
            <w:vAlign w:val="bottom"/>
          </w:tcPr>
          <w:p>
            <w:pPr>
              <w:spacing w:after="0"/>
              <w:rPr>
                <w:sz w:val="1"/>
                <w:szCs w:val="1"/>
                <w:color w:val="auto"/>
              </w:rPr>
            </w:pPr>
          </w:p>
        </w:tc>
      </w:tr>
      <w:tr>
        <w:trPr>
          <w:trHeight w:val="104"/>
        </w:trPr>
        <w:tc>
          <w:tcPr>
            <w:tcW w:w="700" w:type="dxa"/>
            <w:vAlign w:val="bottom"/>
            <w:tcBorders>
              <w:left w:val="single" w:sz="8" w:color="auto"/>
              <w:right w:val="single" w:sz="8" w:color="auto"/>
            </w:tcBorders>
            <w:shd w:val="clear" w:color="auto" w:fill="29650B"/>
          </w:tcPr>
          <w:p>
            <w:pPr>
              <w:spacing w:after="0"/>
              <w:rPr>
                <w:sz w:val="9"/>
                <w:szCs w:val="9"/>
                <w:color w:val="auto"/>
              </w:rPr>
            </w:pPr>
          </w:p>
        </w:tc>
        <w:tc>
          <w:tcPr>
            <w:tcW w:w="15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Summary</w:t>
            </w:r>
          </w:p>
        </w:tc>
        <w:tc>
          <w:tcPr>
            <w:tcW w:w="1580" w:type="dxa"/>
            <w:vAlign w:val="bottom"/>
            <w:tcBorders>
              <w:right w:val="single" w:sz="8" w:color="auto"/>
            </w:tcBorders>
            <w:shd w:val="clear" w:color="auto" w:fill="29650B"/>
          </w:tcPr>
          <w:p>
            <w:pPr>
              <w:spacing w:after="0"/>
              <w:rPr>
                <w:sz w:val="9"/>
                <w:szCs w:val="9"/>
                <w:color w:val="auto"/>
              </w:rPr>
            </w:pPr>
          </w:p>
        </w:tc>
        <w:tc>
          <w:tcPr>
            <w:tcW w:w="2140" w:type="dxa"/>
            <w:vAlign w:val="bottom"/>
            <w:tcBorders>
              <w:right w:val="single" w:sz="8" w:color="auto"/>
            </w:tcBorders>
            <w:vMerge w:val="continue"/>
            <w:shd w:val="clear" w:color="auto" w:fill="29650B"/>
          </w:tcPr>
          <w:p>
            <w:pPr>
              <w:spacing w:after="0"/>
              <w:rPr>
                <w:sz w:val="9"/>
                <w:szCs w:val="9"/>
                <w:color w:val="auto"/>
              </w:rPr>
            </w:pPr>
          </w:p>
        </w:tc>
        <w:tc>
          <w:tcPr>
            <w:tcW w:w="156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w:t>
            </w:r>
          </w:p>
        </w:tc>
        <w:tc>
          <w:tcPr>
            <w:tcW w:w="1680" w:type="dxa"/>
            <w:vAlign w:val="bottom"/>
            <w:tcBorders>
              <w:right w:val="single" w:sz="8" w:color="auto"/>
            </w:tcBorders>
            <w:gridSpan w:val="2"/>
            <w:vMerge w:val="restart"/>
            <w:shd w:val="clear" w:color="auto" w:fill="29650B"/>
          </w:tcPr>
          <w:p>
            <w:pPr>
              <w:jc w:val="center"/>
              <w:spacing w:after="0" w:line="235" w:lineRule="exact"/>
              <w:rPr>
                <w:sz w:val="20"/>
                <w:szCs w:val="20"/>
                <w:color w:val="auto"/>
              </w:rPr>
            </w:pPr>
            <w:r>
              <w:rPr>
                <w:rFonts w:ascii="Times New Roman" w:cs="Times New Roman" w:eastAsia="Times New Roman" w:hAnsi="Times New Roman"/>
                <w:sz w:val="17"/>
                <w:szCs w:val="17"/>
                <w:b w:val="1"/>
                <w:bCs w:val="1"/>
                <w:color w:val="FFFFFF"/>
                <w:w w:val="97"/>
              </w:rPr>
              <w:t>on:</w:t>
            </w:r>
            <w:r>
              <w:rPr>
                <w:rFonts w:ascii="Times New Roman" w:cs="Times New Roman" w:eastAsia="Times New Roman" w:hAnsi="Times New Roman"/>
                <w:sz w:val="27"/>
                <w:szCs w:val="27"/>
                <w:b w:val="1"/>
                <w:bCs w:val="1"/>
                <w:color w:val="FFFFFF"/>
                <w:w w:val="97"/>
                <w:vertAlign w:val="superscript"/>
              </w:rPr>
              <w:t>4</w:t>
            </w:r>
          </w:p>
        </w:tc>
        <w:tc>
          <w:tcPr>
            <w:tcW w:w="1220" w:type="dxa"/>
            <w:vAlign w:val="bottom"/>
            <w:tcBorders>
              <w:right w:val="single" w:sz="8" w:color="auto"/>
            </w:tcBorders>
            <w:shd w:val="clear" w:color="auto" w:fill="29650B"/>
          </w:tcPr>
          <w:p>
            <w:pPr>
              <w:spacing w:after="0"/>
              <w:rPr>
                <w:sz w:val="9"/>
                <w:szCs w:val="9"/>
                <w:color w:val="auto"/>
              </w:rPr>
            </w:pPr>
          </w:p>
        </w:tc>
        <w:tc>
          <w:tcPr>
            <w:tcW w:w="780" w:type="dxa"/>
            <w:vAlign w:val="bottom"/>
            <w:tcBorders>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700" w:type="dxa"/>
            <w:vAlign w:val="bottom"/>
            <w:tcBorders>
              <w:left w:val="single" w:sz="8" w:color="auto"/>
              <w:bottom w:val="single" w:sz="8" w:color="29650B"/>
              <w:right w:val="single" w:sz="8" w:color="auto"/>
            </w:tcBorders>
            <w:shd w:val="clear" w:color="auto" w:fill="29650B"/>
          </w:tcPr>
          <w:p>
            <w:pPr>
              <w:spacing w:after="0"/>
              <w:rPr>
                <w:sz w:val="14"/>
                <w:szCs w:val="14"/>
                <w:color w:val="auto"/>
              </w:rPr>
            </w:pPr>
          </w:p>
        </w:tc>
        <w:tc>
          <w:tcPr>
            <w:tcW w:w="1580" w:type="dxa"/>
            <w:vAlign w:val="bottom"/>
            <w:tcBorders>
              <w:bottom w:val="single" w:sz="8" w:color="29650B"/>
              <w:right w:val="single" w:sz="8" w:color="auto"/>
            </w:tcBorders>
            <w:vMerge w:val="continue"/>
            <w:shd w:val="clear" w:color="auto" w:fill="29650B"/>
          </w:tcPr>
          <w:p>
            <w:pPr>
              <w:spacing w:after="0"/>
              <w:rPr>
                <w:sz w:val="14"/>
                <w:szCs w:val="14"/>
                <w:color w:val="auto"/>
              </w:rPr>
            </w:pPr>
          </w:p>
        </w:tc>
        <w:tc>
          <w:tcPr>
            <w:tcW w:w="1580" w:type="dxa"/>
            <w:vAlign w:val="bottom"/>
            <w:tcBorders>
              <w:bottom w:val="single" w:sz="8" w:color="29650B"/>
              <w:right w:val="single" w:sz="8" w:color="auto"/>
            </w:tcBorders>
            <w:shd w:val="clear" w:color="auto" w:fill="29650B"/>
          </w:tcPr>
          <w:p>
            <w:pPr>
              <w:spacing w:after="0"/>
              <w:rPr>
                <w:sz w:val="14"/>
                <w:szCs w:val="14"/>
                <w:color w:val="auto"/>
              </w:rPr>
            </w:pPr>
          </w:p>
        </w:tc>
        <w:tc>
          <w:tcPr>
            <w:tcW w:w="2140" w:type="dxa"/>
            <w:vAlign w:val="bottom"/>
            <w:tcBorders>
              <w:bottom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Compensation Table</w:t>
            </w:r>
          </w:p>
        </w:tc>
        <w:tc>
          <w:tcPr>
            <w:tcW w:w="1560" w:type="dxa"/>
            <w:vAlign w:val="bottom"/>
            <w:tcBorders>
              <w:bottom w:val="single" w:sz="8" w:color="29650B"/>
              <w:right w:val="single" w:sz="8" w:color="auto"/>
            </w:tcBorders>
            <w:vMerge w:val="continue"/>
            <w:shd w:val="clear" w:color="auto" w:fill="29650B"/>
          </w:tcPr>
          <w:p>
            <w:pPr>
              <w:spacing w:after="0"/>
              <w:rPr>
                <w:sz w:val="14"/>
                <w:szCs w:val="14"/>
                <w:color w:val="auto"/>
              </w:rPr>
            </w:pPr>
          </w:p>
        </w:tc>
        <w:tc>
          <w:tcPr>
            <w:tcW w:w="1680" w:type="dxa"/>
            <w:vAlign w:val="bottom"/>
            <w:tcBorders>
              <w:bottom w:val="single" w:sz="8" w:color="29650B"/>
              <w:right w:val="single" w:sz="8" w:color="auto"/>
            </w:tcBorders>
            <w:gridSpan w:val="2"/>
            <w:vMerge w:val="continue"/>
            <w:shd w:val="clear" w:color="auto" w:fill="29650B"/>
          </w:tcPr>
          <w:p>
            <w:pPr>
              <w:spacing w:after="0"/>
              <w:rPr>
                <w:sz w:val="14"/>
                <w:szCs w:val="14"/>
                <w:color w:val="auto"/>
              </w:rPr>
            </w:pPr>
          </w:p>
        </w:tc>
        <w:tc>
          <w:tcPr>
            <w:tcW w:w="1220" w:type="dxa"/>
            <w:vAlign w:val="bottom"/>
            <w:tcBorders>
              <w:bottom w:val="single" w:sz="8" w:color="29650B"/>
              <w:right w:val="single" w:sz="8" w:color="auto"/>
            </w:tcBorders>
            <w:vMerge w:val="restart"/>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Net Income</w:t>
            </w:r>
          </w:p>
        </w:tc>
        <w:tc>
          <w:tcPr>
            <w:tcW w:w="780" w:type="dxa"/>
            <w:vAlign w:val="bottom"/>
            <w:tcBorders>
              <w:bottom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ROIC</w:t>
            </w:r>
            <w:r>
              <w:rPr>
                <w:rFonts w:ascii="Arial" w:cs="Arial" w:eastAsia="Arial" w:hAnsi="Arial"/>
                <w:sz w:val="18"/>
                <w:szCs w:val="18"/>
                <w:color w:val="000000"/>
              </w:rPr>
              <w:t>⁵</w:t>
            </w:r>
          </w:p>
        </w:tc>
        <w:tc>
          <w:tcPr>
            <w:tcW w:w="0" w:type="dxa"/>
            <w:vAlign w:val="bottom"/>
          </w:tcPr>
          <w:p>
            <w:pPr>
              <w:spacing w:after="0"/>
              <w:rPr>
                <w:sz w:val="1"/>
                <w:szCs w:val="1"/>
                <w:color w:val="auto"/>
              </w:rPr>
            </w:pPr>
          </w:p>
        </w:tc>
      </w:tr>
      <w:tr>
        <w:trPr>
          <w:trHeight w:val="75"/>
        </w:trPr>
        <w:tc>
          <w:tcPr>
            <w:tcW w:w="700" w:type="dxa"/>
            <w:vAlign w:val="bottom"/>
            <w:tcBorders>
              <w:top w:val="single" w:sz="8" w:color="29650B"/>
              <w:left w:val="single" w:sz="8" w:color="auto"/>
              <w:right w:val="single" w:sz="8" w:color="auto"/>
            </w:tcBorders>
            <w:vMerge w:val="restart"/>
            <w:shd w:val="clear" w:color="auto" w:fill="29650B"/>
          </w:tcPr>
          <w:p>
            <w:pPr>
              <w:ind w:left="180"/>
              <w:spacing w:after="0" w:line="182" w:lineRule="exact"/>
              <w:rPr>
                <w:sz w:val="20"/>
                <w:szCs w:val="20"/>
                <w:color w:val="auto"/>
              </w:rPr>
            </w:pPr>
            <w:r>
              <w:rPr>
                <w:rFonts w:ascii="Times New Roman" w:cs="Times New Roman" w:eastAsia="Times New Roman" w:hAnsi="Times New Roman"/>
                <w:sz w:val="18"/>
                <w:szCs w:val="18"/>
                <w:b w:val="1"/>
                <w:bCs w:val="1"/>
                <w:color w:val="FFFFFF"/>
              </w:rPr>
              <w:t>Year</w:t>
            </w:r>
          </w:p>
        </w:tc>
        <w:tc>
          <w:tcPr>
            <w:tcW w:w="1580" w:type="dxa"/>
            <w:vAlign w:val="bottom"/>
            <w:tcBorders>
              <w:top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1580" w:type="dxa"/>
            <w:vAlign w:val="bottom"/>
            <w:tcBorders>
              <w:top w:val="single" w:sz="8" w:color="29650B"/>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Compensation</w:t>
            </w:r>
          </w:p>
        </w:tc>
        <w:tc>
          <w:tcPr>
            <w:tcW w:w="2140" w:type="dxa"/>
            <w:vAlign w:val="bottom"/>
            <w:tcBorders>
              <w:top w:val="single" w:sz="8" w:color="29650B"/>
              <w:right w:val="single" w:sz="8" w:color="auto"/>
            </w:tcBorders>
            <w:vMerge w:val="continue"/>
            <w:shd w:val="clear" w:color="auto" w:fill="29650B"/>
          </w:tcPr>
          <w:p>
            <w:pPr>
              <w:spacing w:after="0"/>
              <w:rPr>
                <w:sz w:val="6"/>
                <w:szCs w:val="6"/>
                <w:color w:val="auto"/>
              </w:rPr>
            </w:pPr>
          </w:p>
        </w:tc>
        <w:tc>
          <w:tcPr>
            <w:tcW w:w="1560" w:type="dxa"/>
            <w:vAlign w:val="bottom"/>
            <w:tcBorders>
              <w:top w:val="single" w:sz="8" w:color="29650B"/>
              <w:right w:val="single" w:sz="8" w:color="auto"/>
            </w:tcBorders>
            <w:vMerge w:val="restart"/>
            <w:shd w:val="clear" w:color="auto" w:fill="29650B"/>
          </w:tcPr>
          <w:p>
            <w:pPr>
              <w:jc w:val="center"/>
              <w:spacing w:after="0" w:line="178" w:lineRule="exact"/>
              <w:rPr>
                <w:sz w:val="20"/>
                <w:szCs w:val="20"/>
                <w:color w:val="auto"/>
              </w:rPr>
            </w:pPr>
            <w:r>
              <w:rPr>
                <w:rFonts w:ascii="Times New Roman" w:cs="Times New Roman" w:eastAsia="Times New Roman" w:hAnsi="Times New Roman"/>
                <w:sz w:val="18"/>
                <w:szCs w:val="18"/>
                <w:b w:val="1"/>
                <w:bCs w:val="1"/>
                <w:color w:val="FFFFFF"/>
                <w:w w:val="99"/>
              </w:rPr>
              <w:t>Actually Paid to</w:t>
            </w:r>
          </w:p>
        </w:tc>
        <w:tc>
          <w:tcPr>
            <w:tcW w:w="780" w:type="dxa"/>
            <w:vAlign w:val="bottom"/>
            <w:tcBorders>
              <w:top w:val="single" w:sz="8" w:color="auto"/>
              <w:right w:val="single" w:sz="8" w:color="auto"/>
            </w:tcBorders>
            <w:shd w:val="clear" w:color="auto" w:fill="29650B"/>
          </w:tcPr>
          <w:p>
            <w:pPr>
              <w:spacing w:after="0"/>
              <w:rPr>
                <w:sz w:val="6"/>
                <w:szCs w:val="6"/>
                <w:color w:val="auto"/>
              </w:rPr>
            </w:pPr>
          </w:p>
        </w:tc>
        <w:tc>
          <w:tcPr>
            <w:tcW w:w="900" w:type="dxa"/>
            <w:vAlign w:val="bottom"/>
            <w:tcBorders>
              <w:top w:val="single" w:sz="8" w:color="auto"/>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rPr>
              <w:t>Peer</w:t>
            </w:r>
          </w:p>
        </w:tc>
        <w:tc>
          <w:tcPr>
            <w:tcW w:w="1220" w:type="dxa"/>
            <w:vAlign w:val="bottom"/>
            <w:tcBorders>
              <w:top w:val="single" w:sz="8" w:color="29650B"/>
              <w:right w:val="single" w:sz="8" w:color="auto"/>
            </w:tcBorders>
            <w:vMerge w:val="continue"/>
            <w:shd w:val="clear" w:color="auto" w:fill="29650B"/>
          </w:tcPr>
          <w:p>
            <w:pPr>
              <w:spacing w:after="0"/>
              <w:rPr>
                <w:sz w:val="6"/>
                <w:szCs w:val="6"/>
                <w:color w:val="auto"/>
              </w:rPr>
            </w:pPr>
          </w:p>
        </w:tc>
        <w:tc>
          <w:tcPr>
            <w:tcW w:w="780" w:type="dxa"/>
            <w:vAlign w:val="bottom"/>
            <w:tcBorders>
              <w:top w:val="single" w:sz="8" w:color="29650B"/>
              <w:right w:val="single" w:sz="8" w:color="auto"/>
            </w:tcBorders>
            <w:vMerge w:val="continue"/>
            <w:shd w:val="clear" w:color="auto" w:fill="29650B"/>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700" w:type="dxa"/>
            <w:vAlign w:val="bottom"/>
            <w:tcBorders>
              <w:left w:val="single" w:sz="8" w:color="auto"/>
              <w:right w:val="single" w:sz="8" w:color="auto"/>
            </w:tcBorders>
            <w:vMerge w:val="continue"/>
            <w:shd w:val="clear" w:color="auto" w:fill="29650B"/>
          </w:tcPr>
          <w:p>
            <w:pPr>
              <w:spacing w:after="0"/>
              <w:rPr>
                <w:sz w:val="11"/>
                <w:szCs w:val="11"/>
                <w:color w:val="auto"/>
              </w:rPr>
            </w:pPr>
          </w:p>
        </w:tc>
        <w:tc>
          <w:tcPr>
            <w:tcW w:w="1580" w:type="dxa"/>
            <w:vAlign w:val="bottom"/>
            <w:tcBorders>
              <w:right w:val="single" w:sz="8" w:color="auto"/>
            </w:tcBorders>
            <w:vMerge w:val="continue"/>
            <w:shd w:val="clear" w:color="auto" w:fill="29650B"/>
          </w:tcPr>
          <w:p>
            <w:pPr>
              <w:spacing w:after="0"/>
              <w:rPr>
                <w:sz w:val="11"/>
                <w:szCs w:val="11"/>
                <w:color w:val="auto"/>
              </w:rPr>
            </w:pPr>
          </w:p>
        </w:tc>
        <w:tc>
          <w:tcPr>
            <w:tcW w:w="1580" w:type="dxa"/>
            <w:vAlign w:val="bottom"/>
            <w:tcBorders>
              <w:right w:val="single" w:sz="8" w:color="auto"/>
            </w:tcBorders>
            <w:vMerge w:val="continue"/>
            <w:shd w:val="clear" w:color="auto" w:fill="29650B"/>
          </w:tcPr>
          <w:p>
            <w:pPr>
              <w:spacing w:after="0"/>
              <w:rPr>
                <w:sz w:val="11"/>
                <w:szCs w:val="11"/>
                <w:color w:val="auto"/>
              </w:rPr>
            </w:pPr>
          </w:p>
        </w:tc>
        <w:tc>
          <w:tcPr>
            <w:tcW w:w="2140" w:type="dxa"/>
            <w:vAlign w:val="bottom"/>
            <w:tcBorders>
              <w:right w:val="single" w:sz="8" w:color="auto"/>
            </w:tcBorders>
            <w:shd w:val="clear" w:color="auto" w:fill="29650B"/>
          </w:tcPr>
          <w:p>
            <w:pPr>
              <w:jc w:val="center"/>
              <w:spacing w:after="0" w:line="135" w:lineRule="exact"/>
              <w:rPr>
                <w:sz w:val="20"/>
                <w:szCs w:val="20"/>
                <w:color w:val="auto"/>
              </w:rPr>
            </w:pPr>
            <w:r>
              <w:rPr>
                <w:rFonts w:ascii="Times New Roman" w:cs="Times New Roman" w:eastAsia="Times New Roman" w:hAnsi="Times New Roman"/>
                <w:sz w:val="15"/>
                <w:szCs w:val="15"/>
                <w:b w:val="1"/>
                <w:bCs w:val="1"/>
                <w:color w:val="FFFFFF"/>
              </w:rPr>
              <w:t>Total for Non-PEO</w:t>
            </w:r>
          </w:p>
        </w:tc>
        <w:tc>
          <w:tcPr>
            <w:tcW w:w="1560" w:type="dxa"/>
            <w:vAlign w:val="bottom"/>
            <w:tcBorders>
              <w:right w:val="single" w:sz="8" w:color="auto"/>
            </w:tcBorders>
            <w:vMerge w:val="continue"/>
            <w:shd w:val="clear" w:color="auto" w:fill="29650B"/>
          </w:tcPr>
          <w:p>
            <w:pPr>
              <w:spacing w:after="0"/>
              <w:rPr>
                <w:sz w:val="11"/>
                <w:szCs w:val="11"/>
                <w:color w:val="auto"/>
              </w:rPr>
            </w:pPr>
          </w:p>
        </w:tc>
        <w:tc>
          <w:tcPr>
            <w:tcW w:w="780" w:type="dxa"/>
            <w:vAlign w:val="bottom"/>
            <w:tcBorders>
              <w:right w:val="single" w:sz="8" w:color="auto"/>
            </w:tcBorders>
            <w:shd w:val="clear" w:color="auto" w:fill="29650B"/>
          </w:tcPr>
          <w:p>
            <w:pPr>
              <w:spacing w:after="0"/>
              <w:rPr>
                <w:sz w:val="11"/>
                <w:szCs w:val="11"/>
                <w:color w:val="auto"/>
              </w:rPr>
            </w:pPr>
          </w:p>
        </w:tc>
        <w:tc>
          <w:tcPr>
            <w:tcW w:w="900" w:type="dxa"/>
            <w:vAlign w:val="bottom"/>
            <w:tcBorders>
              <w:right w:val="single" w:sz="8" w:color="auto"/>
            </w:tcBorders>
            <w:vMerge w:val="continue"/>
            <w:shd w:val="clear" w:color="auto" w:fill="29650B"/>
          </w:tcPr>
          <w:p>
            <w:pPr>
              <w:spacing w:after="0"/>
              <w:rPr>
                <w:sz w:val="11"/>
                <w:szCs w:val="11"/>
                <w:color w:val="auto"/>
              </w:rPr>
            </w:pPr>
          </w:p>
        </w:tc>
        <w:tc>
          <w:tcPr>
            <w:tcW w:w="1220" w:type="dxa"/>
            <w:vAlign w:val="bottom"/>
            <w:tcBorders>
              <w:right w:val="single" w:sz="8" w:color="auto"/>
            </w:tcBorders>
            <w:vMerge w:val="restart"/>
            <w:shd w:val="clear" w:color="auto" w:fill="29650B"/>
          </w:tcPr>
          <w:p>
            <w:pPr>
              <w:jc w:val="right"/>
              <w:ind w:right="90"/>
              <w:spacing w:after="0"/>
              <w:rPr>
                <w:sz w:val="20"/>
                <w:szCs w:val="20"/>
                <w:color w:val="auto"/>
              </w:rPr>
            </w:pPr>
            <w:r>
              <w:rPr>
                <w:rFonts w:ascii="Times New Roman" w:cs="Times New Roman" w:eastAsia="Times New Roman" w:hAnsi="Times New Roman"/>
                <w:sz w:val="18"/>
                <w:szCs w:val="18"/>
                <w:b w:val="1"/>
                <w:bCs w:val="1"/>
                <w:color w:val="FFFFFF"/>
              </w:rPr>
              <w:t>($ Millions)</w:t>
            </w:r>
          </w:p>
        </w:tc>
        <w:tc>
          <w:tcPr>
            <w:tcW w:w="780" w:type="dxa"/>
            <w:vAlign w:val="bottom"/>
            <w:tcBorders>
              <w:right w:val="single" w:sz="8" w:color="auto"/>
            </w:tcBorders>
            <w:shd w:val="clear" w:color="auto" w:fill="29650B"/>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700" w:type="dxa"/>
            <w:vAlign w:val="bottom"/>
            <w:tcBorders>
              <w:left w:val="single" w:sz="8" w:color="auto"/>
              <w:right w:val="single" w:sz="8" w:color="auto"/>
            </w:tcBorders>
            <w:shd w:val="clear" w:color="auto" w:fill="29650B"/>
          </w:tcPr>
          <w:p>
            <w:pPr>
              <w:spacing w:after="0"/>
              <w:rPr>
                <w:sz w:val="13"/>
                <w:szCs w:val="13"/>
                <w:color w:val="auto"/>
              </w:rPr>
            </w:pPr>
          </w:p>
        </w:tc>
        <w:tc>
          <w:tcPr>
            <w:tcW w:w="1580" w:type="dxa"/>
            <w:vAlign w:val="bottom"/>
            <w:tcBorders>
              <w:right w:val="single" w:sz="8" w:color="auto"/>
            </w:tcBorders>
            <w:vMerge w:val="restart"/>
            <w:shd w:val="clear" w:color="auto" w:fill="29650B"/>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FFFFFF"/>
                <w:w w:val="95"/>
              </w:rPr>
              <w:t>Table Total for</w:t>
            </w:r>
          </w:p>
        </w:tc>
        <w:tc>
          <w:tcPr>
            <w:tcW w:w="1580" w:type="dxa"/>
            <w:vAlign w:val="bottom"/>
            <w:tcBorders>
              <w:right w:val="single" w:sz="8" w:color="auto"/>
            </w:tcBorders>
            <w:vMerge w:val="restart"/>
            <w:shd w:val="clear" w:color="auto" w:fill="29650B"/>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FFFFFF"/>
                <w:w w:val="99"/>
              </w:rPr>
              <w:t>Actually Paid to</w:t>
            </w:r>
          </w:p>
        </w:tc>
        <w:tc>
          <w:tcPr>
            <w:tcW w:w="2140" w:type="dxa"/>
            <w:vAlign w:val="bottom"/>
            <w:tcBorders>
              <w:right w:val="single" w:sz="8" w:color="auto"/>
            </w:tcBorders>
            <w:vMerge w:val="restart"/>
            <w:shd w:val="clear" w:color="auto" w:fill="29650B"/>
          </w:tcPr>
          <w:p>
            <w:pPr>
              <w:jc w:val="center"/>
              <w:spacing w:after="0" w:line="177" w:lineRule="exact"/>
              <w:rPr>
                <w:sz w:val="20"/>
                <w:szCs w:val="20"/>
                <w:color w:val="auto"/>
              </w:rPr>
            </w:pPr>
            <w:r>
              <w:rPr>
                <w:rFonts w:ascii="Times New Roman" w:cs="Times New Roman" w:eastAsia="Times New Roman" w:hAnsi="Times New Roman"/>
                <w:sz w:val="13"/>
                <w:szCs w:val="13"/>
                <w:b w:val="1"/>
                <w:bCs w:val="1"/>
                <w:color w:val="FFFFFF"/>
              </w:rPr>
              <w:t>NEOs</w:t>
            </w:r>
            <w:r>
              <w:rPr>
                <w:rFonts w:ascii="Times New Roman" w:cs="Times New Roman" w:eastAsia="Times New Roman" w:hAnsi="Times New Roman"/>
                <w:sz w:val="20"/>
                <w:szCs w:val="20"/>
                <w:b w:val="1"/>
                <w:bCs w:val="1"/>
                <w:color w:val="FFFFFF"/>
                <w:vertAlign w:val="superscript"/>
              </w:rPr>
              <w:t>1</w:t>
            </w:r>
          </w:p>
        </w:tc>
        <w:tc>
          <w:tcPr>
            <w:tcW w:w="1560" w:type="dxa"/>
            <w:vAlign w:val="bottom"/>
            <w:tcBorders>
              <w:right w:val="single" w:sz="8" w:color="auto"/>
            </w:tcBorders>
            <w:shd w:val="clear" w:color="auto" w:fill="29650B"/>
          </w:tcPr>
          <w:p>
            <w:pPr>
              <w:jc w:val="center"/>
              <w:spacing w:after="0" w:line="157" w:lineRule="exact"/>
              <w:rPr>
                <w:sz w:val="20"/>
                <w:szCs w:val="20"/>
                <w:color w:val="auto"/>
              </w:rPr>
            </w:pPr>
            <w:r>
              <w:rPr>
                <w:rFonts w:ascii="Times New Roman" w:cs="Times New Roman" w:eastAsia="Times New Roman" w:hAnsi="Times New Roman"/>
                <w:sz w:val="18"/>
                <w:szCs w:val="18"/>
                <w:b w:val="1"/>
                <w:bCs w:val="1"/>
                <w:color w:val="FFFFFF"/>
                <w:w w:val="98"/>
              </w:rPr>
              <w:t>Non-PEO</w:t>
            </w:r>
          </w:p>
        </w:tc>
        <w:tc>
          <w:tcPr>
            <w:tcW w:w="780" w:type="dxa"/>
            <w:vAlign w:val="bottom"/>
            <w:tcBorders>
              <w:right w:val="single" w:sz="8" w:color="auto"/>
            </w:tcBorders>
            <w:shd w:val="clear" w:color="auto" w:fill="29650B"/>
          </w:tcPr>
          <w:p>
            <w:pPr>
              <w:spacing w:after="0"/>
              <w:rPr>
                <w:sz w:val="13"/>
                <w:szCs w:val="13"/>
                <w:color w:val="auto"/>
              </w:rPr>
            </w:pPr>
          </w:p>
        </w:tc>
        <w:tc>
          <w:tcPr>
            <w:tcW w:w="900" w:type="dxa"/>
            <w:vAlign w:val="bottom"/>
            <w:tcBorders>
              <w:right w:val="single" w:sz="8" w:color="auto"/>
            </w:tcBorders>
            <w:vMerge w:val="restart"/>
            <w:shd w:val="clear" w:color="auto" w:fill="29650B"/>
          </w:tcPr>
          <w:p>
            <w:pPr>
              <w:jc w:val="center"/>
              <w:spacing w:after="0" w:line="177" w:lineRule="exact"/>
              <w:rPr>
                <w:sz w:val="20"/>
                <w:szCs w:val="20"/>
                <w:color w:val="auto"/>
              </w:rPr>
            </w:pPr>
            <w:r>
              <w:rPr>
                <w:rFonts w:ascii="Times New Roman" w:cs="Times New Roman" w:eastAsia="Times New Roman" w:hAnsi="Times New Roman"/>
                <w:sz w:val="18"/>
                <w:szCs w:val="18"/>
                <w:b w:val="1"/>
                <w:bCs w:val="1"/>
                <w:color w:val="FFFFFF"/>
                <w:w w:val="97"/>
              </w:rPr>
              <w:t>Group</w:t>
            </w:r>
          </w:p>
        </w:tc>
        <w:tc>
          <w:tcPr>
            <w:tcW w:w="1220" w:type="dxa"/>
            <w:vAlign w:val="bottom"/>
            <w:tcBorders>
              <w:right w:val="single" w:sz="8" w:color="auto"/>
            </w:tcBorders>
            <w:vMerge w:val="continue"/>
            <w:shd w:val="clear" w:color="auto" w:fill="29650B"/>
          </w:tcPr>
          <w:p>
            <w:pPr>
              <w:spacing w:after="0"/>
              <w:rPr>
                <w:sz w:val="13"/>
                <w:szCs w:val="13"/>
                <w:color w:val="auto"/>
              </w:rPr>
            </w:pPr>
          </w:p>
        </w:tc>
        <w:tc>
          <w:tcPr>
            <w:tcW w:w="780" w:type="dxa"/>
            <w:vAlign w:val="bottom"/>
            <w:tcBorders>
              <w:right w:val="single" w:sz="8" w:color="auto"/>
            </w:tcBorders>
            <w:shd w:val="clear" w:color="auto" w:fill="29650B"/>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00" w:type="dxa"/>
            <w:vAlign w:val="bottom"/>
            <w:tcBorders>
              <w:left w:val="single" w:sz="8" w:color="auto"/>
              <w:right w:val="single" w:sz="8" w:color="auto"/>
            </w:tcBorders>
            <w:shd w:val="clear" w:color="auto" w:fill="29650B"/>
          </w:tcPr>
          <w:p>
            <w:pPr>
              <w:spacing w:after="0" w:line="20" w:lineRule="exact"/>
              <w:rPr>
                <w:sz w:val="1"/>
                <w:szCs w:val="1"/>
                <w:color w:val="auto"/>
              </w:rPr>
            </w:pPr>
          </w:p>
        </w:tc>
        <w:tc>
          <w:tcPr>
            <w:tcW w:w="1580" w:type="dxa"/>
            <w:vAlign w:val="bottom"/>
            <w:tcBorders>
              <w:right w:val="single" w:sz="8" w:color="auto"/>
            </w:tcBorders>
            <w:vMerge w:val="continue"/>
            <w:shd w:val="clear" w:color="auto" w:fill="29650B"/>
          </w:tcPr>
          <w:p>
            <w:pPr>
              <w:spacing w:after="0" w:line="20" w:lineRule="exact"/>
              <w:rPr>
                <w:sz w:val="1"/>
                <w:szCs w:val="1"/>
                <w:color w:val="auto"/>
              </w:rPr>
            </w:pPr>
          </w:p>
        </w:tc>
        <w:tc>
          <w:tcPr>
            <w:tcW w:w="1580" w:type="dxa"/>
            <w:vAlign w:val="bottom"/>
            <w:tcBorders>
              <w:right w:val="single" w:sz="8" w:color="auto"/>
            </w:tcBorders>
            <w:vMerge w:val="continue"/>
            <w:shd w:val="clear" w:color="auto" w:fill="29650B"/>
          </w:tcPr>
          <w:p>
            <w:pPr>
              <w:spacing w:after="0" w:line="20" w:lineRule="exact"/>
              <w:rPr>
                <w:sz w:val="1"/>
                <w:szCs w:val="1"/>
                <w:color w:val="auto"/>
              </w:rPr>
            </w:pPr>
          </w:p>
        </w:tc>
        <w:tc>
          <w:tcPr>
            <w:tcW w:w="2140" w:type="dxa"/>
            <w:vAlign w:val="bottom"/>
            <w:tcBorders>
              <w:right w:val="single" w:sz="8" w:color="auto"/>
            </w:tcBorders>
            <w:vMerge w:val="continue"/>
            <w:shd w:val="clear" w:color="auto" w:fill="29650B"/>
          </w:tcPr>
          <w:p>
            <w:pPr>
              <w:spacing w:after="0" w:line="20" w:lineRule="exact"/>
              <w:rPr>
                <w:sz w:val="1"/>
                <w:szCs w:val="1"/>
                <w:color w:val="auto"/>
              </w:rPr>
            </w:pPr>
          </w:p>
        </w:tc>
        <w:tc>
          <w:tcPr>
            <w:tcW w:w="1560" w:type="dxa"/>
            <w:vAlign w:val="bottom"/>
            <w:tcBorders>
              <w:right w:val="single" w:sz="8" w:color="auto"/>
            </w:tcBorders>
            <w:vMerge w:val="restart"/>
            <w:shd w:val="clear" w:color="auto" w:fill="29650B"/>
          </w:tcPr>
          <w:p>
            <w:pPr>
              <w:jc w:val="center"/>
              <w:spacing w:after="0" w:line="252" w:lineRule="exact"/>
              <w:rPr>
                <w:sz w:val="20"/>
                <w:szCs w:val="20"/>
                <w:color w:val="auto"/>
              </w:rPr>
            </w:pPr>
            <w:r>
              <w:rPr>
                <w:rFonts w:ascii="Times New Roman" w:cs="Times New Roman" w:eastAsia="Times New Roman" w:hAnsi="Times New Roman"/>
                <w:sz w:val="29"/>
                <w:szCs w:val="29"/>
                <w:b w:val="1"/>
                <w:bCs w:val="1"/>
                <w:color w:val="FFFFFF"/>
                <w:vertAlign w:val="subscript"/>
              </w:rPr>
              <w:t>NEOs</w:t>
            </w:r>
            <w:r>
              <w:rPr>
                <w:rFonts w:ascii="Times New Roman" w:cs="Times New Roman" w:eastAsia="Times New Roman" w:hAnsi="Times New Roman"/>
                <w:sz w:val="13"/>
                <w:szCs w:val="13"/>
                <w:b w:val="1"/>
                <w:bCs w:val="1"/>
                <w:color w:val="FFFFFF"/>
              </w:rPr>
              <w:t>1,2,3</w:t>
            </w:r>
          </w:p>
        </w:tc>
        <w:tc>
          <w:tcPr>
            <w:tcW w:w="780" w:type="dxa"/>
            <w:vAlign w:val="bottom"/>
            <w:tcBorders>
              <w:right w:val="single" w:sz="8" w:color="auto"/>
            </w:tcBorders>
            <w:shd w:val="clear" w:color="auto" w:fill="29650B"/>
          </w:tcPr>
          <w:p>
            <w:pPr>
              <w:spacing w:after="0" w:line="20" w:lineRule="exact"/>
              <w:rPr>
                <w:sz w:val="1"/>
                <w:szCs w:val="1"/>
                <w:color w:val="auto"/>
              </w:rPr>
            </w:pPr>
          </w:p>
        </w:tc>
        <w:tc>
          <w:tcPr>
            <w:tcW w:w="900" w:type="dxa"/>
            <w:vAlign w:val="bottom"/>
            <w:tcBorders>
              <w:right w:val="single" w:sz="8" w:color="auto"/>
            </w:tcBorders>
            <w:vMerge w:val="continue"/>
            <w:shd w:val="clear" w:color="auto" w:fill="29650B"/>
          </w:tcPr>
          <w:p>
            <w:pPr>
              <w:spacing w:after="0" w:line="20" w:lineRule="exact"/>
              <w:rPr>
                <w:sz w:val="1"/>
                <w:szCs w:val="1"/>
                <w:color w:val="auto"/>
              </w:rPr>
            </w:pPr>
          </w:p>
        </w:tc>
        <w:tc>
          <w:tcPr>
            <w:tcW w:w="1220" w:type="dxa"/>
            <w:vAlign w:val="bottom"/>
            <w:tcBorders>
              <w:right w:val="single" w:sz="8" w:color="auto"/>
            </w:tcBorders>
            <w:shd w:val="clear" w:color="auto" w:fill="29650B"/>
          </w:tcPr>
          <w:p>
            <w:pPr>
              <w:spacing w:after="0" w:line="20" w:lineRule="exact"/>
              <w:rPr>
                <w:sz w:val="1"/>
                <w:szCs w:val="1"/>
                <w:color w:val="auto"/>
              </w:rPr>
            </w:pPr>
          </w:p>
        </w:tc>
        <w:tc>
          <w:tcPr>
            <w:tcW w:w="780" w:type="dxa"/>
            <w:vAlign w:val="bottom"/>
            <w:tcBorders>
              <w:right w:val="single" w:sz="8" w:color="auto"/>
            </w:tcBorders>
            <w:shd w:val="clear" w:color="auto" w:fill="29650B"/>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700" w:type="dxa"/>
            <w:vAlign w:val="bottom"/>
            <w:tcBorders>
              <w:left w:val="single" w:sz="8" w:color="auto"/>
              <w:right w:val="single" w:sz="8" w:color="auto"/>
            </w:tcBorders>
            <w:shd w:val="clear" w:color="auto" w:fill="29650B"/>
          </w:tcPr>
          <w:p>
            <w:pPr>
              <w:spacing w:after="0"/>
              <w:rPr>
                <w:sz w:val="20"/>
                <w:szCs w:val="20"/>
                <w:color w:val="auto"/>
              </w:rPr>
            </w:pP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PEO¹</w:t>
            </w:r>
          </w:p>
        </w:tc>
        <w:tc>
          <w:tcPr>
            <w:tcW w:w="158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8"/>
              </w:rPr>
              <w:t>PEO¹</w:t>
            </w:r>
            <w:r>
              <w:rPr>
                <w:rFonts w:ascii="Arial" w:cs="Arial" w:eastAsia="Arial" w:hAnsi="Arial"/>
                <w:sz w:val="18"/>
                <w:szCs w:val="18"/>
                <w:color w:val="000000"/>
                <w:w w:val="98"/>
              </w:rPr>
              <w:t>˒</w:t>
            </w:r>
            <w:r>
              <w:rPr>
                <w:rFonts w:ascii="Times New Roman" w:cs="Times New Roman" w:eastAsia="Times New Roman" w:hAnsi="Times New Roman"/>
                <w:sz w:val="18"/>
                <w:szCs w:val="18"/>
                <w:b w:val="1"/>
                <w:bCs w:val="1"/>
                <w:color w:val="FFFFFF"/>
                <w:w w:val="98"/>
              </w:rPr>
              <w:t>²</w:t>
            </w:r>
            <w:r>
              <w:rPr>
                <w:rFonts w:ascii="Arial" w:cs="Arial" w:eastAsia="Arial" w:hAnsi="Arial"/>
                <w:sz w:val="18"/>
                <w:szCs w:val="18"/>
                <w:color w:val="000000"/>
                <w:w w:val="98"/>
              </w:rPr>
              <w:t>˒</w:t>
            </w:r>
            <w:r>
              <w:rPr>
                <w:rFonts w:ascii="Times New Roman" w:cs="Times New Roman" w:eastAsia="Times New Roman" w:hAnsi="Times New Roman"/>
                <w:sz w:val="18"/>
                <w:szCs w:val="18"/>
                <w:b w:val="1"/>
                <w:bCs w:val="1"/>
                <w:color w:val="FFFFFF"/>
                <w:w w:val="98"/>
              </w:rPr>
              <w:t>³</w:t>
            </w:r>
          </w:p>
        </w:tc>
        <w:tc>
          <w:tcPr>
            <w:tcW w:w="214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560" w:type="dxa"/>
            <w:vAlign w:val="bottom"/>
            <w:tcBorders>
              <w:right w:val="single" w:sz="8" w:color="auto"/>
            </w:tcBorders>
            <w:vMerge w:val="continue"/>
            <w:shd w:val="clear" w:color="auto" w:fill="29650B"/>
          </w:tcPr>
          <w:p>
            <w:pPr>
              <w:spacing w:after="0"/>
              <w:rPr>
                <w:sz w:val="20"/>
                <w:szCs w:val="20"/>
                <w:color w:val="auto"/>
              </w:rPr>
            </w:pPr>
          </w:p>
        </w:tc>
        <w:tc>
          <w:tcPr>
            <w:tcW w:w="780" w:type="dxa"/>
            <w:vAlign w:val="bottom"/>
            <w:tcBorders>
              <w:right w:val="single" w:sz="8" w:color="auto"/>
            </w:tcBorders>
            <w:shd w:val="clear" w:color="auto" w:fill="29650B"/>
          </w:tcPr>
          <w:p>
            <w:pPr>
              <w:jc w:val="right"/>
              <w:ind w:right="130"/>
              <w:spacing w:after="0"/>
              <w:rPr>
                <w:sz w:val="20"/>
                <w:szCs w:val="20"/>
                <w:color w:val="auto"/>
              </w:rPr>
            </w:pPr>
            <w:r>
              <w:rPr>
                <w:rFonts w:ascii="Times New Roman" w:cs="Times New Roman" w:eastAsia="Times New Roman" w:hAnsi="Times New Roman"/>
                <w:sz w:val="18"/>
                <w:szCs w:val="18"/>
                <w:b w:val="1"/>
                <w:bCs w:val="1"/>
                <w:color w:val="FFFFFF"/>
              </w:rPr>
              <w:t>TSR</w:t>
            </w:r>
          </w:p>
        </w:tc>
        <w:tc>
          <w:tcPr>
            <w:tcW w:w="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6"/>
              </w:rPr>
              <w:t>TSR</w:t>
            </w:r>
          </w:p>
        </w:tc>
        <w:tc>
          <w:tcPr>
            <w:tcW w:w="1220" w:type="dxa"/>
            <w:vAlign w:val="bottom"/>
            <w:tcBorders>
              <w:right w:val="single" w:sz="8" w:color="auto"/>
            </w:tcBorders>
            <w:shd w:val="clear" w:color="auto" w:fill="29650B"/>
          </w:tcPr>
          <w:p>
            <w:pPr>
              <w:spacing w:after="0"/>
              <w:rPr>
                <w:sz w:val="20"/>
                <w:szCs w:val="20"/>
                <w:color w:val="auto"/>
              </w:rPr>
            </w:pPr>
          </w:p>
        </w:tc>
        <w:tc>
          <w:tcPr>
            <w:tcW w:w="780" w:type="dxa"/>
            <w:vAlign w:val="bottom"/>
            <w:tcBorders>
              <w:right w:val="single" w:sz="8" w:color="auto"/>
            </w:tcBorders>
            <w:shd w:val="clear" w:color="auto" w:fill="29650B"/>
          </w:tcPr>
          <w:p>
            <w:pPr>
              <w:spacing w:after="0"/>
              <w:rPr>
                <w:sz w:val="20"/>
                <w:szCs w:val="20"/>
                <w:color w:val="auto"/>
              </w:rPr>
            </w:pPr>
          </w:p>
        </w:tc>
        <w:tc>
          <w:tcPr>
            <w:tcW w:w="0" w:type="dxa"/>
            <w:vAlign w:val="bottom"/>
          </w:tcPr>
          <w:p>
            <w:pPr>
              <w:spacing w:after="0"/>
              <w:rPr>
                <w:sz w:val="1"/>
                <w:szCs w:val="1"/>
                <w:color w:val="auto"/>
              </w:rPr>
            </w:pPr>
          </w:p>
        </w:tc>
      </w:tr>
      <w:tr>
        <w:trPr>
          <w:trHeight w:val="117"/>
        </w:trPr>
        <w:tc>
          <w:tcPr>
            <w:tcW w:w="700" w:type="dxa"/>
            <w:vAlign w:val="bottom"/>
            <w:tcBorders>
              <w:left w:val="single" w:sz="8" w:color="auto"/>
              <w:right w:val="single" w:sz="8" w:color="auto"/>
            </w:tcBorders>
            <w:shd w:val="clear" w:color="auto" w:fill="29650B"/>
          </w:tcPr>
          <w:p>
            <w:pPr>
              <w:spacing w:after="0"/>
              <w:rPr>
                <w:sz w:val="10"/>
                <w:szCs w:val="10"/>
                <w:color w:val="auto"/>
              </w:rPr>
            </w:pPr>
          </w:p>
        </w:tc>
        <w:tc>
          <w:tcPr>
            <w:tcW w:w="15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58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2140" w:type="dxa"/>
            <w:vAlign w:val="bottom"/>
            <w:tcBorders>
              <w:right w:val="single" w:sz="8" w:color="auto"/>
            </w:tcBorders>
            <w:vMerge w:val="continue"/>
            <w:shd w:val="clear" w:color="auto" w:fill="29650B"/>
          </w:tcPr>
          <w:p>
            <w:pPr>
              <w:spacing w:after="0"/>
              <w:rPr>
                <w:sz w:val="10"/>
                <w:szCs w:val="10"/>
                <w:color w:val="auto"/>
              </w:rPr>
            </w:pPr>
          </w:p>
        </w:tc>
        <w:tc>
          <w:tcPr>
            <w:tcW w:w="156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780" w:type="dxa"/>
            <w:vAlign w:val="bottom"/>
            <w:tcBorders>
              <w:right w:val="single" w:sz="8" w:color="auto"/>
            </w:tcBorders>
            <w:vMerge w:val="restart"/>
            <w:shd w:val="clear" w:color="auto" w:fill="29650B"/>
          </w:tcPr>
          <w:p>
            <w:pPr>
              <w:jc w:val="right"/>
              <w:ind w:right="210"/>
              <w:spacing w:after="0"/>
              <w:rPr>
                <w:sz w:val="20"/>
                <w:szCs w:val="20"/>
                <w:color w:val="auto"/>
              </w:rPr>
            </w:pPr>
            <w:r>
              <w:rPr>
                <w:rFonts w:ascii="Times New Roman" w:cs="Times New Roman" w:eastAsia="Times New Roman" w:hAnsi="Times New Roman"/>
                <w:sz w:val="18"/>
                <w:szCs w:val="18"/>
                <w:b w:val="1"/>
                <w:bCs w:val="1"/>
                <w:color w:val="FFFFFF"/>
              </w:rPr>
              <w:t>($)</w:t>
            </w:r>
          </w:p>
        </w:tc>
        <w:tc>
          <w:tcPr>
            <w:tcW w:w="90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18"/>
                <w:szCs w:val="18"/>
                <w:b w:val="1"/>
                <w:bCs w:val="1"/>
                <w:color w:val="FFFFFF"/>
                <w:w w:val="95"/>
              </w:rPr>
              <w:t>($)</w:t>
            </w:r>
          </w:p>
        </w:tc>
        <w:tc>
          <w:tcPr>
            <w:tcW w:w="1220" w:type="dxa"/>
            <w:vAlign w:val="bottom"/>
            <w:tcBorders>
              <w:right w:val="single" w:sz="8" w:color="auto"/>
            </w:tcBorders>
            <w:shd w:val="clear" w:color="auto" w:fill="29650B"/>
          </w:tcPr>
          <w:p>
            <w:pPr>
              <w:spacing w:after="0"/>
              <w:rPr>
                <w:sz w:val="10"/>
                <w:szCs w:val="10"/>
                <w:color w:val="auto"/>
              </w:rPr>
            </w:pPr>
          </w:p>
        </w:tc>
        <w:tc>
          <w:tcPr>
            <w:tcW w:w="780" w:type="dxa"/>
            <w:vAlign w:val="bottom"/>
            <w:tcBorders>
              <w:right w:val="single" w:sz="8" w:color="auto"/>
            </w:tcBorders>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tcBorders>
              <w:left w:val="single" w:sz="8" w:color="auto"/>
              <w:bottom w:val="single" w:sz="8" w:color="auto"/>
              <w:right w:val="single" w:sz="8" w:color="auto"/>
            </w:tcBorders>
            <w:shd w:val="clear" w:color="auto" w:fill="29650B"/>
          </w:tcPr>
          <w:p>
            <w:pPr>
              <w:spacing w:after="0"/>
              <w:rPr>
                <w:sz w:val="10"/>
                <w:szCs w:val="10"/>
                <w:color w:val="auto"/>
              </w:rPr>
            </w:pPr>
          </w:p>
        </w:tc>
        <w:tc>
          <w:tcPr>
            <w:tcW w:w="158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158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2140" w:type="dxa"/>
            <w:vAlign w:val="bottom"/>
            <w:tcBorders>
              <w:bottom w:val="single" w:sz="8" w:color="auto"/>
              <w:right w:val="single" w:sz="8" w:color="auto"/>
            </w:tcBorders>
            <w:shd w:val="clear" w:color="auto" w:fill="29650B"/>
          </w:tcPr>
          <w:p>
            <w:pPr>
              <w:spacing w:after="0"/>
              <w:rPr>
                <w:sz w:val="10"/>
                <w:szCs w:val="10"/>
                <w:color w:val="auto"/>
              </w:rPr>
            </w:pPr>
          </w:p>
        </w:tc>
        <w:tc>
          <w:tcPr>
            <w:tcW w:w="156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78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900" w:type="dxa"/>
            <w:vAlign w:val="bottom"/>
            <w:tcBorders>
              <w:bottom w:val="single" w:sz="8" w:color="auto"/>
              <w:right w:val="single" w:sz="8" w:color="auto"/>
            </w:tcBorders>
            <w:vMerge w:val="continue"/>
            <w:shd w:val="clear" w:color="auto" w:fill="29650B"/>
          </w:tcPr>
          <w:p>
            <w:pPr>
              <w:spacing w:after="0"/>
              <w:rPr>
                <w:sz w:val="10"/>
                <w:szCs w:val="10"/>
                <w:color w:val="auto"/>
              </w:rPr>
            </w:pPr>
          </w:p>
        </w:tc>
        <w:tc>
          <w:tcPr>
            <w:tcW w:w="1220" w:type="dxa"/>
            <w:vAlign w:val="bottom"/>
            <w:tcBorders>
              <w:bottom w:val="single" w:sz="8" w:color="auto"/>
              <w:right w:val="single" w:sz="8" w:color="auto"/>
            </w:tcBorders>
            <w:shd w:val="clear" w:color="auto" w:fill="29650B"/>
          </w:tcPr>
          <w:p>
            <w:pPr>
              <w:spacing w:after="0"/>
              <w:rPr>
                <w:sz w:val="10"/>
                <w:szCs w:val="10"/>
                <w:color w:val="auto"/>
              </w:rPr>
            </w:pPr>
          </w:p>
        </w:tc>
        <w:tc>
          <w:tcPr>
            <w:tcW w:w="780" w:type="dxa"/>
            <w:vAlign w:val="bottom"/>
            <w:tcBorders>
              <w:bottom w:val="single" w:sz="8" w:color="auto"/>
              <w:right w:val="single" w:sz="8" w:color="auto"/>
            </w:tcBorders>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15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17,501,363</w:t>
            </w:r>
          </w:p>
        </w:tc>
        <w:tc>
          <w:tcPr>
            <w:tcW w:w="15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42,578,156</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5,048,414</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10,810,332</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108.16</w:t>
            </w:r>
          </w:p>
        </w:tc>
        <w:tc>
          <w:tcPr>
            <w:tcW w:w="9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100.00</w:t>
            </w:r>
          </w:p>
        </w:tc>
        <w:tc>
          <w:tcPr>
            <w:tcW w:w="12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883</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9"/>
        </w:trPr>
        <w:tc>
          <w:tcPr>
            <w:tcW w:w="700" w:type="dxa"/>
            <w:vAlign w:val="bottom"/>
            <w:tcBorders>
              <w:left w:val="single" w:sz="8" w:color="auto"/>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1580" w:type="dxa"/>
            <w:vAlign w:val="bottom"/>
            <w:tcBorders>
              <w:bottom w:val="single" w:sz="8" w:color="auto"/>
              <w:right w:val="single" w:sz="8" w:color="auto"/>
            </w:tcBorders>
            <w:shd w:val="clear" w:color="auto" w:fill="D9D9D9"/>
          </w:tcPr>
          <w:p>
            <w:pPr>
              <w:jc w:val="right"/>
              <w:ind w:right="310"/>
              <w:spacing w:after="0"/>
              <w:rPr>
                <w:sz w:val="20"/>
                <w:szCs w:val="20"/>
                <w:color w:val="auto"/>
              </w:rPr>
            </w:pPr>
            <w:r>
              <w:rPr>
                <w:rFonts w:ascii="Times New Roman" w:cs="Times New Roman" w:eastAsia="Times New Roman" w:hAnsi="Times New Roman"/>
                <w:sz w:val="18"/>
                <w:szCs w:val="18"/>
                <w:color w:val="auto"/>
              </w:rPr>
              <w:t>13,618,150</w:t>
            </w:r>
          </w:p>
        </w:tc>
        <w:tc>
          <w:tcPr>
            <w:tcW w:w="1580" w:type="dxa"/>
            <w:vAlign w:val="bottom"/>
            <w:tcBorders>
              <w:bottom w:val="single" w:sz="8" w:color="auto"/>
              <w:right w:val="single" w:sz="8" w:color="auto"/>
            </w:tcBorders>
            <w:shd w:val="clear" w:color="auto" w:fill="D9D9D9"/>
          </w:tcPr>
          <w:p>
            <w:pPr>
              <w:jc w:val="right"/>
              <w:ind w:right="310"/>
              <w:spacing w:after="0"/>
              <w:rPr>
                <w:sz w:val="20"/>
                <w:szCs w:val="20"/>
                <w:color w:val="auto"/>
              </w:rPr>
            </w:pPr>
            <w:r>
              <w:rPr>
                <w:rFonts w:ascii="Times New Roman" w:cs="Times New Roman" w:eastAsia="Times New Roman" w:hAnsi="Times New Roman"/>
                <w:sz w:val="18"/>
                <w:szCs w:val="18"/>
                <w:color w:val="auto"/>
              </w:rPr>
              <w:t>11,369,490</w:t>
            </w:r>
          </w:p>
        </w:tc>
        <w:tc>
          <w:tcPr>
            <w:tcW w:w="2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4,296,724</w:t>
            </w:r>
          </w:p>
        </w:tc>
        <w:tc>
          <w:tcPr>
            <w:tcW w:w="156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3,627,077</w:t>
            </w:r>
          </w:p>
        </w:tc>
        <w:tc>
          <w:tcPr>
            <w:tcW w:w="7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85.93</w:t>
            </w:r>
          </w:p>
        </w:tc>
        <w:tc>
          <w:tcPr>
            <w:tcW w:w="900" w:type="dxa"/>
            <w:vAlign w:val="bottom"/>
            <w:tcBorders>
              <w:bottom w:val="single" w:sz="8" w:color="auto"/>
              <w:right w:val="single" w:sz="8" w:color="auto"/>
            </w:tcBorders>
            <w:shd w:val="clear" w:color="auto" w:fill="D9D9D9"/>
          </w:tcPr>
          <w:p>
            <w:pPr>
              <w:jc w:val="right"/>
              <w:ind w:right="130"/>
              <w:spacing w:after="0"/>
              <w:rPr>
                <w:sz w:val="20"/>
                <w:szCs w:val="20"/>
                <w:color w:val="auto"/>
              </w:rPr>
            </w:pPr>
            <w:r>
              <w:rPr>
                <w:rFonts w:ascii="Times New Roman" w:cs="Times New Roman" w:eastAsia="Times New Roman" w:hAnsi="Times New Roman"/>
                <w:sz w:val="18"/>
                <w:szCs w:val="18"/>
                <w:color w:val="auto"/>
              </w:rPr>
              <w:t>113.00</w:t>
            </w:r>
          </w:p>
        </w:tc>
        <w:tc>
          <w:tcPr>
            <w:tcW w:w="1220" w:type="dxa"/>
            <w:vAlign w:val="bottom"/>
            <w:tcBorders>
              <w:bottom w:val="single" w:sz="8" w:color="auto"/>
              <w:right w:val="single" w:sz="8" w:color="auto"/>
            </w:tcBorders>
            <w:shd w:val="clear" w:color="auto" w:fill="D9D9D9"/>
          </w:tcPr>
          <w:p>
            <w:pPr>
              <w:jc w:val="right"/>
              <w:ind w:right="390"/>
              <w:spacing w:after="0"/>
              <w:rPr>
                <w:sz w:val="20"/>
                <w:szCs w:val="20"/>
                <w:color w:val="auto"/>
              </w:rPr>
            </w:pPr>
            <w:r>
              <w:rPr>
                <w:rFonts w:ascii="Times New Roman" w:cs="Times New Roman" w:eastAsia="Times New Roman" w:hAnsi="Times New Roman"/>
                <w:sz w:val="18"/>
                <w:szCs w:val="18"/>
                <w:color w:val="auto"/>
              </w:rPr>
              <w:t>560</w:t>
            </w:r>
          </w:p>
        </w:tc>
        <w:tc>
          <w:tcPr>
            <w:tcW w:w="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10"/>
        </w:trPr>
        <w:tc>
          <w:tcPr>
            <w:tcW w:w="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11,928,223</w:t>
            </w:r>
          </w:p>
        </w:tc>
        <w:tc>
          <w:tcPr>
            <w:tcW w:w="15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16,258,848</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3,489,766</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3,998,035</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94.56</w:t>
            </w:r>
          </w:p>
        </w:tc>
        <w:tc>
          <w:tcPr>
            <w:tcW w:w="9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98.00</w:t>
            </w:r>
          </w:p>
        </w:tc>
        <w:tc>
          <w:tcPr>
            <w:tcW w:w="1220" w:type="dxa"/>
            <w:vAlign w:val="bottom"/>
            <w:tcBorders>
              <w:bottom w:val="single" w:sz="8" w:color="auto"/>
              <w:right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587</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700" w:type="dxa"/>
            <w:vAlign w:val="bottom"/>
            <w:tcBorders>
              <w:left w:val="single" w:sz="8" w:color="auto"/>
              <w:bottom w:val="single" w:sz="8" w:color="auto"/>
              <w:right w:val="single" w:sz="8" w:color="auto"/>
            </w:tcBorders>
            <w:shd w:val="clear" w:color="auto" w:fill="D9D9D9"/>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1580" w:type="dxa"/>
            <w:vAlign w:val="bottom"/>
            <w:tcBorders>
              <w:bottom w:val="single" w:sz="8" w:color="auto"/>
              <w:right w:val="single" w:sz="8" w:color="auto"/>
            </w:tcBorders>
            <w:shd w:val="clear" w:color="auto" w:fill="D9D9D9"/>
          </w:tcPr>
          <w:p>
            <w:pPr>
              <w:jc w:val="right"/>
              <w:ind w:right="310"/>
              <w:spacing w:after="0"/>
              <w:rPr>
                <w:sz w:val="20"/>
                <w:szCs w:val="20"/>
                <w:color w:val="auto"/>
              </w:rPr>
            </w:pPr>
            <w:r>
              <w:rPr>
                <w:rFonts w:ascii="Times New Roman" w:cs="Times New Roman" w:eastAsia="Times New Roman" w:hAnsi="Times New Roman"/>
                <w:sz w:val="18"/>
                <w:szCs w:val="18"/>
                <w:color w:val="auto"/>
              </w:rPr>
              <w:t>9,300,136</w:t>
            </w:r>
          </w:p>
        </w:tc>
        <w:tc>
          <w:tcPr>
            <w:tcW w:w="1580" w:type="dxa"/>
            <w:vAlign w:val="bottom"/>
            <w:tcBorders>
              <w:bottom w:val="single" w:sz="8" w:color="auto"/>
              <w:right w:val="single" w:sz="8" w:color="auto"/>
            </w:tcBorders>
            <w:shd w:val="clear" w:color="auto" w:fill="D9D9D9"/>
          </w:tcPr>
          <w:p>
            <w:pPr>
              <w:jc w:val="right"/>
              <w:ind w:right="250"/>
              <w:spacing w:after="0"/>
              <w:rPr>
                <w:sz w:val="20"/>
                <w:szCs w:val="20"/>
                <w:color w:val="auto"/>
              </w:rPr>
            </w:pPr>
            <w:r>
              <w:rPr>
                <w:rFonts w:ascii="Times New Roman" w:cs="Times New Roman" w:eastAsia="Times New Roman" w:hAnsi="Times New Roman"/>
                <w:sz w:val="18"/>
                <w:szCs w:val="18"/>
                <w:color w:val="auto"/>
              </w:rPr>
              <w:t>(6,982,448)</w:t>
            </w:r>
          </w:p>
        </w:tc>
        <w:tc>
          <w:tcPr>
            <w:tcW w:w="214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w w:val="99"/>
              </w:rPr>
              <w:t>2,229,044</w:t>
            </w:r>
          </w:p>
        </w:tc>
        <w:tc>
          <w:tcPr>
            <w:tcW w:w="1560" w:type="dxa"/>
            <w:vAlign w:val="bottom"/>
            <w:tcBorders>
              <w:bottom w:val="single" w:sz="8" w:color="auto"/>
              <w:right w:val="single" w:sz="8" w:color="auto"/>
            </w:tcBorders>
            <w:shd w:val="clear" w:color="auto" w:fill="D9D9D9"/>
          </w:tcPr>
          <w:p>
            <w:pPr>
              <w:jc w:val="right"/>
              <w:ind w:right="312"/>
              <w:spacing w:after="0"/>
              <w:rPr>
                <w:sz w:val="20"/>
                <w:szCs w:val="20"/>
                <w:color w:val="auto"/>
              </w:rPr>
            </w:pPr>
            <w:r>
              <w:rPr>
                <w:rFonts w:ascii="Times New Roman" w:cs="Times New Roman" w:eastAsia="Times New Roman" w:hAnsi="Times New Roman"/>
                <w:sz w:val="18"/>
                <w:szCs w:val="18"/>
                <w:color w:val="auto"/>
              </w:rPr>
              <w:t>(650,485)</w:t>
            </w:r>
          </w:p>
        </w:tc>
        <w:tc>
          <w:tcPr>
            <w:tcW w:w="780" w:type="dxa"/>
            <w:vAlign w:val="bottom"/>
            <w:tcBorders>
              <w:bottom w:val="single" w:sz="8" w:color="auto"/>
              <w:right w:val="single" w:sz="8" w:color="auto"/>
            </w:tcBorders>
            <w:shd w:val="clear" w:color="auto" w:fill="D9D9D9"/>
          </w:tcPr>
          <w:p>
            <w:pPr>
              <w:jc w:val="right"/>
              <w:ind w:right="30"/>
              <w:spacing w:after="0"/>
              <w:rPr>
                <w:sz w:val="20"/>
                <w:szCs w:val="20"/>
                <w:color w:val="auto"/>
              </w:rPr>
            </w:pPr>
            <w:r>
              <w:rPr>
                <w:rFonts w:ascii="Times New Roman" w:cs="Times New Roman" w:eastAsia="Times New Roman" w:hAnsi="Times New Roman"/>
                <w:sz w:val="18"/>
                <w:szCs w:val="18"/>
                <w:color w:val="auto"/>
              </w:rPr>
              <w:t>83.46</w:t>
            </w:r>
          </w:p>
        </w:tc>
        <w:tc>
          <w:tcPr>
            <w:tcW w:w="900" w:type="dxa"/>
            <w:vAlign w:val="bottom"/>
            <w:tcBorders>
              <w:bottom w:val="single" w:sz="8" w:color="auto"/>
              <w:right w:val="single" w:sz="8" w:color="auto"/>
            </w:tcBorders>
            <w:shd w:val="clear" w:color="auto" w:fill="D9D9D9"/>
          </w:tcPr>
          <w:p>
            <w:pPr>
              <w:jc w:val="right"/>
              <w:ind w:right="130"/>
              <w:spacing w:after="0"/>
              <w:rPr>
                <w:sz w:val="20"/>
                <w:szCs w:val="20"/>
                <w:color w:val="auto"/>
              </w:rPr>
            </w:pPr>
            <w:r>
              <w:rPr>
                <w:rFonts w:ascii="Times New Roman" w:cs="Times New Roman" w:eastAsia="Times New Roman" w:hAnsi="Times New Roman"/>
                <w:sz w:val="18"/>
                <w:szCs w:val="18"/>
                <w:color w:val="auto"/>
              </w:rPr>
              <w:t>91.00</w:t>
            </w:r>
          </w:p>
        </w:tc>
        <w:tc>
          <w:tcPr>
            <w:tcW w:w="1220" w:type="dxa"/>
            <w:vAlign w:val="bottom"/>
            <w:tcBorders>
              <w:bottom w:val="single" w:sz="8" w:color="auto"/>
              <w:right w:val="single" w:sz="8" w:color="auto"/>
            </w:tcBorders>
            <w:shd w:val="clear" w:color="auto" w:fill="D9D9D9"/>
          </w:tcPr>
          <w:p>
            <w:pPr>
              <w:jc w:val="right"/>
              <w:ind w:right="390"/>
              <w:spacing w:after="0"/>
              <w:rPr>
                <w:sz w:val="20"/>
                <w:szCs w:val="20"/>
                <w:color w:val="auto"/>
              </w:rPr>
            </w:pPr>
            <w:r>
              <w:rPr>
                <w:rFonts w:ascii="Times New Roman" w:cs="Times New Roman" w:eastAsia="Times New Roman" w:hAnsi="Times New Roman"/>
                <w:sz w:val="18"/>
                <w:szCs w:val="18"/>
                <w:color w:val="auto"/>
              </w:rPr>
              <w:t>855</w:t>
            </w:r>
          </w:p>
        </w:tc>
        <w:tc>
          <w:tcPr>
            <w:tcW w:w="780" w:type="dxa"/>
            <w:vAlign w:val="bottom"/>
            <w:tcBorders>
              <w:bottom w:val="single" w:sz="8" w:color="auto"/>
              <w:right w:val="single" w:sz="8" w:color="auto"/>
            </w:tcBorders>
            <w:shd w:val="clear" w:color="auto" w:fill="D9D9D9"/>
          </w:tcPr>
          <w:p>
            <w:pPr>
              <w:jc w:val="center"/>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0"/>
        </w:trPr>
        <w:tc>
          <w:tcPr>
            <w:tcW w:w="700" w:type="dxa"/>
            <w:vAlign w:val="bottom"/>
            <w:tcBorders>
              <w:left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11,815,065</w:t>
            </w:r>
          </w:p>
        </w:tc>
        <w:tc>
          <w:tcPr>
            <w:tcW w:w="1580" w:type="dxa"/>
            <w:vAlign w:val="bottom"/>
            <w:tcBorders>
              <w:bottom w:val="single" w:sz="8" w:color="auto"/>
              <w:right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13,384,538</w:t>
            </w:r>
          </w:p>
        </w:tc>
        <w:tc>
          <w:tcPr>
            <w:tcW w:w="2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3,441,916</w:t>
            </w:r>
          </w:p>
        </w:tc>
        <w:tc>
          <w:tcPr>
            <w:tcW w:w="15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3,878,831</w:t>
            </w:r>
          </w:p>
        </w:tc>
        <w:tc>
          <w:tcPr>
            <w:tcW w:w="780" w:type="dxa"/>
            <w:vAlign w:val="bottom"/>
            <w:tcBorders>
              <w:bottom w:val="single" w:sz="8" w:color="auto"/>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111.26</w:t>
            </w:r>
          </w:p>
        </w:tc>
        <w:tc>
          <w:tcPr>
            <w:tcW w:w="900" w:type="dxa"/>
            <w:vAlign w:val="bottom"/>
            <w:tcBorders>
              <w:bottom w:val="single" w:sz="8" w:color="auto"/>
              <w:right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111.00</w:t>
            </w:r>
          </w:p>
        </w:tc>
        <w:tc>
          <w:tcPr>
            <w:tcW w:w="1220" w:type="dxa"/>
            <w:vAlign w:val="bottom"/>
            <w:tcBorders>
              <w:bottom w:val="single" w:sz="8" w:color="auto"/>
              <w:right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(411)</w:t>
            </w:r>
          </w:p>
        </w:tc>
        <w:tc>
          <w:tcPr>
            <w:tcW w:w="7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1988185</wp:posOffset>
            </wp:positionH>
            <wp:positionV relativeFrom="paragraph">
              <wp:posOffset>-984885</wp:posOffset>
            </wp:positionV>
            <wp:extent cx="113665" cy="609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13665" cy="60960"/>
                    </a:xfrm>
                    <a:prstGeom prst="rect">
                      <a:avLst/>
                    </a:prstGeom>
                    <a:noFill/>
                  </pic:spPr>
                </pic:pic>
              </a:graphicData>
            </a:graphic>
          </wp:anchor>
        </w:drawing>
        <w:drawing>
          <wp:anchor simplePos="0" relativeHeight="251657728" behindDoc="1" locked="0" layoutInCell="0" allowOverlap="1">
            <wp:simplePos x="0" y="0"/>
            <wp:positionH relativeFrom="column">
              <wp:posOffset>7005320</wp:posOffset>
            </wp:positionH>
            <wp:positionV relativeFrom="paragraph">
              <wp:posOffset>-1335405</wp:posOffset>
            </wp:positionV>
            <wp:extent cx="64770" cy="7747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770" cy="77470"/>
                    </a:xfrm>
                    <a:prstGeom prst="rect">
                      <a:avLst/>
                    </a:prstGeom>
                    <a:noFill/>
                  </pic:spPr>
                </pic:pic>
              </a:graphicData>
            </a:graphic>
          </wp:anchor>
        </w:drawing>
      </w:r>
    </w:p>
    <w:p>
      <w:pPr>
        <w:spacing w:after="0" w:line="69" w:lineRule="exact"/>
        <w:rPr>
          <w:sz w:val="20"/>
          <w:szCs w:val="20"/>
          <w:color w:val="auto"/>
        </w:rPr>
      </w:pPr>
    </w:p>
    <w:p>
      <w:pPr>
        <w:ind w:right="220" w:firstLine="8"/>
        <w:spacing w:after="0" w:line="270" w:lineRule="auto"/>
        <w:tabs>
          <w:tab w:leader="none" w:pos="293"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Timothy Donahue was our PEO for each year presented. The individuals comprising the Non-PEO NEOs for each year presented are listed below.</w:t>
      </w:r>
    </w:p>
    <w:p>
      <w:pPr>
        <w:spacing w:after="0" w:line="8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63</w:t>
      </w:r>
    </w:p>
    <w:p>
      <w:pPr>
        <w:sectPr>
          <w:pgSz w:w="11900" w:h="16838" w:orient="portrait"/>
          <w:cols w:equalWidth="0" w:num="1">
            <w:col w:w="11240"/>
          </w:cols>
          <w:pgMar w:left="320" w:top="567" w:right="339" w:bottom="1440" w:gutter="0" w:footer="0" w:header="0"/>
        </w:sectPr>
      </w:pPr>
    </w:p>
    <w:bookmarkStart w:id="66" w:name="page67"/>
    <w:bookmarkEnd w:id="66"/>
    <w:tbl>
      <w:tblPr>
        <w:tblLayout w:type="fixed"/>
        <w:tblInd w:w="10" w:type="dxa"/>
        <w:tblCellMar>
          <w:top w:w="0" w:type="dxa"/>
          <w:left w:w="0" w:type="dxa"/>
          <w:bottom w:w="0" w:type="dxa"/>
          <w:right w:w="0" w:type="dxa"/>
        </w:tblCellMar>
      </w:tblPr>
      <w:tr>
        <w:trPr>
          <w:trHeight w:val="257"/>
        </w:trPr>
        <w:tc>
          <w:tcPr>
            <w:tcW w:w="2500" w:type="dxa"/>
            <w:vAlign w:val="bottom"/>
            <w:tcBorders>
              <w:top w:val="single" w:sz="8" w:color="auto"/>
              <w:left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9"/>
              </w:rPr>
              <w:t>2021</w:t>
            </w:r>
          </w:p>
        </w:tc>
        <w:tc>
          <w:tcPr>
            <w:tcW w:w="226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9"/>
              </w:rPr>
              <w:t>2022</w:t>
            </w:r>
          </w:p>
        </w:tc>
        <w:tc>
          <w:tcPr>
            <w:tcW w:w="212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9"/>
              </w:rPr>
              <w:t>2023</w:t>
            </w:r>
          </w:p>
        </w:tc>
        <w:tc>
          <w:tcPr>
            <w:tcW w:w="2120" w:type="dxa"/>
            <w:vAlign w:val="bottom"/>
            <w:tcBorders>
              <w:top w:val="single" w:sz="8" w:color="auto"/>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9"/>
              </w:rPr>
              <w:t>2024</w:t>
            </w:r>
          </w:p>
        </w:tc>
        <w:tc>
          <w:tcPr>
            <w:tcW w:w="224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9"/>
              </w:rPr>
              <w:t>2025</w:t>
            </w:r>
          </w:p>
        </w:tc>
      </w:tr>
      <w:tr>
        <w:trPr>
          <w:trHeight w:val="237"/>
        </w:trPr>
        <w:tc>
          <w:tcPr>
            <w:tcW w:w="25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Thomas Kelly</w:t>
            </w:r>
          </w:p>
        </w:tc>
        <w:tc>
          <w:tcPr>
            <w:tcW w:w="22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Kevin Clothier</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Kevin Clothier</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Kevin Clothier</w:t>
            </w:r>
          </w:p>
        </w:tc>
        <w:tc>
          <w:tcPr>
            <w:tcW w:w="22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Kevin Clothier</w:t>
            </w:r>
          </w:p>
        </w:tc>
      </w:tr>
      <w:tr>
        <w:trPr>
          <w:trHeight w:val="236"/>
        </w:trPr>
        <w:tc>
          <w:tcPr>
            <w:tcW w:w="2500" w:type="dxa"/>
            <w:vAlign w:val="bottom"/>
            <w:tcBorders>
              <w:left w:val="single" w:sz="8" w:color="auto"/>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Gerard Gifford</w:t>
            </w:r>
          </w:p>
        </w:tc>
        <w:tc>
          <w:tcPr>
            <w:tcW w:w="226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Gerard Gifford</w:t>
            </w:r>
          </w:p>
        </w:tc>
        <w:tc>
          <w:tcPr>
            <w:tcW w:w="212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Gerard Gifford</w:t>
            </w:r>
          </w:p>
        </w:tc>
        <w:tc>
          <w:tcPr>
            <w:tcW w:w="212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Gerard Gifford</w:t>
            </w:r>
          </w:p>
        </w:tc>
        <w:tc>
          <w:tcPr>
            <w:tcW w:w="22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Gerard Gifford</w:t>
            </w:r>
          </w:p>
        </w:tc>
      </w:tr>
      <w:tr>
        <w:trPr>
          <w:trHeight w:val="237"/>
        </w:trPr>
        <w:tc>
          <w:tcPr>
            <w:tcW w:w="2500" w:type="dxa"/>
            <w:vAlign w:val="bottom"/>
            <w:tcBorders>
              <w:left w:val="single" w:sz="8" w:color="auto"/>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Djalma Novaes</w:t>
            </w:r>
          </w:p>
        </w:tc>
        <w:tc>
          <w:tcPr>
            <w:tcW w:w="22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Djalma Novaes</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Matthew Madeksza</w:t>
            </w:r>
          </w:p>
        </w:tc>
        <w:tc>
          <w:tcPr>
            <w:tcW w:w="212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Djalma Novaes</w:t>
            </w:r>
          </w:p>
        </w:tc>
        <w:tc>
          <w:tcPr>
            <w:tcW w:w="224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Djalma Novaes</w:t>
            </w:r>
          </w:p>
        </w:tc>
      </w:tr>
      <w:tr>
        <w:trPr>
          <w:trHeight w:val="237"/>
        </w:trPr>
        <w:tc>
          <w:tcPr>
            <w:tcW w:w="2500" w:type="dxa"/>
            <w:vAlign w:val="bottom"/>
            <w:tcBorders>
              <w:left w:val="single" w:sz="8" w:color="auto"/>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Robert Bourque</w:t>
            </w:r>
          </w:p>
        </w:tc>
        <w:tc>
          <w:tcPr>
            <w:tcW w:w="226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9"/>
              </w:rPr>
              <w:t>Robert Bourque</w:t>
            </w:r>
          </w:p>
        </w:tc>
        <w:tc>
          <w:tcPr>
            <w:tcW w:w="212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8"/>
              </w:rPr>
              <w:t>Djalma Novaes</w:t>
            </w:r>
          </w:p>
        </w:tc>
        <w:tc>
          <w:tcPr>
            <w:tcW w:w="212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Adam Dickstein</w:t>
            </w:r>
          </w:p>
        </w:tc>
        <w:tc>
          <w:tcPr>
            <w:tcW w:w="2240" w:type="dxa"/>
            <w:vAlign w:val="bottom"/>
            <w:tcBorders>
              <w:bottom w:val="single" w:sz="8" w:color="auto"/>
              <w:right w:val="single" w:sz="8" w:color="auto"/>
            </w:tcBorders>
            <w:shd w:val="clear" w:color="auto" w:fill="D9D9D9"/>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Adam Dickstein</w:t>
            </w:r>
          </w:p>
        </w:tc>
      </w:tr>
      <w:tr>
        <w:trPr>
          <w:trHeight w:val="237"/>
        </w:trPr>
        <w:tc>
          <w:tcPr>
            <w:tcW w:w="2500" w:type="dxa"/>
            <w:vAlign w:val="bottom"/>
            <w:tcBorders>
              <w:left w:val="single" w:sz="8" w:color="auto"/>
              <w:bottom w:val="single" w:sz="8" w:color="auto"/>
              <w:right w:val="single" w:sz="8" w:color="auto"/>
            </w:tcBorders>
          </w:tcPr>
          <w:p>
            <w:pPr>
              <w:spacing w:after="0"/>
              <w:rPr>
                <w:sz w:val="20"/>
                <w:szCs w:val="20"/>
                <w:color w:val="auto"/>
              </w:rPr>
            </w:pPr>
          </w:p>
        </w:tc>
        <w:tc>
          <w:tcPr>
            <w:tcW w:w="2260" w:type="dxa"/>
            <w:vAlign w:val="bottom"/>
            <w:tcBorders>
              <w:bottom w:val="single" w:sz="8" w:color="auto"/>
              <w:right w:val="single" w:sz="8" w:color="auto"/>
            </w:tcBorders>
          </w:tcPr>
          <w:p>
            <w:pPr>
              <w:jc w:val="center"/>
              <w:spacing w:after="0" w:line="237" w:lineRule="exact"/>
              <w:rPr>
                <w:sz w:val="20"/>
                <w:szCs w:val="20"/>
                <w:color w:val="auto"/>
              </w:rPr>
            </w:pPr>
            <w:r>
              <w:rPr>
                <w:rFonts w:ascii="Times New Roman" w:cs="Times New Roman" w:eastAsia="Times New Roman" w:hAnsi="Times New Roman"/>
                <w:sz w:val="21"/>
                <w:szCs w:val="21"/>
                <w:color w:val="auto"/>
                <w:w w:val="97"/>
              </w:rPr>
              <w:t>Hock Huat Goh</w:t>
            </w:r>
          </w:p>
        </w:tc>
        <w:tc>
          <w:tcPr>
            <w:tcW w:w="2120" w:type="dxa"/>
            <w:vAlign w:val="bottom"/>
            <w:tcBorders>
              <w:bottom w:val="single" w:sz="8" w:color="auto"/>
              <w:right w:val="single" w:sz="8" w:color="auto"/>
            </w:tcBorders>
          </w:tcPr>
          <w:p>
            <w:pPr>
              <w:spacing w:after="0"/>
              <w:rPr>
                <w:sz w:val="20"/>
                <w:szCs w:val="20"/>
                <w:color w:val="auto"/>
              </w:rPr>
            </w:pPr>
          </w:p>
        </w:tc>
        <w:tc>
          <w:tcPr>
            <w:tcW w:w="212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r>
    </w:tbl>
    <w:p>
      <w:pPr>
        <w:spacing w:after="0" w:line="85" w:lineRule="exact"/>
        <w:rPr>
          <w:sz w:val="20"/>
          <w:szCs w:val="20"/>
          <w:color w:val="auto"/>
        </w:rPr>
      </w:pPr>
    </w:p>
    <w:p>
      <w:pPr>
        <w:ind w:right="140" w:firstLine="8"/>
        <w:spacing w:after="0" w:line="246" w:lineRule="auto"/>
        <w:tabs>
          <w:tab w:leader="none" w:pos="28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 As required, the dollar amounts include unpaid amounts of equity compensation that may be realizable in future years, and as such, the dollar amounts shown do not represent the actual final amount of compensation earned or actually paid to any individual during the applicable years.</w:t>
      </w:r>
    </w:p>
    <w:p>
      <w:pPr>
        <w:spacing w:after="0" w:line="76" w:lineRule="exact"/>
        <w:rPr>
          <w:rFonts w:ascii="Times New Roman" w:cs="Times New Roman" w:eastAsia="Times New Roman" w:hAnsi="Times New Roman"/>
          <w:sz w:val="20"/>
          <w:szCs w:val="20"/>
          <w:color w:val="auto"/>
        </w:rPr>
      </w:pPr>
    </w:p>
    <w:p>
      <w:pPr>
        <w:jc w:val="both"/>
        <w:ind w:firstLine="8"/>
        <w:spacing w:after="0" w:line="246" w:lineRule="auto"/>
        <w:tabs>
          <w:tab w:leader="none" w:pos="29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Compensation Actually Paid reflects the exclusions and inclusions of certain amounts for the PEO and the Non-PEO NEOs as set forth below. Equity values are calculated in accordance with FASB ASC Topic 718. Amounts in the Exclusion of Stock Awards column are the totals from the Stock Awards column set forth in the Summary Compensation Table. Amounts in the Exclusion of Change in Pension Value column reflect the amounts attributable to the Change in Pension Value reported in the Summary Compensation Table. Amounts in the Inclusion of Pension Service Cost are based on the service cost for services rendered during the listed year.</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35"/>
        </w:trPr>
        <w:tc>
          <w:tcPr>
            <w:tcW w:w="700" w:type="dxa"/>
            <w:vAlign w:val="bottom"/>
            <w:tcBorders>
              <w:top w:val="single" w:sz="8" w:color="auto"/>
              <w:left w:val="single" w:sz="8" w:color="auto"/>
              <w:right w:val="single" w:sz="8" w:color="auto"/>
            </w:tcBorders>
            <w:shd w:val="clear" w:color="auto" w:fill="29650B"/>
          </w:tcPr>
          <w:p>
            <w:pPr>
              <w:spacing w:after="0"/>
              <w:rPr>
                <w:sz w:val="20"/>
                <w:szCs w:val="20"/>
                <w:color w:val="auto"/>
              </w:rPr>
            </w:pPr>
          </w:p>
        </w:tc>
        <w:tc>
          <w:tcPr>
            <w:tcW w:w="1800" w:type="dxa"/>
            <w:vAlign w:val="bottom"/>
            <w:tcBorders>
              <w:top w:val="single" w:sz="8" w:color="auto"/>
              <w:right w:val="single" w:sz="8" w:color="auto"/>
            </w:tcBorders>
            <w:shd w:val="clear" w:color="auto" w:fill="29650B"/>
          </w:tcPr>
          <w:p>
            <w:pPr>
              <w:jc w:val="center"/>
              <w:spacing w:after="0" w:line="235" w:lineRule="exact"/>
              <w:rPr>
                <w:sz w:val="20"/>
                <w:szCs w:val="20"/>
                <w:color w:val="auto"/>
              </w:rPr>
            </w:pPr>
            <w:r>
              <w:rPr>
                <w:rFonts w:ascii="Times New Roman" w:cs="Times New Roman" w:eastAsia="Times New Roman" w:hAnsi="Times New Roman"/>
                <w:sz w:val="21"/>
                <w:szCs w:val="21"/>
                <w:b w:val="1"/>
                <w:bCs w:val="1"/>
                <w:color w:val="FFFFFF"/>
                <w:w w:val="96"/>
              </w:rPr>
              <w:t>Summary</w:t>
            </w:r>
          </w:p>
        </w:tc>
        <w:tc>
          <w:tcPr>
            <w:tcW w:w="180" w:type="dxa"/>
            <w:vAlign w:val="bottom"/>
            <w:tcBorders>
              <w:top w:val="single" w:sz="8" w:color="auto"/>
            </w:tcBorders>
            <w:shd w:val="clear" w:color="auto" w:fill="29650B"/>
          </w:tcPr>
          <w:p>
            <w:pPr>
              <w:spacing w:after="0"/>
              <w:rPr>
                <w:sz w:val="20"/>
                <w:szCs w:val="20"/>
                <w:color w:val="auto"/>
              </w:rPr>
            </w:pPr>
          </w:p>
        </w:tc>
        <w:tc>
          <w:tcPr>
            <w:tcW w:w="1500" w:type="dxa"/>
            <w:vAlign w:val="bottom"/>
            <w:tcBorders>
              <w:top w:val="single" w:sz="8" w:color="auto"/>
              <w:right w:val="single" w:sz="8" w:color="auto"/>
            </w:tcBorders>
            <w:gridSpan w:val="2"/>
            <w:shd w:val="clear" w:color="auto" w:fill="29650B"/>
          </w:tcPr>
          <w:p>
            <w:pPr>
              <w:jc w:val="center"/>
              <w:ind w:right="97"/>
              <w:spacing w:after="0" w:line="235" w:lineRule="exact"/>
              <w:rPr>
                <w:sz w:val="20"/>
                <w:szCs w:val="20"/>
                <w:color w:val="auto"/>
              </w:rPr>
            </w:pPr>
            <w:r>
              <w:rPr>
                <w:rFonts w:ascii="Times New Roman" w:cs="Times New Roman" w:eastAsia="Times New Roman" w:hAnsi="Times New Roman"/>
                <w:sz w:val="21"/>
                <w:szCs w:val="21"/>
                <w:b w:val="1"/>
                <w:bCs w:val="1"/>
                <w:color w:val="FFFFFF"/>
                <w:w w:val="99"/>
              </w:rPr>
              <w:t>Exclusion of</w:t>
            </w:r>
          </w:p>
        </w:tc>
        <w:tc>
          <w:tcPr>
            <w:tcW w:w="140" w:type="dxa"/>
            <w:vAlign w:val="bottom"/>
            <w:tcBorders>
              <w:top w:val="single" w:sz="8" w:color="auto"/>
            </w:tcBorders>
            <w:shd w:val="clear" w:color="auto" w:fill="29650B"/>
          </w:tcPr>
          <w:p>
            <w:pPr>
              <w:spacing w:after="0"/>
              <w:rPr>
                <w:sz w:val="20"/>
                <w:szCs w:val="20"/>
                <w:color w:val="auto"/>
              </w:rPr>
            </w:pPr>
          </w:p>
        </w:tc>
        <w:tc>
          <w:tcPr>
            <w:tcW w:w="200" w:type="dxa"/>
            <w:vAlign w:val="bottom"/>
            <w:tcBorders>
              <w:top w:val="single" w:sz="8" w:color="auto"/>
              <w:right w:val="single" w:sz="8" w:color="29650B"/>
            </w:tcBorders>
            <w:shd w:val="clear" w:color="auto" w:fill="29650B"/>
          </w:tcPr>
          <w:p>
            <w:pPr>
              <w:spacing w:after="0"/>
              <w:rPr>
                <w:sz w:val="20"/>
                <w:szCs w:val="20"/>
                <w:color w:val="auto"/>
              </w:rPr>
            </w:pPr>
          </w:p>
        </w:tc>
        <w:tc>
          <w:tcPr>
            <w:tcW w:w="1240" w:type="dxa"/>
            <w:vAlign w:val="bottom"/>
            <w:tcBorders>
              <w:top w:val="single" w:sz="8" w:color="auto"/>
              <w:right w:val="single" w:sz="8" w:color="auto"/>
            </w:tcBorders>
            <w:shd w:val="clear" w:color="auto" w:fill="29650B"/>
          </w:tcPr>
          <w:p>
            <w:pPr>
              <w:spacing w:after="0"/>
              <w:rPr>
                <w:sz w:val="20"/>
                <w:szCs w:val="20"/>
                <w:color w:val="auto"/>
              </w:rPr>
            </w:pPr>
          </w:p>
        </w:tc>
        <w:tc>
          <w:tcPr>
            <w:tcW w:w="160" w:type="dxa"/>
            <w:vAlign w:val="bottom"/>
            <w:tcBorders>
              <w:top w:val="single" w:sz="8" w:color="auto"/>
            </w:tcBorders>
            <w:shd w:val="clear" w:color="auto" w:fill="29650B"/>
          </w:tcPr>
          <w:p>
            <w:pPr>
              <w:spacing w:after="0"/>
              <w:rPr>
                <w:sz w:val="20"/>
                <w:szCs w:val="20"/>
                <w:color w:val="auto"/>
              </w:rPr>
            </w:pPr>
          </w:p>
        </w:tc>
        <w:tc>
          <w:tcPr>
            <w:tcW w:w="1300" w:type="dxa"/>
            <w:vAlign w:val="bottom"/>
            <w:tcBorders>
              <w:top w:val="single" w:sz="8" w:color="auto"/>
              <w:right w:val="single" w:sz="8" w:color="auto"/>
            </w:tcBorders>
            <w:gridSpan w:val="2"/>
            <w:shd w:val="clear" w:color="auto" w:fill="29650B"/>
          </w:tcPr>
          <w:p>
            <w:pPr>
              <w:jc w:val="center"/>
              <w:ind w:right="77"/>
              <w:spacing w:after="0" w:line="235" w:lineRule="exact"/>
              <w:rPr>
                <w:sz w:val="20"/>
                <w:szCs w:val="20"/>
                <w:color w:val="auto"/>
              </w:rPr>
            </w:pPr>
            <w:r>
              <w:rPr>
                <w:rFonts w:ascii="Times New Roman" w:cs="Times New Roman" w:eastAsia="Times New Roman" w:hAnsi="Times New Roman"/>
                <w:sz w:val="21"/>
                <w:szCs w:val="21"/>
                <w:b w:val="1"/>
                <w:bCs w:val="1"/>
                <w:color w:val="FFFFFF"/>
                <w:w w:val="98"/>
              </w:rPr>
              <w:t>Inclusion of</w:t>
            </w:r>
          </w:p>
        </w:tc>
        <w:tc>
          <w:tcPr>
            <w:tcW w:w="340" w:type="dxa"/>
            <w:vAlign w:val="bottom"/>
            <w:tcBorders>
              <w:top w:val="single" w:sz="8" w:color="auto"/>
              <w:right w:val="single" w:sz="8" w:color="29650B"/>
            </w:tcBorders>
            <w:shd w:val="clear" w:color="auto" w:fill="29650B"/>
          </w:tcPr>
          <w:p>
            <w:pPr>
              <w:spacing w:after="0"/>
              <w:rPr>
                <w:sz w:val="20"/>
                <w:szCs w:val="20"/>
                <w:color w:val="auto"/>
              </w:rPr>
            </w:pPr>
          </w:p>
        </w:tc>
        <w:tc>
          <w:tcPr>
            <w:tcW w:w="1440" w:type="dxa"/>
            <w:vAlign w:val="bottom"/>
            <w:tcBorders>
              <w:top w:val="single" w:sz="8" w:color="auto"/>
              <w:right w:val="single" w:sz="8" w:color="auto"/>
            </w:tcBorders>
            <w:shd w:val="clear" w:color="auto" w:fill="29650B"/>
          </w:tcPr>
          <w:p>
            <w:pPr>
              <w:spacing w:after="0"/>
              <w:rPr>
                <w:sz w:val="20"/>
                <w:szCs w:val="20"/>
                <w:color w:val="auto"/>
              </w:rPr>
            </w:pPr>
          </w:p>
        </w:tc>
        <w:tc>
          <w:tcPr>
            <w:tcW w:w="160" w:type="dxa"/>
            <w:vAlign w:val="bottom"/>
            <w:tcBorders>
              <w:top w:val="single" w:sz="8" w:color="auto"/>
            </w:tcBorders>
            <w:shd w:val="clear" w:color="auto" w:fill="29650B"/>
          </w:tcPr>
          <w:p>
            <w:pPr>
              <w:spacing w:after="0"/>
              <w:rPr>
                <w:sz w:val="20"/>
                <w:szCs w:val="20"/>
                <w:color w:val="auto"/>
              </w:rPr>
            </w:pPr>
          </w:p>
        </w:tc>
        <w:tc>
          <w:tcPr>
            <w:tcW w:w="180" w:type="dxa"/>
            <w:vAlign w:val="bottom"/>
            <w:tcBorders>
              <w:top w:val="single" w:sz="8" w:color="auto"/>
              <w:right w:val="single" w:sz="8" w:color="29650B"/>
            </w:tcBorders>
            <w:shd w:val="clear" w:color="auto" w:fill="29650B"/>
          </w:tcPr>
          <w:p>
            <w:pPr>
              <w:spacing w:after="0"/>
              <w:rPr>
                <w:sz w:val="20"/>
                <w:szCs w:val="20"/>
                <w:color w:val="auto"/>
              </w:rPr>
            </w:pPr>
          </w:p>
        </w:tc>
        <w:tc>
          <w:tcPr>
            <w:tcW w:w="1900" w:type="dxa"/>
            <w:vAlign w:val="bottom"/>
            <w:tcBorders>
              <w:top w:val="single" w:sz="8" w:color="auto"/>
              <w:right w:val="single" w:sz="8" w:color="auto"/>
            </w:tcBorders>
            <w:shd w:val="clear" w:color="auto" w:fill="29650B"/>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shd w:val="clear" w:color="auto" w:fill="29650B"/>
          </w:tcPr>
          <w:p>
            <w:pPr>
              <w:spacing w:after="0"/>
              <w:rPr>
                <w:sz w:val="21"/>
                <w:szCs w:val="21"/>
                <w:color w:val="auto"/>
              </w:rPr>
            </w:pPr>
          </w:p>
        </w:tc>
        <w:tc>
          <w:tcPr>
            <w:tcW w:w="18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Compensation</w:t>
            </w:r>
          </w:p>
        </w:tc>
        <w:tc>
          <w:tcPr>
            <w:tcW w:w="180" w:type="dxa"/>
            <w:vAlign w:val="bottom"/>
            <w:shd w:val="clear" w:color="auto" w:fill="29650B"/>
          </w:tcPr>
          <w:p>
            <w:pPr>
              <w:spacing w:after="0"/>
              <w:rPr>
                <w:sz w:val="21"/>
                <w:szCs w:val="21"/>
                <w:color w:val="auto"/>
              </w:rPr>
            </w:pPr>
          </w:p>
        </w:tc>
        <w:tc>
          <w:tcPr>
            <w:tcW w:w="160" w:type="dxa"/>
            <w:vAlign w:val="bottom"/>
            <w:tcBorders>
              <w:right w:val="single" w:sz="8" w:color="29650B"/>
            </w:tcBorders>
            <w:shd w:val="clear" w:color="auto" w:fill="29650B"/>
          </w:tcPr>
          <w:p>
            <w:pPr>
              <w:spacing w:after="0"/>
              <w:rPr>
                <w:sz w:val="21"/>
                <w:szCs w:val="21"/>
                <w:color w:val="auto"/>
              </w:rPr>
            </w:pPr>
          </w:p>
        </w:tc>
        <w:tc>
          <w:tcPr>
            <w:tcW w:w="1340" w:type="dxa"/>
            <w:vAlign w:val="bottom"/>
            <w:tcBorders>
              <w:right w:val="single" w:sz="8" w:color="auto"/>
            </w:tcBorders>
            <w:shd w:val="clear" w:color="auto" w:fill="29650B"/>
          </w:tcPr>
          <w:p>
            <w:pPr>
              <w:jc w:val="center"/>
              <w:ind w:right="257"/>
              <w:spacing w:after="0"/>
              <w:rPr>
                <w:sz w:val="20"/>
                <w:szCs w:val="20"/>
                <w:color w:val="auto"/>
              </w:rPr>
            </w:pPr>
            <w:r>
              <w:rPr>
                <w:rFonts w:ascii="Times New Roman" w:cs="Times New Roman" w:eastAsia="Times New Roman" w:hAnsi="Times New Roman"/>
                <w:sz w:val="21"/>
                <w:szCs w:val="21"/>
                <w:b w:val="1"/>
                <w:bCs w:val="1"/>
                <w:color w:val="FFFFFF"/>
                <w:w w:val="98"/>
              </w:rPr>
              <w:t>Change in</w:t>
            </w:r>
          </w:p>
        </w:tc>
        <w:tc>
          <w:tcPr>
            <w:tcW w:w="140" w:type="dxa"/>
            <w:vAlign w:val="bottom"/>
            <w:shd w:val="clear" w:color="auto" w:fill="29650B"/>
          </w:tcPr>
          <w:p>
            <w:pPr>
              <w:spacing w:after="0"/>
              <w:rPr>
                <w:sz w:val="21"/>
                <w:szCs w:val="21"/>
                <w:color w:val="auto"/>
              </w:rPr>
            </w:pPr>
          </w:p>
        </w:tc>
        <w:tc>
          <w:tcPr>
            <w:tcW w:w="1440" w:type="dxa"/>
            <w:vAlign w:val="bottom"/>
            <w:tcBorders>
              <w:right w:val="single" w:sz="8" w:color="auto"/>
            </w:tcBorders>
            <w:gridSpan w:val="2"/>
            <w:shd w:val="clear" w:color="auto" w:fill="29650B"/>
          </w:tcPr>
          <w:p>
            <w:pPr>
              <w:jc w:val="center"/>
              <w:ind w:right="57"/>
              <w:spacing w:after="0"/>
              <w:rPr>
                <w:sz w:val="20"/>
                <w:szCs w:val="20"/>
                <w:color w:val="auto"/>
              </w:rPr>
            </w:pPr>
            <w:r>
              <w:rPr>
                <w:rFonts w:ascii="Times New Roman" w:cs="Times New Roman" w:eastAsia="Times New Roman" w:hAnsi="Times New Roman"/>
                <w:sz w:val="21"/>
                <w:szCs w:val="21"/>
                <w:b w:val="1"/>
                <w:bCs w:val="1"/>
                <w:color w:val="FFFFFF"/>
                <w:w w:val="97"/>
              </w:rPr>
              <w:t>Exclusion of</w:t>
            </w:r>
          </w:p>
        </w:tc>
        <w:tc>
          <w:tcPr>
            <w:tcW w:w="160" w:type="dxa"/>
            <w:vAlign w:val="bottom"/>
            <w:shd w:val="clear" w:color="auto" w:fill="29650B"/>
          </w:tcPr>
          <w:p>
            <w:pPr>
              <w:spacing w:after="0"/>
              <w:rPr>
                <w:sz w:val="21"/>
                <w:szCs w:val="21"/>
                <w:color w:val="auto"/>
              </w:rPr>
            </w:pPr>
          </w:p>
        </w:tc>
        <w:tc>
          <w:tcPr>
            <w:tcW w:w="180" w:type="dxa"/>
            <w:vAlign w:val="bottom"/>
            <w:tcBorders>
              <w:right w:val="single" w:sz="8" w:color="29650B"/>
            </w:tcBorders>
            <w:shd w:val="clear" w:color="auto" w:fill="29650B"/>
          </w:tcPr>
          <w:p>
            <w:pPr>
              <w:spacing w:after="0"/>
              <w:rPr>
                <w:sz w:val="21"/>
                <w:szCs w:val="21"/>
                <w:color w:val="auto"/>
              </w:rPr>
            </w:pPr>
          </w:p>
        </w:tc>
        <w:tc>
          <w:tcPr>
            <w:tcW w:w="1120" w:type="dxa"/>
            <w:vAlign w:val="bottom"/>
            <w:tcBorders>
              <w:right w:val="single" w:sz="8" w:color="auto"/>
            </w:tcBorders>
            <w:shd w:val="clear" w:color="auto" w:fill="29650B"/>
          </w:tcPr>
          <w:p>
            <w:pPr>
              <w:jc w:val="center"/>
              <w:ind w:right="257"/>
              <w:spacing w:after="0"/>
              <w:rPr>
                <w:sz w:val="20"/>
                <w:szCs w:val="20"/>
                <w:color w:val="auto"/>
              </w:rPr>
            </w:pPr>
            <w:r>
              <w:rPr>
                <w:rFonts w:ascii="Times New Roman" w:cs="Times New Roman" w:eastAsia="Times New Roman" w:hAnsi="Times New Roman"/>
                <w:sz w:val="21"/>
                <w:szCs w:val="21"/>
                <w:b w:val="1"/>
                <w:bCs w:val="1"/>
                <w:color w:val="FFFFFF"/>
                <w:w w:val="97"/>
              </w:rPr>
              <w:t>Pension</w:t>
            </w:r>
          </w:p>
        </w:tc>
        <w:tc>
          <w:tcPr>
            <w:tcW w:w="340" w:type="dxa"/>
            <w:vAlign w:val="bottom"/>
            <w:tcBorders>
              <w:right w:val="single" w:sz="8" w:color="29650B"/>
            </w:tcBorders>
            <w:shd w:val="clear" w:color="auto" w:fill="29650B"/>
          </w:tcPr>
          <w:p>
            <w:pPr>
              <w:spacing w:after="0"/>
              <w:rPr>
                <w:sz w:val="21"/>
                <w:szCs w:val="21"/>
                <w:color w:val="auto"/>
              </w:rPr>
            </w:pPr>
          </w:p>
        </w:tc>
        <w:tc>
          <w:tcPr>
            <w:tcW w:w="1440" w:type="dxa"/>
            <w:vAlign w:val="bottom"/>
            <w:tcBorders>
              <w:right w:val="single" w:sz="8" w:color="auto"/>
            </w:tcBorders>
            <w:shd w:val="clear" w:color="auto" w:fill="29650B"/>
          </w:tcPr>
          <w:p>
            <w:pPr>
              <w:jc w:val="center"/>
              <w:ind w:right="257"/>
              <w:spacing w:after="0"/>
              <w:rPr>
                <w:sz w:val="20"/>
                <w:szCs w:val="20"/>
                <w:color w:val="auto"/>
              </w:rPr>
            </w:pPr>
            <w:r>
              <w:rPr>
                <w:rFonts w:ascii="Times New Roman" w:cs="Times New Roman" w:eastAsia="Times New Roman" w:hAnsi="Times New Roman"/>
                <w:sz w:val="21"/>
                <w:szCs w:val="21"/>
                <w:b w:val="1"/>
                <w:bCs w:val="1"/>
                <w:color w:val="FFFFFF"/>
                <w:w w:val="98"/>
              </w:rPr>
              <w:t>Inclusion of</w:t>
            </w:r>
          </w:p>
        </w:tc>
        <w:tc>
          <w:tcPr>
            <w:tcW w:w="160" w:type="dxa"/>
            <w:vAlign w:val="bottom"/>
            <w:shd w:val="clear" w:color="auto" w:fill="29650B"/>
          </w:tcPr>
          <w:p>
            <w:pPr>
              <w:spacing w:after="0"/>
              <w:rPr>
                <w:sz w:val="21"/>
                <w:szCs w:val="21"/>
                <w:color w:val="auto"/>
              </w:rPr>
            </w:pPr>
          </w:p>
        </w:tc>
        <w:tc>
          <w:tcPr>
            <w:tcW w:w="180" w:type="dxa"/>
            <w:vAlign w:val="bottom"/>
            <w:tcBorders>
              <w:right w:val="single" w:sz="8" w:color="29650B"/>
            </w:tcBorders>
            <w:shd w:val="clear" w:color="auto" w:fill="29650B"/>
          </w:tcPr>
          <w:p>
            <w:pPr>
              <w:spacing w:after="0"/>
              <w:rPr>
                <w:sz w:val="21"/>
                <w:szCs w:val="21"/>
                <w:color w:val="auto"/>
              </w:rPr>
            </w:pPr>
          </w:p>
        </w:tc>
        <w:tc>
          <w:tcPr>
            <w:tcW w:w="1900" w:type="dxa"/>
            <w:vAlign w:val="bottom"/>
            <w:tcBorders>
              <w:right w:val="single" w:sz="8" w:color="auto"/>
            </w:tcBorders>
            <w:vMerge w:val="restart"/>
            <w:shd w:val="clear" w:color="auto" w:fill="29650B"/>
          </w:tcPr>
          <w:p>
            <w:pPr>
              <w:jc w:val="center"/>
              <w:ind w:right="237"/>
              <w:spacing w:after="0"/>
              <w:rPr>
                <w:sz w:val="20"/>
                <w:szCs w:val="20"/>
                <w:color w:val="auto"/>
              </w:rPr>
            </w:pPr>
            <w:r>
              <w:rPr>
                <w:rFonts w:ascii="Times New Roman" w:cs="Times New Roman" w:eastAsia="Times New Roman" w:hAnsi="Times New Roman"/>
                <w:sz w:val="21"/>
                <w:szCs w:val="21"/>
                <w:b w:val="1"/>
                <w:bCs w:val="1"/>
                <w:color w:val="FFFFFF"/>
                <w:w w:val="98"/>
              </w:rPr>
              <w:t>Compensation</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vMerge w:val="restart"/>
            <w:shd w:val="clear" w:color="auto" w:fill="29650B"/>
          </w:tcPr>
          <w:p>
            <w:pPr>
              <w:ind w:left="140"/>
              <w:spacing w:after="0"/>
              <w:rPr>
                <w:sz w:val="20"/>
                <w:szCs w:val="20"/>
                <w:color w:val="auto"/>
              </w:rPr>
            </w:pPr>
            <w:r>
              <w:rPr>
                <w:rFonts w:ascii="Times New Roman" w:cs="Times New Roman" w:eastAsia="Times New Roman" w:hAnsi="Times New Roman"/>
                <w:sz w:val="21"/>
                <w:szCs w:val="21"/>
                <w:b w:val="1"/>
                <w:bCs w:val="1"/>
                <w:color w:val="FFFFFF"/>
              </w:rPr>
              <w:t>Year</w:t>
            </w:r>
          </w:p>
        </w:tc>
        <w:tc>
          <w:tcPr>
            <w:tcW w:w="180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5"/>
              </w:rPr>
              <w:t>Table Total for</w:t>
            </w:r>
          </w:p>
        </w:tc>
        <w:tc>
          <w:tcPr>
            <w:tcW w:w="180" w:type="dxa"/>
            <w:vAlign w:val="bottom"/>
            <w:shd w:val="clear" w:color="auto" w:fill="29650B"/>
          </w:tcPr>
          <w:p>
            <w:pPr>
              <w:spacing w:after="0"/>
              <w:rPr>
                <w:sz w:val="10"/>
                <w:szCs w:val="10"/>
                <w:color w:val="auto"/>
              </w:rPr>
            </w:pPr>
          </w:p>
        </w:tc>
        <w:tc>
          <w:tcPr>
            <w:tcW w:w="1500" w:type="dxa"/>
            <w:vAlign w:val="bottom"/>
            <w:tcBorders>
              <w:right w:val="single" w:sz="8" w:color="auto"/>
            </w:tcBorders>
            <w:gridSpan w:val="2"/>
            <w:vMerge w:val="restart"/>
            <w:shd w:val="clear" w:color="auto" w:fill="29650B"/>
          </w:tcPr>
          <w:p>
            <w:pPr>
              <w:jc w:val="center"/>
              <w:ind w:right="117"/>
              <w:spacing w:after="0"/>
              <w:rPr>
                <w:sz w:val="20"/>
                <w:szCs w:val="20"/>
                <w:color w:val="auto"/>
              </w:rPr>
            </w:pPr>
            <w:r>
              <w:rPr>
                <w:rFonts w:ascii="Times New Roman" w:cs="Times New Roman" w:eastAsia="Times New Roman" w:hAnsi="Times New Roman"/>
                <w:sz w:val="21"/>
                <w:szCs w:val="21"/>
                <w:b w:val="1"/>
                <w:bCs w:val="1"/>
                <w:color w:val="FFFFFF"/>
                <w:w w:val="97"/>
              </w:rPr>
              <w:t>Pension Value</w:t>
            </w:r>
          </w:p>
        </w:tc>
        <w:tc>
          <w:tcPr>
            <w:tcW w:w="140" w:type="dxa"/>
            <w:vAlign w:val="bottom"/>
            <w:shd w:val="clear" w:color="auto" w:fill="29650B"/>
          </w:tcPr>
          <w:p>
            <w:pPr>
              <w:spacing w:after="0"/>
              <w:rPr>
                <w:sz w:val="10"/>
                <w:szCs w:val="10"/>
                <w:color w:val="auto"/>
              </w:rPr>
            </w:pPr>
          </w:p>
        </w:tc>
        <w:tc>
          <w:tcPr>
            <w:tcW w:w="1440" w:type="dxa"/>
            <w:vAlign w:val="bottom"/>
            <w:tcBorders>
              <w:right w:val="single" w:sz="8" w:color="auto"/>
            </w:tcBorders>
            <w:gridSpan w:val="2"/>
            <w:vMerge w:val="restart"/>
            <w:shd w:val="clear" w:color="auto" w:fill="29650B"/>
          </w:tcPr>
          <w:p>
            <w:pPr>
              <w:jc w:val="center"/>
              <w:ind w:right="37"/>
              <w:spacing w:after="0"/>
              <w:rPr>
                <w:sz w:val="20"/>
                <w:szCs w:val="20"/>
                <w:color w:val="auto"/>
              </w:rPr>
            </w:pPr>
            <w:r>
              <w:rPr>
                <w:rFonts w:ascii="Times New Roman" w:cs="Times New Roman" w:eastAsia="Times New Roman" w:hAnsi="Times New Roman"/>
                <w:sz w:val="21"/>
                <w:szCs w:val="21"/>
                <w:b w:val="1"/>
                <w:bCs w:val="1"/>
                <w:color w:val="FFFFFF"/>
                <w:w w:val="97"/>
              </w:rPr>
              <w:t>Stock Awards</w:t>
            </w:r>
          </w:p>
        </w:tc>
        <w:tc>
          <w:tcPr>
            <w:tcW w:w="160" w:type="dxa"/>
            <w:vAlign w:val="bottom"/>
            <w:shd w:val="clear" w:color="auto" w:fill="29650B"/>
          </w:tcPr>
          <w:p>
            <w:pPr>
              <w:spacing w:after="0"/>
              <w:rPr>
                <w:sz w:val="10"/>
                <w:szCs w:val="10"/>
                <w:color w:val="auto"/>
              </w:rPr>
            </w:pPr>
          </w:p>
        </w:tc>
        <w:tc>
          <w:tcPr>
            <w:tcW w:w="1300" w:type="dxa"/>
            <w:vAlign w:val="bottom"/>
            <w:tcBorders>
              <w:right w:val="single" w:sz="8" w:color="auto"/>
            </w:tcBorders>
            <w:gridSpan w:val="2"/>
            <w:vMerge w:val="restart"/>
            <w:shd w:val="clear" w:color="auto" w:fill="29650B"/>
          </w:tcPr>
          <w:p>
            <w:pPr>
              <w:jc w:val="center"/>
              <w:ind w:right="57"/>
              <w:spacing w:after="0"/>
              <w:rPr>
                <w:sz w:val="20"/>
                <w:szCs w:val="20"/>
                <w:color w:val="auto"/>
              </w:rPr>
            </w:pPr>
            <w:r>
              <w:rPr>
                <w:rFonts w:ascii="Times New Roman" w:cs="Times New Roman" w:eastAsia="Times New Roman" w:hAnsi="Times New Roman"/>
                <w:sz w:val="21"/>
                <w:szCs w:val="21"/>
                <w:b w:val="1"/>
                <w:bCs w:val="1"/>
                <w:color w:val="FFFFFF"/>
                <w:w w:val="98"/>
              </w:rPr>
              <w:t>Service Cost</w:t>
            </w:r>
          </w:p>
        </w:tc>
        <w:tc>
          <w:tcPr>
            <w:tcW w:w="1780" w:type="dxa"/>
            <w:vAlign w:val="bottom"/>
            <w:tcBorders>
              <w:right w:val="single" w:sz="8" w:color="auto"/>
            </w:tcBorders>
            <w:gridSpan w:val="2"/>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Equity Values for</w:t>
            </w:r>
          </w:p>
        </w:tc>
        <w:tc>
          <w:tcPr>
            <w:tcW w:w="160" w:type="dxa"/>
            <w:vAlign w:val="bottom"/>
            <w:shd w:val="clear" w:color="auto" w:fill="29650B"/>
          </w:tcPr>
          <w:p>
            <w:pPr>
              <w:spacing w:after="0"/>
              <w:rPr>
                <w:sz w:val="10"/>
                <w:szCs w:val="10"/>
                <w:color w:val="auto"/>
              </w:rPr>
            </w:pPr>
          </w:p>
        </w:tc>
        <w:tc>
          <w:tcPr>
            <w:tcW w:w="180" w:type="dxa"/>
            <w:vAlign w:val="bottom"/>
            <w:tcBorders>
              <w:right w:val="single" w:sz="8" w:color="29650B"/>
            </w:tcBorders>
            <w:shd w:val="clear" w:color="auto" w:fill="29650B"/>
          </w:tcPr>
          <w:p>
            <w:pPr>
              <w:spacing w:after="0"/>
              <w:rPr>
                <w:sz w:val="10"/>
                <w:szCs w:val="10"/>
                <w:color w:val="auto"/>
              </w:rPr>
            </w:pPr>
          </w:p>
        </w:tc>
        <w:tc>
          <w:tcPr>
            <w:tcW w:w="1900" w:type="dxa"/>
            <w:vAlign w:val="bottom"/>
            <w:tcBorders>
              <w:right w:val="single" w:sz="8" w:color="auto"/>
            </w:tcBorders>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vMerge w:val="continue"/>
            <w:shd w:val="clear" w:color="auto" w:fill="29650B"/>
          </w:tcPr>
          <w:p>
            <w:pPr>
              <w:spacing w:after="0"/>
              <w:rPr>
                <w:sz w:val="10"/>
                <w:szCs w:val="10"/>
                <w:color w:val="auto"/>
              </w:rPr>
            </w:pPr>
          </w:p>
        </w:tc>
        <w:tc>
          <w:tcPr>
            <w:tcW w:w="1800" w:type="dxa"/>
            <w:vAlign w:val="bottom"/>
            <w:tcBorders>
              <w:right w:val="single" w:sz="8" w:color="auto"/>
            </w:tcBorders>
            <w:vMerge w:val="continue"/>
            <w:shd w:val="clear" w:color="auto" w:fill="29650B"/>
          </w:tcPr>
          <w:p>
            <w:pPr>
              <w:spacing w:after="0"/>
              <w:rPr>
                <w:sz w:val="10"/>
                <w:szCs w:val="10"/>
                <w:color w:val="auto"/>
              </w:rPr>
            </w:pPr>
          </w:p>
        </w:tc>
        <w:tc>
          <w:tcPr>
            <w:tcW w:w="180" w:type="dxa"/>
            <w:vAlign w:val="bottom"/>
            <w:shd w:val="clear" w:color="auto" w:fill="29650B"/>
          </w:tcPr>
          <w:p>
            <w:pPr>
              <w:spacing w:after="0"/>
              <w:rPr>
                <w:sz w:val="10"/>
                <w:szCs w:val="10"/>
                <w:color w:val="auto"/>
              </w:rPr>
            </w:pPr>
          </w:p>
        </w:tc>
        <w:tc>
          <w:tcPr>
            <w:tcW w:w="1500" w:type="dxa"/>
            <w:vAlign w:val="bottom"/>
            <w:tcBorders>
              <w:right w:val="single" w:sz="8" w:color="auto"/>
            </w:tcBorders>
            <w:gridSpan w:val="2"/>
            <w:vMerge w:val="continue"/>
            <w:shd w:val="clear" w:color="auto" w:fill="29650B"/>
          </w:tcPr>
          <w:p>
            <w:pPr>
              <w:spacing w:after="0"/>
              <w:rPr>
                <w:sz w:val="10"/>
                <w:szCs w:val="10"/>
                <w:color w:val="auto"/>
              </w:rPr>
            </w:pPr>
          </w:p>
        </w:tc>
        <w:tc>
          <w:tcPr>
            <w:tcW w:w="140" w:type="dxa"/>
            <w:vAlign w:val="bottom"/>
            <w:shd w:val="clear" w:color="auto" w:fill="29650B"/>
          </w:tcPr>
          <w:p>
            <w:pPr>
              <w:spacing w:after="0"/>
              <w:rPr>
                <w:sz w:val="10"/>
                <w:szCs w:val="10"/>
                <w:color w:val="auto"/>
              </w:rPr>
            </w:pPr>
          </w:p>
        </w:tc>
        <w:tc>
          <w:tcPr>
            <w:tcW w:w="1440" w:type="dxa"/>
            <w:vAlign w:val="bottom"/>
            <w:tcBorders>
              <w:right w:val="single" w:sz="8" w:color="auto"/>
            </w:tcBorders>
            <w:gridSpan w:val="2"/>
            <w:vMerge w:val="continue"/>
            <w:shd w:val="clear" w:color="auto" w:fill="29650B"/>
          </w:tcPr>
          <w:p>
            <w:pPr>
              <w:spacing w:after="0"/>
              <w:rPr>
                <w:sz w:val="10"/>
                <w:szCs w:val="10"/>
                <w:color w:val="auto"/>
              </w:rPr>
            </w:pPr>
          </w:p>
        </w:tc>
        <w:tc>
          <w:tcPr>
            <w:tcW w:w="160" w:type="dxa"/>
            <w:vAlign w:val="bottom"/>
            <w:shd w:val="clear" w:color="auto" w:fill="29650B"/>
          </w:tcPr>
          <w:p>
            <w:pPr>
              <w:spacing w:after="0"/>
              <w:rPr>
                <w:sz w:val="10"/>
                <w:szCs w:val="10"/>
                <w:color w:val="auto"/>
              </w:rPr>
            </w:pPr>
          </w:p>
        </w:tc>
        <w:tc>
          <w:tcPr>
            <w:tcW w:w="1300" w:type="dxa"/>
            <w:vAlign w:val="bottom"/>
            <w:tcBorders>
              <w:right w:val="single" w:sz="8" w:color="auto"/>
            </w:tcBorders>
            <w:gridSpan w:val="2"/>
            <w:vMerge w:val="continue"/>
            <w:shd w:val="clear" w:color="auto" w:fill="29650B"/>
          </w:tcPr>
          <w:p>
            <w:pPr>
              <w:spacing w:after="0"/>
              <w:rPr>
                <w:sz w:val="10"/>
                <w:szCs w:val="10"/>
                <w:color w:val="auto"/>
              </w:rPr>
            </w:pPr>
          </w:p>
        </w:tc>
        <w:tc>
          <w:tcPr>
            <w:tcW w:w="1780" w:type="dxa"/>
            <w:vAlign w:val="bottom"/>
            <w:tcBorders>
              <w:right w:val="single" w:sz="8" w:color="auto"/>
            </w:tcBorders>
            <w:gridSpan w:val="2"/>
            <w:vMerge w:val="continue"/>
            <w:shd w:val="clear" w:color="auto" w:fill="29650B"/>
          </w:tcPr>
          <w:p>
            <w:pPr>
              <w:spacing w:after="0"/>
              <w:rPr>
                <w:sz w:val="10"/>
                <w:szCs w:val="10"/>
                <w:color w:val="auto"/>
              </w:rPr>
            </w:pPr>
          </w:p>
        </w:tc>
        <w:tc>
          <w:tcPr>
            <w:tcW w:w="160" w:type="dxa"/>
            <w:vAlign w:val="bottom"/>
            <w:shd w:val="clear" w:color="auto" w:fill="29650B"/>
          </w:tcPr>
          <w:p>
            <w:pPr>
              <w:spacing w:after="0"/>
              <w:rPr>
                <w:sz w:val="10"/>
                <w:szCs w:val="10"/>
                <w:color w:val="auto"/>
              </w:rPr>
            </w:pPr>
          </w:p>
        </w:tc>
        <w:tc>
          <w:tcPr>
            <w:tcW w:w="2080" w:type="dxa"/>
            <w:vAlign w:val="bottom"/>
            <w:tcBorders>
              <w:right w:val="single" w:sz="8" w:color="auto"/>
            </w:tcBorders>
            <w:gridSpan w:val="2"/>
            <w:vMerge w:val="restart"/>
            <w:shd w:val="clear" w:color="auto" w:fill="29650B"/>
          </w:tcPr>
          <w:p>
            <w:pPr>
              <w:jc w:val="center"/>
              <w:ind w:right="77"/>
              <w:spacing w:after="0"/>
              <w:rPr>
                <w:sz w:val="20"/>
                <w:szCs w:val="20"/>
                <w:color w:val="auto"/>
              </w:rPr>
            </w:pPr>
            <w:r>
              <w:rPr>
                <w:rFonts w:ascii="Times New Roman" w:cs="Times New Roman" w:eastAsia="Times New Roman" w:hAnsi="Times New Roman"/>
                <w:sz w:val="21"/>
                <w:szCs w:val="21"/>
                <w:b w:val="1"/>
                <w:bCs w:val="1"/>
                <w:color w:val="FFFFFF"/>
                <w:w w:val="98"/>
              </w:rPr>
              <w:t>Actually Paid to PEO</w:t>
            </w:r>
          </w:p>
        </w:tc>
        <w:tc>
          <w:tcPr>
            <w:tcW w:w="0" w:type="dxa"/>
            <w:vAlign w:val="bottom"/>
          </w:tcPr>
          <w:p>
            <w:pPr>
              <w:spacing w:after="0"/>
              <w:rPr>
                <w:sz w:val="1"/>
                <w:szCs w:val="1"/>
                <w:color w:val="auto"/>
              </w:rPr>
            </w:pPr>
          </w:p>
        </w:tc>
      </w:tr>
      <w:tr>
        <w:trPr>
          <w:trHeight w:val="122"/>
        </w:trPr>
        <w:tc>
          <w:tcPr>
            <w:tcW w:w="700" w:type="dxa"/>
            <w:vAlign w:val="bottom"/>
            <w:tcBorders>
              <w:left w:val="single" w:sz="8" w:color="auto"/>
              <w:right w:val="single" w:sz="8" w:color="auto"/>
            </w:tcBorders>
            <w:shd w:val="clear" w:color="auto" w:fill="29650B"/>
          </w:tcPr>
          <w:p>
            <w:pPr>
              <w:spacing w:after="0"/>
              <w:rPr>
                <w:sz w:val="10"/>
                <w:szCs w:val="10"/>
                <w:color w:val="auto"/>
              </w:rPr>
            </w:pPr>
          </w:p>
        </w:tc>
        <w:tc>
          <w:tcPr>
            <w:tcW w:w="180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rPr>
              <w:t>PEO</w:t>
            </w:r>
          </w:p>
        </w:tc>
        <w:tc>
          <w:tcPr>
            <w:tcW w:w="180" w:type="dxa"/>
            <w:vAlign w:val="bottom"/>
            <w:shd w:val="clear" w:color="auto" w:fill="29650B"/>
          </w:tcPr>
          <w:p>
            <w:pPr>
              <w:spacing w:after="0"/>
              <w:rPr>
                <w:sz w:val="10"/>
                <w:szCs w:val="10"/>
                <w:color w:val="auto"/>
              </w:rPr>
            </w:pPr>
          </w:p>
        </w:tc>
        <w:tc>
          <w:tcPr>
            <w:tcW w:w="160" w:type="dxa"/>
            <w:vAlign w:val="bottom"/>
            <w:tcBorders>
              <w:right w:val="single" w:sz="8" w:color="29650B"/>
            </w:tcBorders>
            <w:shd w:val="clear" w:color="auto" w:fill="29650B"/>
          </w:tcPr>
          <w:p>
            <w:pPr>
              <w:spacing w:after="0"/>
              <w:rPr>
                <w:sz w:val="10"/>
                <w:szCs w:val="10"/>
                <w:color w:val="auto"/>
              </w:rPr>
            </w:pPr>
          </w:p>
        </w:tc>
        <w:tc>
          <w:tcPr>
            <w:tcW w:w="1340" w:type="dxa"/>
            <w:vAlign w:val="bottom"/>
            <w:tcBorders>
              <w:right w:val="single" w:sz="8" w:color="auto"/>
            </w:tcBorders>
            <w:vMerge w:val="restart"/>
            <w:shd w:val="clear" w:color="auto" w:fill="29650B"/>
          </w:tcPr>
          <w:p>
            <w:pPr>
              <w:jc w:val="center"/>
              <w:ind w:right="297"/>
              <w:spacing w:after="0"/>
              <w:rPr>
                <w:sz w:val="20"/>
                <w:szCs w:val="20"/>
                <w:color w:val="auto"/>
              </w:rPr>
            </w:pPr>
            <w:r>
              <w:rPr>
                <w:rFonts w:ascii="Times New Roman" w:cs="Times New Roman" w:eastAsia="Times New Roman" w:hAnsi="Times New Roman"/>
                <w:sz w:val="21"/>
                <w:szCs w:val="21"/>
                <w:b w:val="1"/>
                <w:bCs w:val="1"/>
                <w:color w:val="FFFFFF"/>
                <w:w w:val="98"/>
              </w:rPr>
              <w:t>for PEO</w:t>
            </w:r>
          </w:p>
        </w:tc>
        <w:tc>
          <w:tcPr>
            <w:tcW w:w="140" w:type="dxa"/>
            <w:vAlign w:val="bottom"/>
            <w:shd w:val="clear" w:color="auto" w:fill="29650B"/>
          </w:tcPr>
          <w:p>
            <w:pPr>
              <w:spacing w:after="0"/>
              <w:rPr>
                <w:sz w:val="10"/>
                <w:szCs w:val="10"/>
                <w:color w:val="auto"/>
              </w:rPr>
            </w:pPr>
          </w:p>
        </w:tc>
        <w:tc>
          <w:tcPr>
            <w:tcW w:w="200" w:type="dxa"/>
            <w:vAlign w:val="bottom"/>
            <w:tcBorders>
              <w:right w:val="single" w:sz="8" w:color="29650B"/>
            </w:tcBorders>
            <w:shd w:val="clear" w:color="auto" w:fill="29650B"/>
          </w:tcPr>
          <w:p>
            <w:pPr>
              <w:spacing w:after="0"/>
              <w:rPr>
                <w:sz w:val="10"/>
                <w:szCs w:val="10"/>
                <w:color w:val="auto"/>
              </w:rPr>
            </w:pPr>
          </w:p>
        </w:tc>
        <w:tc>
          <w:tcPr>
            <w:tcW w:w="1240" w:type="dxa"/>
            <w:vAlign w:val="bottom"/>
            <w:tcBorders>
              <w:right w:val="single" w:sz="8" w:color="auto"/>
            </w:tcBorders>
            <w:vMerge w:val="restart"/>
            <w:shd w:val="clear" w:color="auto" w:fill="29650B"/>
          </w:tcPr>
          <w:p>
            <w:pPr>
              <w:jc w:val="center"/>
              <w:ind w:right="237"/>
              <w:spacing w:after="0"/>
              <w:rPr>
                <w:sz w:val="20"/>
                <w:szCs w:val="20"/>
                <w:color w:val="auto"/>
              </w:rPr>
            </w:pPr>
            <w:r>
              <w:rPr>
                <w:rFonts w:ascii="Times New Roman" w:cs="Times New Roman" w:eastAsia="Times New Roman" w:hAnsi="Times New Roman"/>
                <w:sz w:val="21"/>
                <w:szCs w:val="21"/>
                <w:b w:val="1"/>
                <w:bCs w:val="1"/>
                <w:color w:val="FFFFFF"/>
                <w:w w:val="98"/>
              </w:rPr>
              <w:t>for PEO</w:t>
            </w:r>
          </w:p>
        </w:tc>
        <w:tc>
          <w:tcPr>
            <w:tcW w:w="160" w:type="dxa"/>
            <w:vAlign w:val="bottom"/>
            <w:shd w:val="clear" w:color="auto" w:fill="29650B"/>
          </w:tcPr>
          <w:p>
            <w:pPr>
              <w:spacing w:after="0"/>
              <w:rPr>
                <w:sz w:val="10"/>
                <w:szCs w:val="10"/>
                <w:color w:val="auto"/>
              </w:rPr>
            </w:pPr>
          </w:p>
        </w:tc>
        <w:tc>
          <w:tcPr>
            <w:tcW w:w="180" w:type="dxa"/>
            <w:vAlign w:val="bottom"/>
            <w:tcBorders>
              <w:right w:val="single" w:sz="8" w:color="29650B"/>
            </w:tcBorders>
            <w:shd w:val="clear" w:color="auto" w:fill="29650B"/>
          </w:tcPr>
          <w:p>
            <w:pPr>
              <w:spacing w:after="0"/>
              <w:rPr>
                <w:sz w:val="10"/>
                <w:szCs w:val="10"/>
                <w:color w:val="auto"/>
              </w:rPr>
            </w:pPr>
          </w:p>
        </w:tc>
        <w:tc>
          <w:tcPr>
            <w:tcW w:w="1120" w:type="dxa"/>
            <w:vAlign w:val="bottom"/>
            <w:tcBorders>
              <w:right w:val="single" w:sz="8" w:color="auto"/>
            </w:tcBorders>
            <w:vMerge w:val="restart"/>
            <w:shd w:val="clear" w:color="auto" w:fill="29650B"/>
          </w:tcPr>
          <w:p>
            <w:pPr>
              <w:jc w:val="center"/>
              <w:ind w:right="297"/>
              <w:spacing w:after="0"/>
              <w:rPr>
                <w:sz w:val="20"/>
                <w:szCs w:val="20"/>
                <w:color w:val="auto"/>
              </w:rPr>
            </w:pPr>
            <w:r>
              <w:rPr>
                <w:rFonts w:ascii="Times New Roman" w:cs="Times New Roman" w:eastAsia="Times New Roman" w:hAnsi="Times New Roman"/>
                <w:sz w:val="21"/>
                <w:szCs w:val="21"/>
                <w:b w:val="1"/>
                <w:bCs w:val="1"/>
                <w:color w:val="FFFFFF"/>
                <w:w w:val="95"/>
              </w:rPr>
              <w:t>for PEO</w:t>
            </w:r>
          </w:p>
        </w:tc>
        <w:tc>
          <w:tcPr>
            <w:tcW w:w="340" w:type="dxa"/>
            <w:vAlign w:val="bottom"/>
            <w:tcBorders>
              <w:right w:val="single" w:sz="8" w:color="29650B"/>
            </w:tcBorders>
            <w:shd w:val="clear" w:color="auto" w:fill="29650B"/>
          </w:tcPr>
          <w:p>
            <w:pPr>
              <w:spacing w:after="0"/>
              <w:rPr>
                <w:sz w:val="10"/>
                <w:szCs w:val="10"/>
                <w:color w:val="auto"/>
              </w:rPr>
            </w:pPr>
          </w:p>
        </w:tc>
        <w:tc>
          <w:tcPr>
            <w:tcW w:w="1440" w:type="dxa"/>
            <w:vAlign w:val="bottom"/>
            <w:tcBorders>
              <w:right w:val="single" w:sz="8" w:color="auto"/>
            </w:tcBorders>
            <w:vMerge w:val="restart"/>
            <w:shd w:val="clear" w:color="auto" w:fill="29650B"/>
          </w:tcPr>
          <w:p>
            <w:pPr>
              <w:jc w:val="center"/>
              <w:ind w:right="257"/>
              <w:spacing w:after="0"/>
              <w:rPr>
                <w:sz w:val="20"/>
                <w:szCs w:val="20"/>
                <w:color w:val="auto"/>
              </w:rPr>
            </w:pPr>
            <w:r>
              <w:rPr>
                <w:rFonts w:ascii="Times New Roman" w:cs="Times New Roman" w:eastAsia="Times New Roman" w:hAnsi="Times New Roman"/>
                <w:sz w:val="21"/>
                <w:szCs w:val="21"/>
                <w:b w:val="1"/>
                <w:bCs w:val="1"/>
                <w:color w:val="FFFFFF"/>
              </w:rPr>
              <w:t>PEO</w:t>
            </w:r>
          </w:p>
        </w:tc>
        <w:tc>
          <w:tcPr>
            <w:tcW w:w="160" w:type="dxa"/>
            <w:vAlign w:val="bottom"/>
            <w:shd w:val="clear" w:color="auto" w:fill="29650B"/>
          </w:tcPr>
          <w:p>
            <w:pPr>
              <w:spacing w:after="0"/>
              <w:rPr>
                <w:sz w:val="10"/>
                <w:szCs w:val="10"/>
                <w:color w:val="auto"/>
              </w:rPr>
            </w:pPr>
          </w:p>
        </w:tc>
        <w:tc>
          <w:tcPr>
            <w:tcW w:w="2080" w:type="dxa"/>
            <w:vAlign w:val="bottom"/>
            <w:tcBorders>
              <w:right w:val="single" w:sz="8" w:color="auto"/>
            </w:tcBorders>
            <w:gridSpan w:val="2"/>
            <w:vMerge w:val="continue"/>
            <w:shd w:val="clear" w:color="auto" w:fill="29650B"/>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700" w:type="dxa"/>
            <w:vAlign w:val="bottom"/>
            <w:tcBorders>
              <w:left w:val="single" w:sz="8" w:color="auto"/>
              <w:right w:val="single" w:sz="8" w:color="auto"/>
            </w:tcBorders>
            <w:shd w:val="clear" w:color="auto" w:fill="29650B"/>
          </w:tcPr>
          <w:p>
            <w:pPr>
              <w:spacing w:after="0"/>
              <w:rPr>
                <w:sz w:val="10"/>
                <w:szCs w:val="10"/>
                <w:color w:val="auto"/>
              </w:rPr>
            </w:pPr>
          </w:p>
        </w:tc>
        <w:tc>
          <w:tcPr>
            <w:tcW w:w="1800" w:type="dxa"/>
            <w:vAlign w:val="bottom"/>
            <w:tcBorders>
              <w:right w:val="single" w:sz="8" w:color="auto"/>
            </w:tcBorders>
            <w:vMerge w:val="continue"/>
            <w:shd w:val="clear" w:color="auto" w:fill="29650B"/>
          </w:tcPr>
          <w:p>
            <w:pPr>
              <w:spacing w:after="0"/>
              <w:rPr>
                <w:sz w:val="10"/>
                <w:szCs w:val="10"/>
                <w:color w:val="auto"/>
              </w:rPr>
            </w:pPr>
          </w:p>
        </w:tc>
        <w:tc>
          <w:tcPr>
            <w:tcW w:w="180" w:type="dxa"/>
            <w:vAlign w:val="bottom"/>
            <w:shd w:val="clear" w:color="auto" w:fill="29650B"/>
          </w:tcPr>
          <w:p>
            <w:pPr>
              <w:spacing w:after="0"/>
              <w:rPr>
                <w:sz w:val="10"/>
                <w:szCs w:val="10"/>
                <w:color w:val="auto"/>
              </w:rPr>
            </w:pPr>
          </w:p>
        </w:tc>
        <w:tc>
          <w:tcPr>
            <w:tcW w:w="160" w:type="dxa"/>
            <w:vAlign w:val="bottom"/>
            <w:tcBorders>
              <w:right w:val="single" w:sz="8" w:color="29650B"/>
            </w:tcBorders>
            <w:shd w:val="clear" w:color="auto" w:fill="29650B"/>
          </w:tcPr>
          <w:p>
            <w:pPr>
              <w:spacing w:after="0"/>
              <w:rPr>
                <w:sz w:val="10"/>
                <w:szCs w:val="10"/>
                <w:color w:val="auto"/>
              </w:rPr>
            </w:pPr>
          </w:p>
        </w:tc>
        <w:tc>
          <w:tcPr>
            <w:tcW w:w="1340" w:type="dxa"/>
            <w:vAlign w:val="bottom"/>
            <w:tcBorders>
              <w:right w:val="single" w:sz="8" w:color="auto"/>
            </w:tcBorders>
            <w:vMerge w:val="continue"/>
            <w:shd w:val="clear" w:color="auto" w:fill="29650B"/>
          </w:tcPr>
          <w:p>
            <w:pPr>
              <w:spacing w:after="0"/>
              <w:rPr>
                <w:sz w:val="10"/>
                <w:szCs w:val="10"/>
                <w:color w:val="auto"/>
              </w:rPr>
            </w:pPr>
          </w:p>
        </w:tc>
        <w:tc>
          <w:tcPr>
            <w:tcW w:w="140" w:type="dxa"/>
            <w:vAlign w:val="bottom"/>
            <w:shd w:val="clear" w:color="auto" w:fill="29650B"/>
          </w:tcPr>
          <w:p>
            <w:pPr>
              <w:spacing w:after="0"/>
              <w:rPr>
                <w:sz w:val="10"/>
                <w:szCs w:val="10"/>
                <w:color w:val="auto"/>
              </w:rPr>
            </w:pPr>
          </w:p>
        </w:tc>
        <w:tc>
          <w:tcPr>
            <w:tcW w:w="200" w:type="dxa"/>
            <w:vAlign w:val="bottom"/>
            <w:tcBorders>
              <w:right w:val="single" w:sz="8" w:color="29650B"/>
            </w:tcBorders>
            <w:shd w:val="clear" w:color="auto" w:fill="29650B"/>
          </w:tcPr>
          <w:p>
            <w:pPr>
              <w:spacing w:after="0"/>
              <w:rPr>
                <w:sz w:val="10"/>
                <w:szCs w:val="10"/>
                <w:color w:val="auto"/>
              </w:rPr>
            </w:pPr>
          </w:p>
        </w:tc>
        <w:tc>
          <w:tcPr>
            <w:tcW w:w="1240" w:type="dxa"/>
            <w:vAlign w:val="bottom"/>
            <w:tcBorders>
              <w:right w:val="single" w:sz="8" w:color="auto"/>
            </w:tcBorders>
            <w:vMerge w:val="continue"/>
            <w:shd w:val="clear" w:color="auto" w:fill="29650B"/>
          </w:tcPr>
          <w:p>
            <w:pPr>
              <w:spacing w:after="0"/>
              <w:rPr>
                <w:sz w:val="10"/>
                <w:szCs w:val="10"/>
                <w:color w:val="auto"/>
              </w:rPr>
            </w:pPr>
          </w:p>
        </w:tc>
        <w:tc>
          <w:tcPr>
            <w:tcW w:w="160" w:type="dxa"/>
            <w:vAlign w:val="bottom"/>
            <w:shd w:val="clear" w:color="auto" w:fill="29650B"/>
          </w:tcPr>
          <w:p>
            <w:pPr>
              <w:spacing w:after="0"/>
              <w:rPr>
                <w:sz w:val="10"/>
                <w:szCs w:val="10"/>
                <w:color w:val="auto"/>
              </w:rPr>
            </w:pPr>
          </w:p>
        </w:tc>
        <w:tc>
          <w:tcPr>
            <w:tcW w:w="180" w:type="dxa"/>
            <w:vAlign w:val="bottom"/>
            <w:tcBorders>
              <w:right w:val="single" w:sz="8" w:color="29650B"/>
            </w:tcBorders>
            <w:shd w:val="clear" w:color="auto" w:fill="29650B"/>
          </w:tcPr>
          <w:p>
            <w:pPr>
              <w:spacing w:after="0"/>
              <w:rPr>
                <w:sz w:val="10"/>
                <w:szCs w:val="10"/>
                <w:color w:val="auto"/>
              </w:rPr>
            </w:pPr>
          </w:p>
        </w:tc>
        <w:tc>
          <w:tcPr>
            <w:tcW w:w="1120" w:type="dxa"/>
            <w:vAlign w:val="bottom"/>
            <w:tcBorders>
              <w:right w:val="single" w:sz="8" w:color="auto"/>
            </w:tcBorders>
            <w:vMerge w:val="continue"/>
            <w:shd w:val="clear" w:color="auto" w:fill="29650B"/>
          </w:tcPr>
          <w:p>
            <w:pPr>
              <w:spacing w:after="0"/>
              <w:rPr>
                <w:sz w:val="10"/>
                <w:szCs w:val="10"/>
                <w:color w:val="auto"/>
              </w:rPr>
            </w:pPr>
          </w:p>
        </w:tc>
        <w:tc>
          <w:tcPr>
            <w:tcW w:w="340" w:type="dxa"/>
            <w:vAlign w:val="bottom"/>
            <w:tcBorders>
              <w:right w:val="single" w:sz="8" w:color="29650B"/>
            </w:tcBorders>
            <w:shd w:val="clear" w:color="auto" w:fill="29650B"/>
          </w:tcPr>
          <w:p>
            <w:pPr>
              <w:spacing w:after="0"/>
              <w:rPr>
                <w:sz w:val="10"/>
                <w:szCs w:val="10"/>
                <w:color w:val="auto"/>
              </w:rPr>
            </w:pPr>
          </w:p>
        </w:tc>
        <w:tc>
          <w:tcPr>
            <w:tcW w:w="1440" w:type="dxa"/>
            <w:vAlign w:val="bottom"/>
            <w:tcBorders>
              <w:right w:val="single" w:sz="8" w:color="auto"/>
            </w:tcBorders>
            <w:vMerge w:val="continue"/>
            <w:shd w:val="clear" w:color="auto" w:fill="29650B"/>
          </w:tcPr>
          <w:p>
            <w:pPr>
              <w:spacing w:after="0"/>
              <w:rPr>
                <w:sz w:val="10"/>
                <w:szCs w:val="10"/>
                <w:color w:val="auto"/>
              </w:rPr>
            </w:pPr>
          </w:p>
        </w:tc>
        <w:tc>
          <w:tcPr>
            <w:tcW w:w="160" w:type="dxa"/>
            <w:vAlign w:val="bottom"/>
            <w:shd w:val="clear" w:color="auto" w:fill="29650B"/>
          </w:tcPr>
          <w:p>
            <w:pPr>
              <w:spacing w:after="0"/>
              <w:rPr>
                <w:sz w:val="10"/>
                <w:szCs w:val="10"/>
                <w:color w:val="auto"/>
              </w:rPr>
            </w:pPr>
          </w:p>
        </w:tc>
        <w:tc>
          <w:tcPr>
            <w:tcW w:w="180" w:type="dxa"/>
            <w:vAlign w:val="bottom"/>
            <w:tcBorders>
              <w:right w:val="single" w:sz="8" w:color="29650B"/>
            </w:tcBorders>
            <w:shd w:val="clear" w:color="auto" w:fill="29650B"/>
          </w:tcPr>
          <w:p>
            <w:pPr>
              <w:spacing w:after="0"/>
              <w:rPr>
                <w:sz w:val="10"/>
                <w:szCs w:val="10"/>
                <w:color w:val="auto"/>
              </w:rPr>
            </w:pPr>
          </w:p>
        </w:tc>
        <w:tc>
          <w:tcPr>
            <w:tcW w:w="1900" w:type="dxa"/>
            <w:vAlign w:val="bottom"/>
            <w:tcBorders>
              <w:right w:val="single" w:sz="8" w:color="auto"/>
            </w:tcBorders>
            <w:vMerge w:val="restart"/>
            <w:shd w:val="clear" w:color="auto" w:fill="29650B"/>
          </w:tcPr>
          <w:p>
            <w:pPr>
              <w:jc w:val="center"/>
              <w:ind w:right="23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0" w:type="dxa"/>
            <w:vAlign w:val="bottom"/>
          </w:tcPr>
          <w:p>
            <w:pPr>
              <w:spacing w:after="0"/>
              <w:rPr>
                <w:sz w:val="1"/>
                <w:szCs w:val="1"/>
                <w:color w:val="auto"/>
              </w:rPr>
            </w:pPr>
          </w:p>
        </w:tc>
      </w:tr>
      <w:tr>
        <w:trPr>
          <w:trHeight w:val="151"/>
        </w:trPr>
        <w:tc>
          <w:tcPr>
            <w:tcW w:w="700" w:type="dxa"/>
            <w:vAlign w:val="bottom"/>
            <w:tcBorders>
              <w:left w:val="single" w:sz="8" w:color="auto"/>
              <w:right w:val="single" w:sz="8" w:color="auto"/>
            </w:tcBorders>
            <w:shd w:val="clear" w:color="auto" w:fill="29650B"/>
          </w:tcPr>
          <w:p>
            <w:pPr>
              <w:spacing w:after="0"/>
              <w:rPr>
                <w:sz w:val="13"/>
                <w:szCs w:val="13"/>
                <w:color w:val="auto"/>
              </w:rPr>
            </w:pPr>
          </w:p>
        </w:tc>
        <w:tc>
          <w:tcPr>
            <w:tcW w:w="1800" w:type="dxa"/>
            <w:vAlign w:val="bottom"/>
            <w:tcBorders>
              <w:right w:val="single" w:sz="8" w:color="auto"/>
            </w:tcBorders>
            <w:vMerge w:val="restart"/>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80" w:type="dxa"/>
            <w:vAlign w:val="bottom"/>
            <w:shd w:val="clear" w:color="auto" w:fill="29650B"/>
          </w:tcPr>
          <w:p>
            <w:pPr>
              <w:spacing w:after="0"/>
              <w:rPr>
                <w:sz w:val="13"/>
                <w:szCs w:val="13"/>
                <w:color w:val="auto"/>
              </w:rPr>
            </w:pPr>
          </w:p>
        </w:tc>
        <w:tc>
          <w:tcPr>
            <w:tcW w:w="1500" w:type="dxa"/>
            <w:vAlign w:val="bottom"/>
            <w:tcBorders>
              <w:right w:val="single" w:sz="8" w:color="auto"/>
            </w:tcBorders>
            <w:gridSpan w:val="2"/>
            <w:vMerge w:val="restart"/>
            <w:shd w:val="clear" w:color="auto" w:fill="29650B"/>
          </w:tcPr>
          <w:p>
            <w:pPr>
              <w:jc w:val="center"/>
              <w:ind w:right="11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40" w:type="dxa"/>
            <w:vAlign w:val="bottom"/>
            <w:shd w:val="clear" w:color="auto" w:fill="29650B"/>
          </w:tcPr>
          <w:p>
            <w:pPr>
              <w:spacing w:after="0"/>
              <w:rPr>
                <w:sz w:val="13"/>
                <w:szCs w:val="13"/>
                <w:color w:val="auto"/>
              </w:rPr>
            </w:pPr>
          </w:p>
        </w:tc>
        <w:tc>
          <w:tcPr>
            <w:tcW w:w="1440" w:type="dxa"/>
            <w:vAlign w:val="bottom"/>
            <w:tcBorders>
              <w:right w:val="single" w:sz="8" w:color="auto"/>
            </w:tcBorders>
            <w:gridSpan w:val="2"/>
            <w:vMerge w:val="restart"/>
            <w:shd w:val="clear" w:color="auto" w:fill="29650B"/>
          </w:tcPr>
          <w:p>
            <w:pPr>
              <w:jc w:val="center"/>
              <w:ind w:right="5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60" w:type="dxa"/>
            <w:vAlign w:val="bottom"/>
            <w:shd w:val="clear" w:color="auto" w:fill="29650B"/>
          </w:tcPr>
          <w:p>
            <w:pPr>
              <w:spacing w:after="0"/>
              <w:rPr>
                <w:sz w:val="13"/>
                <w:szCs w:val="13"/>
                <w:color w:val="auto"/>
              </w:rPr>
            </w:pPr>
          </w:p>
        </w:tc>
        <w:tc>
          <w:tcPr>
            <w:tcW w:w="1300" w:type="dxa"/>
            <w:vAlign w:val="bottom"/>
            <w:tcBorders>
              <w:right w:val="single" w:sz="8" w:color="auto"/>
            </w:tcBorders>
            <w:gridSpan w:val="2"/>
            <w:vMerge w:val="restart"/>
            <w:shd w:val="clear" w:color="auto" w:fill="29650B"/>
          </w:tcPr>
          <w:p>
            <w:pPr>
              <w:jc w:val="center"/>
              <w:ind w:right="7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340" w:type="dxa"/>
            <w:vAlign w:val="bottom"/>
            <w:tcBorders>
              <w:right w:val="single" w:sz="8" w:color="29650B"/>
            </w:tcBorders>
            <w:shd w:val="clear" w:color="auto" w:fill="29650B"/>
          </w:tcPr>
          <w:p>
            <w:pPr>
              <w:spacing w:after="0"/>
              <w:rPr>
                <w:sz w:val="13"/>
                <w:szCs w:val="13"/>
                <w:color w:val="auto"/>
              </w:rPr>
            </w:pPr>
          </w:p>
        </w:tc>
        <w:tc>
          <w:tcPr>
            <w:tcW w:w="1440" w:type="dxa"/>
            <w:vAlign w:val="bottom"/>
            <w:tcBorders>
              <w:right w:val="single" w:sz="8" w:color="auto"/>
            </w:tcBorders>
            <w:vMerge w:val="restart"/>
            <w:shd w:val="clear" w:color="auto" w:fill="29650B"/>
          </w:tcPr>
          <w:p>
            <w:pPr>
              <w:jc w:val="center"/>
              <w:ind w:right="25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60" w:type="dxa"/>
            <w:vAlign w:val="bottom"/>
            <w:shd w:val="clear" w:color="auto" w:fill="29650B"/>
          </w:tcPr>
          <w:p>
            <w:pPr>
              <w:spacing w:after="0"/>
              <w:rPr>
                <w:sz w:val="13"/>
                <w:szCs w:val="13"/>
                <w:color w:val="auto"/>
              </w:rPr>
            </w:pPr>
          </w:p>
        </w:tc>
        <w:tc>
          <w:tcPr>
            <w:tcW w:w="180" w:type="dxa"/>
            <w:vAlign w:val="bottom"/>
            <w:tcBorders>
              <w:right w:val="single" w:sz="8" w:color="29650B"/>
            </w:tcBorders>
            <w:shd w:val="clear" w:color="auto" w:fill="29650B"/>
          </w:tcPr>
          <w:p>
            <w:pPr>
              <w:spacing w:after="0"/>
              <w:rPr>
                <w:sz w:val="13"/>
                <w:szCs w:val="13"/>
                <w:color w:val="auto"/>
              </w:rPr>
            </w:pPr>
          </w:p>
        </w:tc>
        <w:tc>
          <w:tcPr>
            <w:tcW w:w="1900" w:type="dxa"/>
            <w:vAlign w:val="bottom"/>
            <w:tcBorders>
              <w:right w:val="single" w:sz="8" w:color="auto"/>
            </w:tcBorders>
            <w:vMerge w:val="continue"/>
            <w:shd w:val="clear" w:color="auto" w:fill="29650B"/>
          </w:tcPr>
          <w:p>
            <w:pPr>
              <w:spacing w:after="0"/>
              <w:rPr>
                <w:sz w:val="13"/>
                <w:szCs w:val="13"/>
                <w:color w:val="auto"/>
              </w:rPr>
            </w:pPr>
          </w:p>
        </w:tc>
        <w:tc>
          <w:tcPr>
            <w:tcW w:w="0" w:type="dxa"/>
            <w:vAlign w:val="bottom"/>
          </w:tcPr>
          <w:p>
            <w:pPr>
              <w:spacing w:after="0"/>
              <w:rPr>
                <w:sz w:val="1"/>
                <w:szCs w:val="1"/>
                <w:color w:val="auto"/>
              </w:rPr>
            </w:pPr>
          </w:p>
        </w:tc>
      </w:tr>
      <w:tr>
        <w:trPr>
          <w:trHeight w:val="114"/>
        </w:trPr>
        <w:tc>
          <w:tcPr>
            <w:tcW w:w="700" w:type="dxa"/>
            <w:vAlign w:val="bottom"/>
            <w:tcBorders>
              <w:left w:val="single" w:sz="8" w:color="auto"/>
              <w:bottom w:val="single" w:sz="8" w:color="auto"/>
              <w:right w:val="single" w:sz="8" w:color="auto"/>
            </w:tcBorders>
            <w:shd w:val="clear" w:color="auto" w:fill="29650B"/>
          </w:tcPr>
          <w:p>
            <w:pPr>
              <w:spacing w:after="0"/>
              <w:rPr>
                <w:sz w:val="9"/>
                <w:szCs w:val="9"/>
                <w:color w:val="auto"/>
              </w:rPr>
            </w:pPr>
          </w:p>
        </w:tc>
        <w:tc>
          <w:tcPr>
            <w:tcW w:w="180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180" w:type="dxa"/>
            <w:vAlign w:val="bottom"/>
            <w:tcBorders>
              <w:bottom w:val="single" w:sz="8" w:color="auto"/>
            </w:tcBorders>
            <w:shd w:val="clear" w:color="auto" w:fill="29650B"/>
          </w:tcPr>
          <w:p>
            <w:pPr>
              <w:spacing w:after="0"/>
              <w:rPr>
                <w:sz w:val="9"/>
                <w:szCs w:val="9"/>
                <w:color w:val="auto"/>
              </w:rPr>
            </w:pPr>
          </w:p>
        </w:tc>
        <w:tc>
          <w:tcPr>
            <w:tcW w:w="1500" w:type="dxa"/>
            <w:vAlign w:val="bottom"/>
            <w:tcBorders>
              <w:bottom w:val="single" w:sz="8" w:color="auto"/>
              <w:right w:val="single" w:sz="8" w:color="auto"/>
            </w:tcBorders>
            <w:gridSpan w:val="2"/>
            <w:vMerge w:val="continue"/>
            <w:shd w:val="clear" w:color="auto" w:fill="29650B"/>
          </w:tcPr>
          <w:p>
            <w:pPr>
              <w:spacing w:after="0"/>
              <w:rPr>
                <w:sz w:val="9"/>
                <w:szCs w:val="9"/>
                <w:color w:val="auto"/>
              </w:rPr>
            </w:pPr>
          </w:p>
        </w:tc>
        <w:tc>
          <w:tcPr>
            <w:tcW w:w="140" w:type="dxa"/>
            <w:vAlign w:val="bottom"/>
            <w:tcBorders>
              <w:bottom w:val="single" w:sz="8" w:color="auto"/>
            </w:tcBorders>
            <w:shd w:val="clear" w:color="auto" w:fill="29650B"/>
          </w:tcPr>
          <w:p>
            <w:pPr>
              <w:spacing w:after="0"/>
              <w:rPr>
                <w:sz w:val="9"/>
                <w:szCs w:val="9"/>
                <w:color w:val="auto"/>
              </w:rPr>
            </w:pPr>
          </w:p>
        </w:tc>
        <w:tc>
          <w:tcPr>
            <w:tcW w:w="1440" w:type="dxa"/>
            <w:vAlign w:val="bottom"/>
            <w:tcBorders>
              <w:bottom w:val="single" w:sz="8" w:color="auto"/>
              <w:right w:val="single" w:sz="8" w:color="auto"/>
            </w:tcBorders>
            <w:gridSpan w:val="2"/>
            <w:vMerge w:val="continue"/>
            <w:shd w:val="clear" w:color="auto" w:fill="29650B"/>
          </w:tcPr>
          <w:p>
            <w:pPr>
              <w:spacing w:after="0"/>
              <w:rPr>
                <w:sz w:val="9"/>
                <w:szCs w:val="9"/>
                <w:color w:val="auto"/>
              </w:rPr>
            </w:pPr>
          </w:p>
        </w:tc>
        <w:tc>
          <w:tcPr>
            <w:tcW w:w="160" w:type="dxa"/>
            <w:vAlign w:val="bottom"/>
            <w:tcBorders>
              <w:bottom w:val="single" w:sz="8" w:color="auto"/>
            </w:tcBorders>
            <w:shd w:val="clear" w:color="auto" w:fill="29650B"/>
          </w:tcPr>
          <w:p>
            <w:pPr>
              <w:spacing w:after="0"/>
              <w:rPr>
                <w:sz w:val="9"/>
                <w:szCs w:val="9"/>
                <w:color w:val="auto"/>
              </w:rPr>
            </w:pPr>
          </w:p>
        </w:tc>
        <w:tc>
          <w:tcPr>
            <w:tcW w:w="1300" w:type="dxa"/>
            <w:vAlign w:val="bottom"/>
            <w:tcBorders>
              <w:bottom w:val="single" w:sz="8" w:color="auto"/>
              <w:right w:val="single" w:sz="8" w:color="auto"/>
            </w:tcBorders>
            <w:gridSpan w:val="2"/>
            <w:vMerge w:val="continue"/>
            <w:shd w:val="clear" w:color="auto" w:fill="29650B"/>
          </w:tcPr>
          <w:p>
            <w:pPr>
              <w:spacing w:after="0"/>
              <w:rPr>
                <w:sz w:val="9"/>
                <w:szCs w:val="9"/>
                <w:color w:val="auto"/>
              </w:rPr>
            </w:pPr>
          </w:p>
        </w:tc>
        <w:tc>
          <w:tcPr>
            <w:tcW w:w="340" w:type="dxa"/>
            <w:vAlign w:val="bottom"/>
            <w:tcBorders>
              <w:bottom w:val="single" w:sz="8" w:color="auto"/>
              <w:right w:val="single" w:sz="8" w:color="29650B"/>
            </w:tcBorders>
            <w:shd w:val="clear" w:color="auto" w:fill="29650B"/>
          </w:tcPr>
          <w:p>
            <w:pPr>
              <w:spacing w:after="0"/>
              <w:rPr>
                <w:sz w:val="9"/>
                <w:szCs w:val="9"/>
                <w:color w:val="auto"/>
              </w:rPr>
            </w:pPr>
          </w:p>
        </w:tc>
        <w:tc>
          <w:tcPr>
            <w:tcW w:w="1440" w:type="dxa"/>
            <w:vAlign w:val="bottom"/>
            <w:tcBorders>
              <w:bottom w:val="single" w:sz="8" w:color="auto"/>
              <w:right w:val="single" w:sz="8" w:color="auto"/>
            </w:tcBorders>
            <w:vMerge w:val="continue"/>
            <w:shd w:val="clear" w:color="auto" w:fill="29650B"/>
          </w:tcPr>
          <w:p>
            <w:pPr>
              <w:spacing w:after="0"/>
              <w:rPr>
                <w:sz w:val="9"/>
                <w:szCs w:val="9"/>
                <w:color w:val="auto"/>
              </w:rPr>
            </w:pPr>
          </w:p>
        </w:tc>
        <w:tc>
          <w:tcPr>
            <w:tcW w:w="160" w:type="dxa"/>
            <w:vAlign w:val="bottom"/>
            <w:tcBorders>
              <w:bottom w:val="single" w:sz="8" w:color="auto"/>
            </w:tcBorders>
            <w:shd w:val="clear" w:color="auto" w:fill="29650B"/>
          </w:tcPr>
          <w:p>
            <w:pPr>
              <w:spacing w:after="0"/>
              <w:rPr>
                <w:sz w:val="9"/>
                <w:szCs w:val="9"/>
                <w:color w:val="auto"/>
              </w:rPr>
            </w:pPr>
          </w:p>
        </w:tc>
        <w:tc>
          <w:tcPr>
            <w:tcW w:w="180" w:type="dxa"/>
            <w:vAlign w:val="bottom"/>
            <w:tcBorders>
              <w:bottom w:val="single" w:sz="8" w:color="auto"/>
              <w:right w:val="single" w:sz="8" w:color="29650B"/>
            </w:tcBorders>
            <w:shd w:val="clear" w:color="auto" w:fill="29650B"/>
          </w:tcPr>
          <w:p>
            <w:pPr>
              <w:spacing w:after="0"/>
              <w:rPr>
                <w:sz w:val="9"/>
                <w:szCs w:val="9"/>
                <w:color w:val="auto"/>
              </w:rPr>
            </w:pPr>
          </w:p>
        </w:tc>
        <w:tc>
          <w:tcPr>
            <w:tcW w:w="1900" w:type="dxa"/>
            <w:vAlign w:val="bottom"/>
            <w:tcBorders>
              <w:bottom w:val="single" w:sz="8" w:color="auto"/>
              <w:right w:val="single" w:sz="8" w:color="auto"/>
            </w:tcBorders>
            <w:shd w:val="clear" w:color="auto" w:fill="29650B"/>
          </w:tcPr>
          <w:p>
            <w:pPr>
              <w:spacing w:after="0"/>
              <w:rPr>
                <w:sz w:val="9"/>
                <w:szCs w:val="9"/>
                <w:color w:val="auto"/>
              </w:rPr>
            </w:pP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2025</w:t>
            </w:r>
          </w:p>
        </w:tc>
        <w:tc>
          <w:tcPr>
            <w:tcW w:w="1800" w:type="dxa"/>
            <w:vAlign w:val="bottom"/>
            <w:tcBorders>
              <w:bottom w:val="single" w:sz="8" w:color="auto"/>
              <w:right w:val="single" w:sz="8" w:color="auto"/>
            </w:tcBorders>
          </w:tcPr>
          <w:p>
            <w:pPr>
              <w:jc w:val="right"/>
              <w:ind w:right="337"/>
              <w:spacing w:after="0" w:line="237" w:lineRule="exact"/>
              <w:rPr>
                <w:sz w:val="20"/>
                <w:szCs w:val="20"/>
                <w:color w:val="auto"/>
              </w:rPr>
            </w:pPr>
            <w:r>
              <w:rPr>
                <w:rFonts w:ascii="Times New Roman" w:cs="Times New Roman" w:eastAsia="Times New Roman" w:hAnsi="Times New Roman"/>
                <w:sz w:val="21"/>
                <w:szCs w:val="21"/>
                <w:color w:val="auto"/>
              </w:rPr>
              <w:t>17,501,363</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97"/>
              <w:spacing w:after="0" w:line="237" w:lineRule="exact"/>
              <w:rPr>
                <w:sz w:val="20"/>
                <w:szCs w:val="20"/>
                <w:color w:val="auto"/>
              </w:rPr>
            </w:pPr>
            <w:r>
              <w:rPr>
                <w:rFonts w:ascii="Times New Roman" w:cs="Times New Roman" w:eastAsia="Times New Roman" w:hAnsi="Times New Roman"/>
                <w:sz w:val="21"/>
                <w:szCs w:val="21"/>
                <w:color w:val="auto"/>
                <w:w w:val="99"/>
              </w:rPr>
              <w:t>(3,158,490)</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gridSpan w:val="2"/>
          </w:tcPr>
          <w:p>
            <w:pPr>
              <w:jc w:val="center"/>
              <w:ind w:right="57"/>
              <w:spacing w:after="0" w:line="237" w:lineRule="exact"/>
              <w:rPr>
                <w:sz w:val="20"/>
                <w:szCs w:val="20"/>
                <w:color w:val="auto"/>
              </w:rPr>
            </w:pPr>
            <w:r>
              <w:rPr>
                <w:rFonts w:ascii="Times New Roman" w:cs="Times New Roman" w:eastAsia="Times New Roman" w:hAnsi="Times New Roman"/>
                <w:sz w:val="21"/>
                <w:szCs w:val="21"/>
                <w:color w:val="auto"/>
                <w:w w:val="97"/>
              </w:rPr>
              <w:t>(8,627,475)</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2"/>
          </w:tcPr>
          <w:p>
            <w:pPr>
              <w:jc w:val="center"/>
              <w:ind w:right="77"/>
              <w:spacing w:after="0" w:line="237" w:lineRule="exact"/>
              <w:rPr>
                <w:sz w:val="20"/>
                <w:szCs w:val="20"/>
                <w:color w:val="auto"/>
              </w:rPr>
            </w:pPr>
            <w:r>
              <w:rPr>
                <w:rFonts w:ascii="Times New Roman" w:cs="Times New Roman" w:eastAsia="Times New Roman" w:hAnsi="Times New Roman"/>
                <w:sz w:val="21"/>
                <w:szCs w:val="21"/>
                <w:color w:val="auto"/>
                <w:w w:val="99"/>
              </w:rPr>
              <w:t>578,518</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337"/>
              <w:spacing w:after="0" w:line="237" w:lineRule="exact"/>
              <w:rPr>
                <w:sz w:val="20"/>
                <w:szCs w:val="20"/>
                <w:color w:val="auto"/>
              </w:rPr>
            </w:pPr>
            <w:r>
              <w:rPr>
                <w:rFonts w:ascii="Times New Roman" w:cs="Times New Roman" w:eastAsia="Times New Roman" w:hAnsi="Times New Roman"/>
                <w:sz w:val="21"/>
                <w:szCs w:val="21"/>
                <w:color w:val="auto"/>
              </w:rPr>
              <w:t>36,284,240</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ind w:left="300"/>
              <w:spacing w:after="0" w:line="237" w:lineRule="exact"/>
              <w:rPr>
                <w:sz w:val="20"/>
                <w:szCs w:val="20"/>
                <w:color w:val="auto"/>
              </w:rPr>
            </w:pPr>
            <w:r>
              <w:rPr>
                <w:rFonts w:ascii="Times New Roman" w:cs="Times New Roman" w:eastAsia="Times New Roman" w:hAnsi="Times New Roman"/>
                <w:sz w:val="21"/>
                <w:szCs w:val="21"/>
                <w:color w:val="auto"/>
              </w:rPr>
              <w:t>42,578,156</w:t>
            </w:r>
          </w:p>
        </w:tc>
        <w:tc>
          <w:tcPr>
            <w:tcW w:w="0" w:type="dxa"/>
            <w:vAlign w:val="bottom"/>
          </w:tcPr>
          <w:p>
            <w:pPr>
              <w:spacing w:after="0"/>
              <w:rPr>
                <w:sz w:val="1"/>
                <w:szCs w:val="1"/>
                <w:color w:val="auto"/>
              </w:rPr>
            </w:pPr>
          </w:p>
        </w:tc>
      </w:tr>
      <w:tr>
        <w:trPr>
          <w:trHeight w:val="236"/>
        </w:trPr>
        <w:tc>
          <w:tcPr>
            <w:tcW w:w="700" w:type="dxa"/>
            <w:vAlign w:val="bottom"/>
            <w:tcBorders>
              <w:left w:val="single" w:sz="8" w:color="auto"/>
              <w:bottom w:val="single" w:sz="8" w:color="auto"/>
              <w:right w:val="single" w:sz="8" w:color="auto"/>
            </w:tcBorders>
            <w:shd w:val="clear" w:color="auto" w:fill="D9D9D9"/>
          </w:tcPr>
          <w:p>
            <w:pPr>
              <w:ind w:left="140"/>
              <w:spacing w:after="0" w:line="237" w:lineRule="exact"/>
              <w:rPr>
                <w:sz w:val="20"/>
                <w:szCs w:val="20"/>
                <w:color w:val="auto"/>
              </w:rPr>
            </w:pPr>
            <w:r>
              <w:rPr>
                <w:rFonts w:ascii="Times New Roman" w:cs="Times New Roman" w:eastAsia="Times New Roman" w:hAnsi="Times New Roman"/>
                <w:sz w:val="21"/>
                <w:szCs w:val="21"/>
                <w:color w:val="auto"/>
              </w:rPr>
              <w:t>2024</w:t>
            </w:r>
          </w:p>
        </w:tc>
        <w:tc>
          <w:tcPr>
            <w:tcW w:w="1800" w:type="dxa"/>
            <w:vAlign w:val="bottom"/>
            <w:tcBorders>
              <w:bottom w:val="single" w:sz="8" w:color="auto"/>
              <w:right w:val="single" w:sz="8" w:color="auto"/>
            </w:tcBorders>
            <w:shd w:val="clear" w:color="auto" w:fill="D9D9D9"/>
          </w:tcPr>
          <w:p>
            <w:pPr>
              <w:jc w:val="right"/>
              <w:ind w:right="337"/>
              <w:spacing w:after="0" w:line="237" w:lineRule="exact"/>
              <w:rPr>
                <w:sz w:val="20"/>
                <w:szCs w:val="20"/>
                <w:color w:val="auto"/>
              </w:rPr>
            </w:pPr>
            <w:r>
              <w:rPr>
                <w:rFonts w:ascii="Times New Roman" w:cs="Times New Roman" w:eastAsia="Times New Roman" w:hAnsi="Times New Roman"/>
                <w:sz w:val="21"/>
                <w:szCs w:val="21"/>
                <w:color w:val="auto"/>
              </w:rPr>
              <w:t>13,618,150</w:t>
            </w:r>
          </w:p>
        </w:tc>
        <w:tc>
          <w:tcPr>
            <w:tcW w:w="180" w:type="dxa"/>
            <w:vAlign w:val="bottom"/>
            <w:tcBorders>
              <w:bottom w:val="single" w:sz="8" w:color="auto"/>
            </w:tcBorders>
            <w:shd w:val="clear" w:color="auto" w:fill="D9D9D9"/>
          </w:tcPr>
          <w:p>
            <w:pPr>
              <w:spacing w:after="0"/>
              <w:rPr>
                <w:sz w:val="20"/>
                <w:szCs w:val="20"/>
                <w:color w:val="auto"/>
              </w:rPr>
            </w:pPr>
          </w:p>
        </w:tc>
        <w:tc>
          <w:tcPr>
            <w:tcW w:w="1500" w:type="dxa"/>
            <w:vAlign w:val="bottom"/>
            <w:tcBorders>
              <w:bottom w:val="single" w:sz="8" w:color="auto"/>
              <w:right w:val="single" w:sz="8" w:color="auto"/>
            </w:tcBorders>
            <w:gridSpan w:val="2"/>
            <w:shd w:val="clear" w:color="auto" w:fill="D9D9D9"/>
          </w:tcPr>
          <w:p>
            <w:pPr>
              <w:jc w:val="center"/>
              <w:ind w:right="97"/>
              <w:spacing w:after="0" w:line="237" w:lineRule="exact"/>
              <w:rPr>
                <w:sz w:val="20"/>
                <w:szCs w:val="20"/>
                <w:color w:val="auto"/>
              </w:rPr>
            </w:pPr>
            <w:r>
              <w:rPr>
                <w:rFonts w:ascii="Times New Roman" w:cs="Times New Roman" w:eastAsia="Times New Roman" w:hAnsi="Times New Roman"/>
                <w:sz w:val="21"/>
                <w:szCs w:val="21"/>
                <w:color w:val="auto"/>
                <w:w w:val="94"/>
              </w:rPr>
              <w:t>0</w:t>
            </w:r>
          </w:p>
        </w:tc>
        <w:tc>
          <w:tcPr>
            <w:tcW w:w="140" w:type="dxa"/>
            <w:vAlign w:val="bottom"/>
            <w:tcBorders>
              <w:bottom w:val="single" w:sz="8" w:color="auto"/>
            </w:tcBorders>
            <w:shd w:val="clear" w:color="auto" w:fill="D9D9D9"/>
          </w:tcPr>
          <w:p>
            <w:pPr>
              <w:spacing w:after="0"/>
              <w:rPr>
                <w:sz w:val="20"/>
                <w:szCs w:val="20"/>
                <w:color w:val="auto"/>
              </w:rPr>
            </w:pPr>
          </w:p>
        </w:tc>
        <w:tc>
          <w:tcPr>
            <w:tcW w:w="1440" w:type="dxa"/>
            <w:vAlign w:val="bottom"/>
            <w:tcBorders>
              <w:bottom w:val="single" w:sz="8" w:color="auto"/>
              <w:right w:val="single" w:sz="8" w:color="auto"/>
            </w:tcBorders>
            <w:gridSpan w:val="2"/>
            <w:shd w:val="clear" w:color="auto" w:fill="D9D9D9"/>
          </w:tcPr>
          <w:p>
            <w:pPr>
              <w:jc w:val="center"/>
              <w:ind w:right="57"/>
              <w:spacing w:after="0" w:line="237" w:lineRule="exact"/>
              <w:rPr>
                <w:sz w:val="20"/>
                <w:szCs w:val="20"/>
                <w:color w:val="auto"/>
              </w:rPr>
            </w:pPr>
            <w:r>
              <w:rPr>
                <w:rFonts w:ascii="Times New Roman" w:cs="Times New Roman" w:eastAsia="Times New Roman" w:hAnsi="Times New Roman"/>
                <w:sz w:val="21"/>
                <w:szCs w:val="21"/>
                <w:color w:val="auto"/>
                <w:w w:val="97"/>
              </w:rPr>
              <w:t>(7,979,960)</w:t>
            </w:r>
          </w:p>
        </w:tc>
        <w:tc>
          <w:tcPr>
            <w:tcW w:w="160" w:type="dxa"/>
            <w:vAlign w:val="bottom"/>
            <w:tcBorders>
              <w:bottom w:val="single" w:sz="8" w:color="auto"/>
            </w:tcBorders>
            <w:shd w:val="clear" w:color="auto" w:fill="D9D9D9"/>
          </w:tcPr>
          <w:p>
            <w:pPr>
              <w:spacing w:after="0"/>
              <w:rPr>
                <w:sz w:val="20"/>
                <w:szCs w:val="20"/>
                <w:color w:val="auto"/>
              </w:rPr>
            </w:pPr>
          </w:p>
        </w:tc>
        <w:tc>
          <w:tcPr>
            <w:tcW w:w="1300" w:type="dxa"/>
            <w:vAlign w:val="bottom"/>
            <w:tcBorders>
              <w:bottom w:val="single" w:sz="8" w:color="auto"/>
              <w:right w:val="single" w:sz="8" w:color="auto"/>
            </w:tcBorders>
            <w:gridSpan w:val="2"/>
            <w:shd w:val="clear" w:color="auto" w:fill="D9D9D9"/>
          </w:tcPr>
          <w:p>
            <w:pPr>
              <w:jc w:val="center"/>
              <w:ind w:right="77"/>
              <w:spacing w:after="0" w:line="237" w:lineRule="exact"/>
              <w:rPr>
                <w:sz w:val="20"/>
                <w:szCs w:val="20"/>
                <w:color w:val="auto"/>
              </w:rPr>
            </w:pPr>
            <w:r>
              <w:rPr>
                <w:rFonts w:ascii="Times New Roman" w:cs="Times New Roman" w:eastAsia="Times New Roman" w:hAnsi="Times New Roman"/>
                <w:sz w:val="21"/>
                <w:szCs w:val="21"/>
                <w:color w:val="auto"/>
                <w:w w:val="99"/>
              </w:rPr>
              <w:t>627,225</w:t>
            </w:r>
          </w:p>
        </w:tc>
        <w:tc>
          <w:tcPr>
            <w:tcW w:w="340" w:type="dxa"/>
            <w:vAlign w:val="bottom"/>
            <w:tcBorders>
              <w:bottom w:val="single" w:sz="8" w:color="auto"/>
              <w:right w:val="single" w:sz="8" w:color="D9D9D9"/>
            </w:tcBorders>
            <w:shd w:val="clear" w:color="auto" w:fill="D9D9D9"/>
          </w:tcPr>
          <w:p>
            <w:pPr>
              <w:spacing w:after="0"/>
              <w:rPr>
                <w:sz w:val="20"/>
                <w:szCs w:val="20"/>
                <w:color w:val="auto"/>
              </w:rPr>
            </w:pPr>
          </w:p>
        </w:tc>
        <w:tc>
          <w:tcPr>
            <w:tcW w:w="1440" w:type="dxa"/>
            <w:vAlign w:val="bottom"/>
            <w:tcBorders>
              <w:bottom w:val="single" w:sz="8" w:color="auto"/>
              <w:right w:val="single" w:sz="8" w:color="auto"/>
            </w:tcBorders>
            <w:shd w:val="clear" w:color="auto" w:fill="D9D9D9"/>
          </w:tcPr>
          <w:p>
            <w:pPr>
              <w:jc w:val="right"/>
              <w:ind w:right="337"/>
              <w:spacing w:after="0" w:line="237" w:lineRule="exact"/>
              <w:rPr>
                <w:sz w:val="20"/>
                <w:szCs w:val="20"/>
                <w:color w:val="auto"/>
              </w:rPr>
            </w:pPr>
            <w:r>
              <w:rPr>
                <w:rFonts w:ascii="Times New Roman" w:cs="Times New Roman" w:eastAsia="Times New Roman" w:hAnsi="Times New Roman"/>
                <w:sz w:val="21"/>
                <w:szCs w:val="21"/>
                <w:color w:val="auto"/>
              </w:rPr>
              <w:t>5,104,075</w:t>
            </w:r>
          </w:p>
        </w:tc>
        <w:tc>
          <w:tcPr>
            <w:tcW w:w="160" w:type="dxa"/>
            <w:vAlign w:val="bottom"/>
            <w:tcBorders>
              <w:bottom w:val="single" w:sz="8" w:color="auto"/>
            </w:tcBorders>
            <w:shd w:val="clear" w:color="auto" w:fill="D9D9D9"/>
          </w:tcPr>
          <w:p>
            <w:pPr>
              <w:spacing w:after="0"/>
              <w:rPr>
                <w:sz w:val="20"/>
                <w:szCs w:val="20"/>
                <w:color w:val="auto"/>
              </w:rPr>
            </w:pPr>
          </w:p>
        </w:tc>
        <w:tc>
          <w:tcPr>
            <w:tcW w:w="180" w:type="dxa"/>
            <w:vAlign w:val="bottom"/>
            <w:tcBorders>
              <w:bottom w:val="single" w:sz="8" w:color="auto"/>
              <w:right w:val="single" w:sz="8" w:color="D9D9D9"/>
            </w:tcBorders>
            <w:shd w:val="clear" w:color="auto" w:fill="D9D9D9"/>
          </w:tcPr>
          <w:p>
            <w:pPr>
              <w:spacing w:after="0"/>
              <w:rPr>
                <w:sz w:val="20"/>
                <w:szCs w:val="20"/>
                <w:color w:val="auto"/>
              </w:rPr>
            </w:pPr>
          </w:p>
        </w:tc>
        <w:tc>
          <w:tcPr>
            <w:tcW w:w="1900" w:type="dxa"/>
            <w:vAlign w:val="bottom"/>
            <w:tcBorders>
              <w:bottom w:val="single" w:sz="8" w:color="auto"/>
              <w:right w:val="single" w:sz="8" w:color="auto"/>
            </w:tcBorders>
            <w:shd w:val="clear" w:color="auto" w:fill="D9D9D9"/>
          </w:tcPr>
          <w:p>
            <w:pPr>
              <w:ind w:left="320"/>
              <w:spacing w:after="0" w:line="237" w:lineRule="exact"/>
              <w:rPr>
                <w:sz w:val="20"/>
                <w:szCs w:val="20"/>
                <w:color w:val="auto"/>
              </w:rPr>
            </w:pPr>
            <w:r>
              <w:rPr>
                <w:rFonts w:ascii="Times New Roman" w:cs="Times New Roman" w:eastAsia="Times New Roman" w:hAnsi="Times New Roman"/>
                <w:sz w:val="21"/>
                <w:szCs w:val="21"/>
                <w:color w:val="auto"/>
              </w:rPr>
              <w:t>11,369,490</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2023</w:t>
            </w:r>
          </w:p>
        </w:tc>
        <w:tc>
          <w:tcPr>
            <w:tcW w:w="1800" w:type="dxa"/>
            <w:vAlign w:val="bottom"/>
            <w:tcBorders>
              <w:bottom w:val="single" w:sz="8" w:color="auto"/>
              <w:right w:val="single" w:sz="8" w:color="auto"/>
            </w:tcBorders>
          </w:tcPr>
          <w:p>
            <w:pPr>
              <w:jc w:val="right"/>
              <w:ind w:right="357"/>
              <w:spacing w:after="0" w:line="237" w:lineRule="exact"/>
              <w:rPr>
                <w:sz w:val="20"/>
                <w:szCs w:val="20"/>
                <w:color w:val="auto"/>
              </w:rPr>
            </w:pPr>
            <w:r>
              <w:rPr>
                <w:rFonts w:ascii="Times New Roman" w:cs="Times New Roman" w:eastAsia="Times New Roman" w:hAnsi="Times New Roman"/>
                <w:sz w:val="21"/>
                <w:szCs w:val="21"/>
                <w:color w:val="auto"/>
              </w:rPr>
              <w:t>11,928,223</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97"/>
              <w:spacing w:after="0" w:line="237" w:lineRule="exact"/>
              <w:rPr>
                <w:sz w:val="20"/>
                <w:szCs w:val="20"/>
                <w:color w:val="auto"/>
              </w:rPr>
            </w:pPr>
            <w:r>
              <w:rPr>
                <w:rFonts w:ascii="Times New Roman" w:cs="Times New Roman" w:eastAsia="Times New Roman" w:hAnsi="Times New Roman"/>
                <w:sz w:val="21"/>
                <w:szCs w:val="21"/>
                <w:color w:val="auto"/>
                <w:w w:val="94"/>
              </w:rPr>
              <w:t>0</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gridSpan w:val="2"/>
          </w:tcPr>
          <w:p>
            <w:pPr>
              <w:jc w:val="center"/>
              <w:ind w:right="57"/>
              <w:spacing w:after="0" w:line="237" w:lineRule="exact"/>
              <w:rPr>
                <w:sz w:val="20"/>
                <w:szCs w:val="20"/>
                <w:color w:val="auto"/>
              </w:rPr>
            </w:pPr>
            <w:r>
              <w:rPr>
                <w:rFonts w:ascii="Times New Roman" w:cs="Times New Roman" w:eastAsia="Times New Roman" w:hAnsi="Times New Roman"/>
                <w:sz w:val="21"/>
                <w:szCs w:val="21"/>
                <w:color w:val="auto"/>
                <w:w w:val="97"/>
              </w:rPr>
              <w:t>(7,671,945)</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2"/>
          </w:tcPr>
          <w:p>
            <w:pPr>
              <w:jc w:val="center"/>
              <w:ind w:right="77"/>
              <w:spacing w:after="0" w:line="237" w:lineRule="exact"/>
              <w:rPr>
                <w:sz w:val="20"/>
                <w:szCs w:val="20"/>
                <w:color w:val="auto"/>
              </w:rPr>
            </w:pPr>
            <w:r>
              <w:rPr>
                <w:rFonts w:ascii="Times New Roman" w:cs="Times New Roman" w:eastAsia="Times New Roman" w:hAnsi="Times New Roman"/>
                <w:sz w:val="21"/>
                <w:szCs w:val="21"/>
                <w:color w:val="auto"/>
                <w:w w:val="99"/>
              </w:rPr>
              <w:t>578,785</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337"/>
              <w:spacing w:after="0" w:line="237" w:lineRule="exact"/>
              <w:rPr>
                <w:sz w:val="20"/>
                <w:szCs w:val="20"/>
                <w:color w:val="auto"/>
              </w:rPr>
            </w:pPr>
            <w:r>
              <w:rPr>
                <w:rFonts w:ascii="Times New Roman" w:cs="Times New Roman" w:eastAsia="Times New Roman" w:hAnsi="Times New Roman"/>
                <w:sz w:val="21"/>
                <w:szCs w:val="21"/>
                <w:color w:val="auto"/>
              </w:rPr>
              <w:t>11,423,785</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ind w:left="300"/>
              <w:spacing w:after="0" w:line="237" w:lineRule="exact"/>
              <w:rPr>
                <w:sz w:val="20"/>
                <w:szCs w:val="20"/>
                <w:color w:val="auto"/>
              </w:rPr>
            </w:pPr>
            <w:r>
              <w:rPr>
                <w:rFonts w:ascii="Times New Roman" w:cs="Times New Roman" w:eastAsia="Times New Roman" w:hAnsi="Times New Roman"/>
                <w:sz w:val="21"/>
                <w:szCs w:val="21"/>
                <w:color w:val="auto"/>
              </w:rPr>
              <w:t>16,258,848</w:t>
            </w:r>
          </w:p>
        </w:tc>
        <w:tc>
          <w:tcPr>
            <w:tcW w:w="0" w:type="dxa"/>
            <w:vAlign w:val="bottom"/>
          </w:tcPr>
          <w:p>
            <w:pPr>
              <w:spacing w:after="0"/>
              <w:rPr>
                <w:sz w:val="1"/>
                <w:szCs w:val="1"/>
                <w:color w:val="auto"/>
              </w:rPr>
            </w:pPr>
          </w:p>
        </w:tc>
      </w:tr>
      <w:tr>
        <w:trPr>
          <w:trHeight w:val="236"/>
        </w:trPr>
        <w:tc>
          <w:tcPr>
            <w:tcW w:w="700" w:type="dxa"/>
            <w:vAlign w:val="bottom"/>
            <w:tcBorders>
              <w:left w:val="single" w:sz="8" w:color="auto"/>
              <w:bottom w:val="single" w:sz="8" w:color="auto"/>
              <w:right w:val="single" w:sz="8" w:color="auto"/>
            </w:tcBorders>
            <w:shd w:val="clear" w:color="auto" w:fill="D9D9D9"/>
          </w:tcPr>
          <w:p>
            <w:pPr>
              <w:ind w:left="140"/>
              <w:spacing w:after="0" w:line="237" w:lineRule="exact"/>
              <w:rPr>
                <w:sz w:val="20"/>
                <w:szCs w:val="20"/>
                <w:color w:val="auto"/>
              </w:rPr>
            </w:pPr>
            <w:r>
              <w:rPr>
                <w:rFonts w:ascii="Times New Roman" w:cs="Times New Roman" w:eastAsia="Times New Roman" w:hAnsi="Times New Roman"/>
                <w:sz w:val="21"/>
                <w:szCs w:val="21"/>
                <w:color w:val="auto"/>
              </w:rPr>
              <w:t>2022</w:t>
            </w:r>
          </w:p>
        </w:tc>
        <w:tc>
          <w:tcPr>
            <w:tcW w:w="1800" w:type="dxa"/>
            <w:vAlign w:val="bottom"/>
            <w:tcBorders>
              <w:bottom w:val="single" w:sz="8" w:color="auto"/>
              <w:right w:val="single" w:sz="8" w:color="auto"/>
            </w:tcBorders>
            <w:shd w:val="clear" w:color="auto" w:fill="D9D9D9"/>
          </w:tcPr>
          <w:p>
            <w:pPr>
              <w:jc w:val="right"/>
              <w:ind w:right="337"/>
              <w:spacing w:after="0" w:line="237" w:lineRule="exact"/>
              <w:rPr>
                <w:sz w:val="20"/>
                <w:szCs w:val="20"/>
                <w:color w:val="auto"/>
              </w:rPr>
            </w:pPr>
            <w:r>
              <w:rPr>
                <w:rFonts w:ascii="Times New Roman" w:cs="Times New Roman" w:eastAsia="Times New Roman" w:hAnsi="Times New Roman"/>
                <w:sz w:val="21"/>
                <w:szCs w:val="21"/>
                <w:color w:val="auto"/>
              </w:rPr>
              <w:t>9,300,136</w:t>
            </w:r>
          </w:p>
        </w:tc>
        <w:tc>
          <w:tcPr>
            <w:tcW w:w="180" w:type="dxa"/>
            <w:vAlign w:val="bottom"/>
            <w:tcBorders>
              <w:bottom w:val="single" w:sz="8" w:color="auto"/>
            </w:tcBorders>
            <w:shd w:val="clear" w:color="auto" w:fill="D9D9D9"/>
          </w:tcPr>
          <w:p>
            <w:pPr>
              <w:spacing w:after="0"/>
              <w:rPr>
                <w:sz w:val="20"/>
                <w:szCs w:val="20"/>
                <w:color w:val="auto"/>
              </w:rPr>
            </w:pPr>
          </w:p>
        </w:tc>
        <w:tc>
          <w:tcPr>
            <w:tcW w:w="1500" w:type="dxa"/>
            <w:vAlign w:val="bottom"/>
            <w:tcBorders>
              <w:bottom w:val="single" w:sz="8" w:color="auto"/>
              <w:right w:val="single" w:sz="8" w:color="auto"/>
            </w:tcBorders>
            <w:gridSpan w:val="2"/>
            <w:shd w:val="clear" w:color="auto" w:fill="D9D9D9"/>
          </w:tcPr>
          <w:p>
            <w:pPr>
              <w:jc w:val="center"/>
              <w:ind w:right="97"/>
              <w:spacing w:after="0" w:line="237" w:lineRule="exact"/>
              <w:rPr>
                <w:sz w:val="20"/>
                <w:szCs w:val="20"/>
                <w:color w:val="auto"/>
              </w:rPr>
            </w:pPr>
            <w:r>
              <w:rPr>
                <w:rFonts w:ascii="Times New Roman" w:cs="Times New Roman" w:eastAsia="Times New Roman" w:hAnsi="Times New Roman"/>
                <w:sz w:val="21"/>
                <w:szCs w:val="21"/>
                <w:color w:val="auto"/>
                <w:w w:val="94"/>
              </w:rPr>
              <w:t>0</w:t>
            </w:r>
          </w:p>
        </w:tc>
        <w:tc>
          <w:tcPr>
            <w:tcW w:w="140" w:type="dxa"/>
            <w:vAlign w:val="bottom"/>
            <w:tcBorders>
              <w:bottom w:val="single" w:sz="8" w:color="auto"/>
            </w:tcBorders>
            <w:shd w:val="clear" w:color="auto" w:fill="D9D9D9"/>
          </w:tcPr>
          <w:p>
            <w:pPr>
              <w:spacing w:after="0"/>
              <w:rPr>
                <w:sz w:val="20"/>
                <w:szCs w:val="20"/>
                <w:color w:val="auto"/>
              </w:rPr>
            </w:pPr>
          </w:p>
        </w:tc>
        <w:tc>
          <w:tcPr>
            <w:tcW w:w="1440" w:type="dxa"/>
            <w:vAlign w:val="bottom"/>
            <w:tcBorders>
              <w:bottom w:val="single" w:sz="8" w:color="auto"/>
              <w:right w:val="single" w:sz="8" w:color="auto"/>
            </w:tcBorders>
            <w:gridSpan w:val="2"/>
            <w:shd w:val="clear" w:color="auto" w:fill="D9D9D9"/>
          </w:tcPr>
          <w:p>
            <w:pPr>
              <w:jc w:val="center"/>
              <w:ind w:right="57"/>
              <w:spacing w:after="0" w:line="237" w:lineRule="exact"/>
              <w:rPr>
                <w:sz w:val="20"/>
                <w:szCs w:val="20"/>
                <w:color w:val="auto"/>
              </w:rPr>
            </w:pPr>
            <w:r>
              <w:rPr>
                <w:rFonts w:ascii="Times New Roman" w:cs="Times New Roman" w:eastAsia="Times New Roman" w:hAnsi="Times New Roman"/>
                <w:sz w:val="21"/>
                <w:szCs w:val="21"/>
                <w:color w:val="auto"/>
                <w:w w:val="97"/>
              </w:rPr>
              <w:t>(7,364,000)</w:t>
            </w:r>
          </w:p>
        </w:tc>
        <w:tc>
          <w:tcPr>
            <w:tcW w:w="160" w:type="dxa"/>
            <w:vAlign w:val="bottom"/>
            <w:tcBorders>
              <w:bottom w:val="single" w:sz="8" w:color="auto"/>
            </w:tcBorders>
            <w:shd w:val="clear" w:color="auto" w:fill="D9D9D9"/>
          </w:tcPr>
          <w:p>
            <w:pPr>
              <w:spacing w:after="0"/>
              <w:rPr>
                <w:sz w:val="20"/>
                <w:szCs w:val="20"/>
                <w:color w:val="auto"/>
              </w:rPr>
            </w:pPr>
          </w:p>
        </w:tc>
        <w:tc>
          <w:tcPr>
            <w:tcW w:w="1300" w:type="dxa"/>
            <w:vAlign w:val="bottom"/>
            <w:tcBorders>
              <w:bottom w:val="single" w:sz="8" w:color="auto"/>
              <w:right w:val="single" w:sz="8" w:color="auto"/>
            </w:tcBorders>
            <w:gridSpan w:val="2"/>
            <w:shd w:val="clear" w:color="auto" w:fill="D9D9D9"/>
          </w:tcPr>
          <w:p>
            <w:pPr>
              <w:jc w:val="center"/>
              <w:ind w:right="77"/>
              <w:spacing w:after="0" w:line="237" w:lineRule="exact"/>
              <w:rPr>
                <w:sz w:val="20"/>
                <w:szCs w:val="20"/>
                <w:color w:val="auto"/>
              </w:rPr>
            </w:pPr>
            <w:r>
              <w:rPr>
                <w:rFonts w:ascii="Times New Roman" w:cs="Times New Roman" w:eastAsia="Times New Roman" w:hAnsi="Times New Roman"/>
                <w:sz w:val="21"/>
                <w:szCs w:val="21"/>
                <w:color w:val="auto"/>
                <w:w w:val="99"/>
              </w:rPr>
              <w:t>691,464</w:t>
            </w:r>
          </w:p>
        </w:tc>
        <w:tc>
          <w:tcPr>
            <w:tcW w:w="340" w:type="dxa"/>
            <w:vAlign w:val="bottom"/>
            <w:tcBorders>
              <w:bottom w:val="single" w:sz="8" w:color="auto"/>
              <w:right w:val="single" w:sz="8" w:color="D9D9D9"/>
            </w:tcBorders>
            <w:shd w:val="clear" w:color="auto" w:fill="D9D9D9"/>
          </w:tcPr>
          <w:p>
            <w:pPr>
              <w:spacing w:after="0"/>
              <w:rPr>
                <w:sz w:val="20"/>
                <w:szCs w:val="20"/>
                <w:color w:val="auto"/>
              </w:rPr>
            </w:pPr>
          </w:p>
        </w:tc>
        <w:tc>
          <w:tcPr>
            <w:tcW w:w="1440" w:type="dxa"/>
            <w:vAlign w:val="bottom"/>
            <w:tcBorders>
              <w:bottom w:val="single" w:sz="8" w:color="auto"/>
              <w:right w:val="single" w:sz="8" w:color="auto"/>
            </w:tcBorders>
            <w:shd w:val="clear" w:color="auto" w:fill="D9D9D9"/>
          </w:tcPr>
          <w:p>
            <w:pPr>
              <w:jc w:val="right"/>
              <w:ind w:right="277"/>
              <w:spacing w:after="0" w:line="237" w:lineRule="exact"/>
              <w:rPr>
                <w:sz w:val="20"/>
                <w:szCs w:val="20"/>
                <w:color w:val="auto"/>
              </w:rPr>
            </w:pPr>
            <w:r>
              <w:rPr>
                <w:rFonts w:ascii="Times New Roman" w:cs="Times New Roman" w:eastAsia="Times New Roman" w:hAnsi="Times New Roman"/>
                <w:sz w:val="21"/>
                <w:szCs w:val="21"/>
                <w:color w:val="auto"/>
              </w:rPr>
              <w:t>(9,610,048)</w:t>
            </w:r>
          </w:p>
        </w:tc>
        <w:tc>
          <w:tcPr>
            <w:tcW w:w="160" w:type="dxa"/>
            <w:vAlign w:val="bottom"/>
            <w:tcBorders>
              <w:bottom w:val="single" w:sz="8" w:color="auto"/>
            </w:tcBorders>
            <w:shd w:val="clear" w:color="auto" w:fill="D9D9D9"/>
          </w:tcPr>
          <w:p>
            <w:pPr>
              <w:spacing w:after="0"/>
              <w:rPr>
                <w:sz w:val="20"/>
                <w:szCs w:val="20"/>
                <w:color w:val="auto"/>
              </w:rPr>
            </w:pPr>
          </w:p>
        </w:tc>
        <w:tc>
          <w:tcPr>
            <w:tcW w:w="180" w:type="dxa"/>
            <w:vAlign w:val="bottom"/>
            <w:tcBorders>
              <w:bottom w:val="single" w:sz="8" w:color="auto"/>
              <w:right w:val="single" w:sz="8" w:color="D9D9D9"/>
            </w:tcBorders>
            <w:shd w:val="clear" w:color="auto" w:fill="D9D9D9"/>
          </w:tcPr>
          <w:p>
            <w:pPr>
              <w:spacing w:after="0"/>
              <w:rPr>
                <w:sz w:val="20"/>
                <w:szCs w:val="20"/>
                <w:color w:val="auto"/>
              </w:rPr>
            </w:pPr>
          </w:p>
        </w:tc>
        <w:tc>
          <w:tcPr>
            <w:tcW w:w="1900" w:type="dxa"/>
            <w:vAlign w:val="bottom"/>
            <w:tcBorders>
              <w:bottom w:val="single" w:sz="8" w:color="auto"/>
              <w:right w:val="single" w:sz="8" w:color="auto"/>
            </w:tcBorders>
            <w:shd w:val="clear" w:color="auto" w:fill="D9D9D9"/>
          </w:tcPr>
          <w:p>
            <w:pPr>
              <w:ind w:left="320"/>
              <w:spacing w:after="0" w:line="237" w:lineRule="exact"/>
              <w:rPr>
                <w:sz w:val="20"/>
                <w:szCs w:val="20"/>
                <w:color w:val="auto"/>
              </w:rPr>
            </w:pPr>
            <w:r>
              <w:rPr>
                <w:rFonts w:ascii="Times New Roman" w:cs="Times New Roman" w:eastAsia="Times New Roman" w:hAnsi="Times New Roman"/>
                <w:sz w:val="21"/>
                <w:szCs w:val="21"/>
                <w:color w:val="auto"/>
              </w:rPr>
              <w:t>(6,982,448)</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2021</w:t>
            </w:r>
          </w:p>
        </w:tc>
        <w:tc>
          <w:tcPr>
            <w:tcW w:w="1800" w:type="dxa"/>
            <w:vAlign w:val="bottom"/>
            <w:tcBorders>
              <w:bottom w:val="single" w:sz="8" w:color="auto"/>
              <w:right w:val="single" w:sz="8" w:color="auto"/>
            </w:tcBorders>
          </w:tcPr>
          <w:p>
            <w:pPr>
              <w:jc w:val="right"/>
              <w:ind w:right="357"/>
              <w:spacing w:after="0" w:line="237" w:lineRule="exact"/>
              <w:rPr>
                <w:sz w:val="20"/>
                <w:szCs w:val="20"/>
                <w:color w:val="auto"/>
              </w:rPr>
            </w:pPr>
            <w:r>
              <w:rPr>
                <w:rFonts w:ascii="Times New Roman" w:cs="Times New Roman" w:eastAsia="Times New Roman" w:hAnsi="Times New Roman"/>
                <w:sz w:val="21"/>
                <w:szCs w:val="21"/>
                <w:color w:val="auto"/>
              </w:rPr>
              <w:t>11,815,065</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right w:val="single" w:sz="8" w:color="auto"/>
            </w:tcBorders>
            <w:gridSpan w:val="2"/>
          </w:tcPr>
          <w:p>
            <w:pPr>
              <w:jc w:val="center"/>
              <w:ind w:right="97"/>
              <w:spacing w:after="0" w:line="237" w:lineRule="exact"/>
              <w:rPr>
                <w:sz w:val="20"/>
                <w:szCs w:val="20"/>
                <w:color w:val="auto"/>
              </w:rPr>
            </w:pPr>
            <w:r>
              <w:rPr>
                <w:rFonts w:ascii="Times New Roman" w:cs="Times New Roman" w:eastAsia="Times New Roman" w:hAnsi="Times New Roman"/>
                <w:sz w:val="21"/>
                <w:szCs w:val="21"/>
                <w:color w:val="auto"/>
                <w:w w:val="99"/>
              </w:rPr>
              <w:t>(1,106,979)</w:t>
            </w:r>
          </w:p>
        </w:tc>
        <w:tc>
          <w:tcPr>
            <w:tcW w:w="1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gridSpan w:val="2"/>
          </w:tcPr>
          <w:p>
            <w:pPr>
              <w:jc w:val="center"/>
              <w:ind w:right="57"/>
              <w:spacing w:after="0" w:line="237" w:lineRule="exact"/>
              <w:rPr>
                <w:sz w:val="20"/>
                <w:szCs w:val="20"/>
                <w:color w:val="auto"/>
              </w:rPr>
            </w:pPr>
            <w:r>
              <w:rPr>
                <w:rFonts w:ascii="Times New Roman" w:cs="Times New Roman" w:eastAsia="Times New Roman" w:hAnsi="Times New Roman"/>
                <w:sz w:val="21"/>
                <w:szCs w:val="21"/>
                <w:color w:val="auto"/>
                <w:w w:val="97"/>
              </w:rPr>
              <w:t>(6,368,770)</w:t>
            </w: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right w:val="single" w:sz="8" w:color="auto"/>
            </w:tcBorders>
            <w:gridSpan w:val="2"/>
          </w:tcPr>
          <w:p>
            <w:pPr>
              <w:jc w:val="center"/>
              <w:ind w:right="77"/>
              <w:spacing w:after="0" w:line="237" w:lineRule="exact"/>
              <w:rPr>
                <w:sz w:val="20"/>
                <w:szCs w:val="20"/>
                <w:color w:val="auto"/>
              </w:rPr>
            </w:pPr>
            <w:r>
              <w:rPr>
                <w:rFonts w:ascii="Times New Roman" w:cs="Times New Roman" w:eastAsia="Times New Roman" w:hAnsi="Times New Roman"/>
                <w:sz w:val="21"/>
                <w:szCs w:val="21"/>
                <w:color w:val="auto"/>
                <w:w w:val="99"/>
              </w:rPr>
              <w:t>716,307</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jc w:val="right"/>
              <w:ind w:right="357"/>
              <w:spacing w:after="0" w:line="237" w:lineRule="exact"/>
              <w:rPr>
                <w:sz w:val="20"/>
                <w:szCs w:val="20"/>
                <w:color w:val="auto"/>
              </w:rPr>
            </w:pPr>
            <w:r>
              <w:rPr>
                <w:rFonts w:ascii="Times New Roman" w:cs="Times New Roman" w:eastAsia="Times New Roman" w:hAnsi="Times New Roman"/>
                <w:sz w:val="21"/>
                <w:szCs w:val="21"/>
                <w:color w:val="auto"/>
              </w:rPr>
              <w:t>8,328,915</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ind w:left="300"/>
              <w:spacing w:after="0" w:line="237" w:lineRule="exact"/>
              <w:rPr>
                <w:sz w:val="20"/>
                <w:szCs w:val="20"/>
                <w:color w:val="auto"/>
              </w:rPr>
            </w:pPr>
            <w:r>
              <w:rPr>
                <w:rFonts w:ascii="Times New Roman" w:cs="Times New Roman" w:eastAsia="Times New Roman" w:hAnsi="Times New Roman"/>
                <w:sz w:val="21"/>
                <w:szCs w:val="21"/>
                <w:color w:val="auto"/>
              </w:rPr>
              <w:t>13,384,538</w:t>
            </w:r>
          </w:p>
        </w:tc>
        <w:tc>
          <w:tcPr>
            <w:tcW w:w="0" w:type="dxa"/>
            <w:vAlign w:val="bottom"/>
          </w:tcPr>
          <w:p>
            <w:pPr>
              <w:spacing w:after="0"/>
              <w:rPr>
                <w:sz w:val="1"/>
                <w:szCs w:val="1"/>
                <w:color w:val="auto"/>
              </w:rPr>
            </w:pPr>
          </w:p>
        </w:tc>
      </w:tr>
      <w:tr>
        <w:trPr>
          <w:trHeight w:val="345"/>
        </w:trPr>
        <w:tc>
          <w:tcPr>
            <w:tcW w:w="7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2"/>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2"/>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700" w:type="dxa"/>
            <w:vAlign w:val="bottom"/>
            <w:tcBorders>
              <w:left w:val="single" w:sz="8" w:color="auto"/>
              <w:right w:val="single" w:sz="8" w:color="auto"/>
            </w:tcBorders>
            <w:shd w:val="clear" w:color="auto" w:fill="29650B"/>
          </w:tcPr>
          <w:p>
            <w:pPr>
              <w:spacing w:after="0"/>
              <w:rPr>
                <w:sz w:val="18"/>
                <w:szCs w:val="18"/>
                <w:color w:val="auto"/>
              </w:rPr>
            </w:pPr>
          </w:p>
        </w:tc>
        <w:tc>
          <w:tcPr>
            <w:tcW w:w="1800" w:type="dxa"/>
            <w:vAlign w:val="bottom"/>
            <w:tcBorders>
              <w:right w:val="single" w:sz="8" w:color="29650B"/>
            </w:tcBorders>
            <w:shd w:val="clear" w:color="auto" w:fill="29650B"/>
          </w:tcPr>
          <w:p>
            <w:pPr>
              <w:spacing w:after="0"/>
              <w:rPr>
                <w:sz w:val="18"/>
                <w:szCs w:val="18"/>
                <w:color w:val="auto"/>
              </w:rPr>
            </w:pPr>
          </w:p>
        </w:tc>
        <w:tc>
          <w:tcPr>
            <w:tcW w:w="180" w:type="dxa"/>
            <w:vAlign w:val="bottom"/>
            <w:shd w:val="clear" w:color="auto" w:fill="29650B"/>
          </w:tcPr>
          <w:p>
            <w:pPr>
              <w:spacing w:after="0"/>
              <w:rPr>
                <w:sz w:val="18"/>
                <w:szCs w:val="18"/>
                <w:color w:val="auto"/>
              </w:rPr>
            </w:pPr>
          </w:p>
        </w:tc>
        <w:tc>
          <w:tcPr>
            <w:tcW w:w="160" w:type="dxa"/>
            <w:vAlign w:val="bottom"/>
            <w:tcBorders>
              <w:right w:val="single" w:sz="8" w:color="auto"/>
            </w:tcBorders>
            <w:shd w:val="clear" w:color="auto" w:fill="29650B"/>
          </w:tcPr>
          <w:p>
            <w:pPr>
              <w:spacing w:after="0"/>
              <w:rPr>
                <w:sz w:val="18"/>
                <w:szCs w:val="18"/>
                <w:color w:val="auto"/>
              </w:rPr>
            </w:pPr>
          </w:p>
        </w:tc>
        <w:tc>
          <w:tcPr>
            <w:tcW w:w="1480" w:type="dxa"/>
            <w:vAlign w:val="bottom"/>
            <w:gridSpan w:val="2"/>
            <w:shd w:val="clear" w:color="auto" w:fill="29650B"/>
          </w:tcPr>
          <w:p>
            <w:pPr>
              <w:jc w:val="center"/>
              <w:ind w:left="57"/>
              <w:spacing w:after="0" w:line="215" w:lineRule="exact"/>
              <w:rPr>
                <w:sz w:val="20"/>
                <w:szCs w:val="20"/>
                <w:color w:val="auto"/>
              </w:rPr>
            </w:pPr>
            <w:r>
              <w:rPr>
                <w:rFonts w:ascii="Times New Roman" w:cs="Times New Roman" w:eastAsia="Times New Roman" w:hAnsi="Times New Roman"/>
                <w:sz w:val="21"/>
                <w:szCs w:val="21"/>
                <w:b w:val="1"/>
                <w:bCs w:val="1"/>
                <w:color w:val="FFFFFF"/>
                <w:w w:val="96"/>
              </w:rPr>
              <w:t>Average</w:t>
            </w:r>
          </w:p>
        </w:tc>
        <w:tc>
          <w:tcPr>
            <w:tcW w:w="200" w:type="dxa"/>
            <w:vAlign w:val="bottom"/>
            <w:tcBorders>
              <w:right w:val="single" w:sz="8" w:color="auto"/>
            </w:tcBorders>
            <w:shd w:val="clear" w:color="auto" w:fill="29650B"/>
          </w:tcPr>
          <w:p>
            <w:pPr>
              <w:spacing w:after="0"/>
              <w:rPr>
                <w:sz w:val="18"/>
                <w:szCs w:val="18"/>
                <w:color w:val="auto"/>
              </w:rPr>
            </w:pPr>
          </w:p>
        </w:tc>
        <w:tc>
          <w:tcPr>
            <w:tcW w:w="1240" w:type="dxa"/>
            <w:vAlign w:val="bottom"/>
            <w:tcBorders>
              <w:right w:val="single" w:sz="8" w:color="29650B"/>
            </w:tcBorders>
            <w:shd w:val="clear" w:color="auto" w:fill="29650B"/>
          </w:tcPr>
          <w:p>
            <w:pPr>
              <w:spacing w:after="0"/>
              <w:rPr>
                <w:sz w:val="18"/>
                <w:szCs w:val="18"/>
                <w:color w:val="auto"/>
              </w:rPr>
            </w:pPr>
          </w:p>
        </w:tc>
        <w:tc>
          <w:tcPr>
            <w:tcW w:w="160" w:type="dxa"/>
            <w:vAlign w:val="bottom"/>
            <w:shd w:val="clear" w:color="auto" w:fill="29650B"/>
          </w:tcPr>
          <w:p>
            <w:pPr>
              <w:spacing w:after="0"/>
              <w:rPr>
                <w:sz w:val="18"/>
                <w:szCs w:val="18"/>
                <w:color w:val="auto"/>
              </w:rPr>
            </w:pPr>
          </w:p>
        </w:tc>
        <w:tc>
          <w:tcPr>
            <w:tcW w:w="180" w:type="dxa"/>
            <w:vAlign w:val="bottom"/>
            <w:tcBorders>
              <w:right w:val="single" w:sz="8" w:color="auto"/>
            </w:tcBorders>
            <w:shd w:val="clear" w:color="auto" w:fill="29650B"/>
          </w:tcPr>
          <w:p>
            <w:pPr>
              <w:spacing w:after="0"/>
              <w:rPr>
                <w:sz w:val="18"/>
                <w:szCs w:val="18"/>
                <w:color w:val="auto"/>
              </w:rPr>
            </w:pPr>
          </w:p>
        </w:tc>
        <w:tc>
          <w:tcPr>
            <w:tcW w:w="1460" w:type="dxa"/>
            <w:vAlign w:val="bottom"/>
            <w:tcBorders>
              <w:right w:val="single" w:sz="8" w:color="auto"/>
            </w:tcBorders>
            <w:gridSpan w:val="2"/>
            <w:shd w:val="clear" w:color="auto" w:fill="29650B"/>
          </w:tcPr>
          <w:p>
            <w:pPr>
              <w:jc w:val="center"/>
              <w:spacing w:after="0" w:line="215" w:lineRule="exact"/>
              <w:rPr>
                <w:sz w:val="20"/>
                <w:szCs w:val="20"/>
                <w:color w:val="auto"/>
              </w:rPr>
            </w:pPr>
            <w:r>
              <w:rPr>
                <w:rFonts w:ascii="Times New Roman" w:cs="Times New Roman" w:eastAsia="Times New Roman" w:hAnsi="Times New Roman"/>
                <w:sz w:val="21"/>
                <w:szCs w:val="21"/>
                <w:b w:val="1"/>
                <w:bCs w:val="1"/>
                <w:color w:val="FFFFFF"/>
                <w:w w:val="96"/>
              </w:rPr>
              <w:t>Average</w:t>
            </w:r>
          </w:p>
        </w:tc>
        <w:tc>
          <w:tcPr>
            <w:tcW w:w="1440" w:type="dxa"/>
            <w:vAlign w:val="bottom"/>
            <w:tcBorders>
              <w:right w:val="single" w:sz="8" w:color="29650B"/>
            </w:tcBorders>
            <w:shd w:val="clear" w:color="auto" w:fill="29650B"/>
          </w:tcPr>
          <w:p>
            <w:pPr>
              <w:spacing w:after="0"/>
              <w:rPr>
                <w:sz w:val="18"/>
                <w:szCs w:val="18"/>
                <w:color w:val="auto"/>
              </w:rPr>
            </w:pPr>
          </w:p>
        </w:tc>
        <w:tc>
          <w:tcPr>
            <w:tcW w:w="160" w:type="dxa"/>
            <w:vAlign w:val="bottom"/>
            <w:shd w:val="clear" w:color="auto" w:fill="29650B"/>
          </w:tcPr>
          <w:p>
            <w:pPr>
              <w:spacing w:after="0"/>
              <w:rPr>
                <w:sz w:val="18"/>
                <w:szCs w:val="18"/>
                <w:color w:val="auto"/>
              </w:rPr>
            </w:pPr>
          </w:p>
        </w:tc>
        <w:tc>
          <w:tcPr>
            <w:tcW w:w="180" w:type="dxa"/>
            <w:vAlign w:val="bottom"/>
            <w:tcBorders>
              <w:right w:val="single" w:sz="8" w:color="auto"/>
            </w:tcBorders>
            <w:shd w:val="clear" w:color="auto" w:fill="29650B"/>
          </w:tcPr>
          <w:p>
            <w:pPr>
              <w:spacing w:after="0"/>
              <w:rPr>
                <w:sz w:val="18"/>
                <w:szCs w:val="18"/>
                <w:color w:val="auto"/>
              </w:rPr>
            </w:pPr>
          </w:p>
        </w:tc>
        <w:tc>
          <w:tcPr>
            <w:tcW w:w="190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shd w:val="clear" w:color="auto" w:fill="29650B"/>
          </w:tcPr>
          <w:p>
            <w:pPr>
              <w:spacing w:after="0"/>
              <w:rPr>
                <w:sz w:val="21"/>
                <w:szCs w:val="21"/>
                <w:color w:val="auto"/>
              </w:rPr>
            </w:pPr>
          </w:p>
        </w:tc>
        <w:tc>
          <w:tcPr>
            <w:tcW w:w="1800" w:type="dxa"/>
            <w:vAlign w:val="bottom"/>
            <w:tcBorders>
              <w:right w:val="single" w:sz="8" w:color="29650B"/>
            </w:tcBorders>
            <w:shd w:val="clear" w:color="auto" w:fill="29650B"/>
          </w:tcPr>
          <w:p>
            <w:pPr>
              <w:spacing w:after="0"/>
              <w:rPr>
                <w:sz w:val="21"/>
                <w:szCs w:val="21"/>
                <w:color w:val="auto"/>
              </w:rPr>
            </w:pPr>
          </w:p>
        </w:tc>
        <w:tc>
          <w:tcPr>
            <w:tcW w:w="180" w:type="dxa"/>
            <w:vAlign w:val="bottom"/>
            <w:shd w:val="clear" w:color="auto" w:fill="29650B"/>
          </w:tcPr>
          <w:p>
            <w:pPr>
              <w:spacing w:after="0"/>
              <w:rPr>
                <w:sz w:val="21"/>
                <w:szCs w:val="21"/>
                <w:color w:val="auto"/>
              </w:rPr>
            </w:pPr>
          </w:p>
        </w:tc>
        <w:tc>
          <w:tcPr>
            <w:tcW w:w="160" w:type="dxa"/>
            <w:vAlign w:val="bottom"/>
            <w:tcBorders>
              <w:right w:val="single" w:sz="8" w:color="auto"/>
            </w:tcBorders>
            <w:shd w:val="clear" w:color="auto" w:fill="29650B"/>
          </w:tcPr>
          <w:p>
            <w:pPr>
              <w:spacing w:after="0"/>
              <w:rPr>
                <w:sz w:val="21"/>
                <w:szCs w:val="21"/>
                <w:color w:val="auto"/>
              </w:rPr>
            </w:pPr>
          </w:p>
        </w:tc>
        <w:tc>
          <w:tcPr>
            <w:tcW w:w="148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7"/>
              </w:rPr>
              <w:t>Exclusion of</w:t>
            </w:r>
          </w:p>
        </w:tc>
        <w:tc>
          <w:tcPr>
            <w:tcW w:w="200" w:type="dxa"/>
            <w:vAlign w:val="bottom"/>
            <w:tcBorders>
              <w:right w:val="single" w:sz="8" w:color="auto"/>
            </w:tcBorders>
            <w:shd w:val="clear" w:color="auto" w:fill="29650B"/>
          </w:tcPr>
          <w:p>
            <w:pPr>
              <w:spacing w:after="0"/>
              <w:rPr>
                <w:sz w:val="21"/>
                <w:szCs w:val="21"/>
                <w:color w:val="auto"/>
              </w:rPr>
            </w:pPr>
          </w:p>
        </w:tc>
        <w:tc>
          <w:tcPr>
            <w:tcW w:w="14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6"/>
              </w:rPr>
              <w:t>Average</w:t>
            </w:r>
          </w:p>
        </w:tc>
        <w:tc>
          <w:tcPr>
            <w:tcW w:w="180" w:type="dxa"/>
            <w:vAlign w:val="bottom"/>
            <w:tcBorders>
              <w:right w:val="single" w:sz="8" w:color="auto"/>
            </w:tcBorders>
            <w:shd w:val="clear" w:color="auto" w:fill="29650B"/>
          </w:tcPr>
          <w:p>
            <w:pPr>
              <w:spacing w:after="0"/>
              <w:rPr>
                <w:sz w:val="21"/>
                <w:szCs w:val="21"/>
                <w:color w:val="auto"/>
              </w:rPr>
            </w:pPr>
          </w:p>
        </w:tc>
        <w:tc>
          <w:tcPr>
            <w:tcW w:w="1460" w:type="dxa"/>
            <w:vAlign w:val="bottom"/>
            <w:tcBorders>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Inclusion of</w:t>
            </w:r>
          </w:p>
        </w:tc>
        <w:tc>
          <w:tcPr>
            <w:tcW w:w="1440" w:type="dxa"/>
            <w:vAlign w:val="bottom"/>
            <w:tcBorders>
              <w:right w:val="single" w:sz="8" w:color="29650B"/>
            </w:tcBorders>
            <w:shd w:val="clear" w:color="auto" w:fill="29650B"/>
          </w:tcPr>
          <w:p>
            <w:pPr>
              <w:spacing w:after="0"/>
              <w:rPr>
                <w:sz w:val="21"/>
                <w:szCs w:val="21"/>
                <w:color w:val="auto"/>
              </w:rPr>
            </w:pPr>
          </w:p>
        </w:tc>
        <w:tc>
          <w:tcPr>
            <w:tcW w:w="160" w:type="dxa"/>
            <w:vAlign w:val="bottom"/>
            <w:shd w:val="clear" w:color="auto" w:fill="29650B"/>
          </w:tcPr>
          <w:p>
            <w:pPr>
              <w:spacing w:after="0"/>
              <w:rPr>
                <w:sz w:val="21"/>
                <w:szCs w:val="21"/>
                <w:color w:val="auto"/>
              </w:rPr>
            </w:pPr>
          </w:p>
        </w:tc>
        <w:tc>
          <w:tcPr>
            <w:tcW w:w="180" w:type="dxa"/>
            <w:vAlign w:val="bottom"/>
            <w:tcBorders>
              <w:right w:val="single" w:sz="8" w:color="auto"/>
            </w:tcBorders>
            <w:shd w:val="clear" w:color="auto" w:fill="29650B"/>
          </w:tcPr>
          <w:p>
            <w:pPr>
              <w:spacing w:after="0"/>
              <w:rPr>
                <w:sz w:val="21"/>
                <w:szCs w:val="21"/>
                <w:color w:val="auto"/>
              </w:rPr>
            </w:pPr>
          </w:p>
        </w:tc>
        <w:tc>
          <w:tcPr>
            <w:tcW w:w="1900" w:type="dxa"/>
            <w:vAlign w:val="bottom"/>
            <w:tcBorders>
              <w:right w:val="single" w:sz="8" w:color="auto"/>
            </w:tcBorders>
            <w:shd w:val="clear" w:color="auto" w:fill="29650B"/>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shd w:val="clear" w:color="auto" w:fill="29650B"/>
          </w:tcPr>
          <w:p>
            <w:pPr>
              <w:spacing w:after="0"/>
              <w:rPr>
                <w:sz w:val="21"/>
                <w:szCs w:val="21"/>
                <w:color w:val="auto"/>
              </w:rPr>
            </w:pPr>
          </w:p>
        </w:tc>
        <w:tc>
          <w:tcPr>
            <w:tcW w:w="1980" w:type="dxa"/>
            <w:vAlign w:val="bottom"/>
            <w:gridSpan w:val="2"/>
            <w:shd w:val="clear" w:color="auto" w:fill="29650B"/>
          </w:tcPr>
          <w:p>
            <w:pPr>
              <w:jc w:val="center"/>
              <w:ind w:left="37"/>
              <w:spacing w:after="0"/>
              <w:rPr>
                <w:sz w:val="20"/>
                <w:szCs w:val="20"/>
                <w:color w:val="auto"/>
              </w:rPr>
            </w:pPr>
            <w:r>
              <w:rPr>
                <w:rFonts w:ascii="Times New Roman" w:cs="Times New Roman" w:eastAsia="Times New Roman" w:hAnsi="Times New Roman"/>
                <w:sz w:val="21"/>
                <w:szCs w:val="21"/>
                <w:b w:val="1"/>
                <w:bCs w:val="1"/>
                <w:color w:val="FFFFFF"/>
                <w:w w:val="97"/>
              </w:rPr>
              <w:t>Average Summary</w:t>
            </w:r>
          </w:p>
        </w:tc>
        <w:tc>
          <w:tcPr>
            <w:tcW w:w="160" w:type="dxa"/>
            <w:vAlign w:val="bottom"/>
            <w:tcBorders>
              <w:right w:val="single" w:sz="8" w:color="auto"/>
            </w:tcBorders>
            <w:shd w:val="clear" w:color="auto" w:fill="29650B"/>
          </w:tcPr>
          <w:p>
            <w:pPr>
              <w:spacing w:after="0"/>
              <w:rPr>
                <w:sz w:val="21"/>
                <w:szCs w:val="21"/>
                <w:color w:val="auto"/>
              </w:rPr>
            </w:pPr>
          </w:p>
        </w:tc>
        <w:tc>
          <w:tcPr>
            <w:tcW w:w="1480" w:type="dxa"/>
            <w:vAlign w:val="bottom"/>
            <w:gridSpan w:val="2"/>
            <w:shd w:val="clear" w:color="auto" w:fill="29650B"/>
          </w:tcPr>
          <w:p>
            <w:pPr>
              <w:jc w:val="center"/>
              <w:ind w:left="77"/>
              <w:spacing w:after="0"/>
              <w:rPr>
                <w:sz w:val="20"/>
                <w:szCs w:val="20"/>
                <w:color w:val="auto"/>
              </w:rPr>
            </w:pPr>
            <w:r>
              <w:rPr>
                <w:rFonts w:ascii="Times New Roman" w:cs="Times New Roman" w:eastAsia="Times New Roman" w:hAnsi="Times New Roman"/>
                <w:sz w:val="21"/>
                <w:szCs w:val="21"/>
                <w:b w:val="1"/>
                <w:bCs w:val="1"/>
                <w:color w:val="FFFFFF"/>
                <w:w w:val="98"/>
              </w:rPr>
              <w:t>Change in</w:t>
            </w:r>
          </w:p>
        </w:tc>
        <w:tc>
          <w:tcPr>
            <w:tcW w:w="200" w:type="dxa"/>
            <w:vAlign w:val="bottom"/>
            <w:tcBorders>
              <w:right w:val="single" w:sz="8" w:color="auto"/>
            </w:tcBorders>
            <w:shd w:val="clear" w:color="auto" w:fill="29650B"/>
          </w:tcPr>
          <w:p>
            <w:pPr>
              <w:spacing w:after="0"/>
              <w:rPr>
                <w:sz w:val="21"/>
                <w:szCs w:val="21"/>
                <w:color w:val="auto"/>
              </w:rPr>
            </w:pPr>
          </w:p>
        </w:tc>
        <w:tc>
          <w:tcPr>
            <w:tcW w:w="14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7"/>
              </w:rPr>
              <w:t>Exclusion of</w:t>
            </w:r>
          </w:p>
        </w:tc>
        <w:tc>
          <w:tcPr>
            <w:tcW w:w="180" w:type="dxa"/>
            <w:vAlign w:val="bottom"/>
            <w:tcBorders>
              <w:right w:val="single" w:sz="8" w:color="auto"/>
            </w:tcBorders>
            <w:shd w:val="clear" w:color="auto" w:fill="29650B"/>
          </w:tcPr>
          <w:p>
            <w:pPr>
              <w:spacing w:after="0"/>
              <w:rPr>
                <w:sz w:val="21"/>
                <w:szCs w:val="21"/>
                <w:color w:val="auto"/>
              </w:rPr>
            </w:pPr>
          </w:p>
        </w:tc>
        <w:tc>
          <w:tcPr>
            <w:tcW w:w="1460" w:type="dxa"/>
            <w:vAlign w:val="bottom"/>
            <w:tcBorders>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7"/>
              </w:rPr>
              <w:t>Pension</w:t>
            </w:r>
          </w:p>
        </w:tc>
        <w:tc>
          <w:tcPr>
            <w:tcW w:w="16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6"/>
              </w:rPr>
              <w:t>Average</w:t>
            </w:r>
          </w:p>
        </w:tc>
        <w:tc>
          <w:tcPr>
            <w:tcW w:w="180" w:type="dxa"/>
            <w:vAlign w:val="bottom"/>
            <w:tcBorders>
              <w:right w:val="single" w:sz="8" w:color="auto"/>
            </w:tcBorders>
            <w:shd w:val="clear" w:color="auto" w:fill="29650B"/>
          </w:tcPr>
          <w:p>
            <w:pPr>
              <w:spacing w:after="0"/>
              <w:rPr>
                <w:sz w:val="21"/>
                <w:szCs w:val="21"/>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6"/>
              </w:rPr>
              <w:t>Average</w:t>
            </w: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shd w:val="clear" w:color="auto" w:fill="29650B"/>
          </w:tcPr>
          <w:p>
            <w:pPr>
              <w:ind w:left="160"/>
              <w:spacing w:after="0"/>
              <w:rPr>
                <w:sz w:val="20"/>
                <w:szCs w:val="20"/>
                <w:color w:val="auto"/>
              </w:rPr>
            </w:pPr>
            <w:r>
              <w:rPr>
                <w:rFonts w:ascii="Times New Roman" w:cs="Times New Roman" w:eastAsia="Times New Roman" w:hAnsi="Times New Roman"/>
                <w:sz w:val="21"/>
                <w:szCs w:val="21"/>
                <w:b w:val="1"/>
                <w:bCs w:val="1"/>
                <w:color w:val="FFFFFF"/>
              </w:rPr>
              <w:t>Year</w:t>
            </w:r>
          </w:p>
        </w:tc>
        <w:tc>
          <w:tcPr>
            <w:tcW w:w="1980" w:type="dxa"/>
            <w:vAlign w:val="bottom"/>
            <w:gridSpan w:val="2"/>
            <w:shd w:val="clear" w:color="auto" w:fill="29650B"/>
          </w:tcPr>
          <w:p>
            <w:pPr>
              <w:jc w:val="center"/>
              <w:ind w:left="17"/>
              <w:spacing w:after="0"/>
              <w:rPr>
                <w:sz w:val="20"/>
                <w:szCs w:val="20"/>
                <w:color w:val="auto"/>
              </w:rPr>
            </w:pPr>
            <w:r>
              <w:rPr>
                <w:rFonts w:ascii="Times New Roman" w:cs="Times New Roman" w:eastAsia="Times New Roman" w:hAnsi="Times New Roman"/>
                <w:sz w:val="21"/>
                <w:szCs w:val="21"/>
                <w:b w:val="1"/>
                <w:bCs w:val="1"/>
                <w:color w:val="FFFFFF"/>
                <w:w w:val="97"/>
              </w:rPr>
              <w:t>Compensation Table</w:t>
            </w:r>
          </w:p>
        </w:tc>
        <w:tc>
          <w:tcPr>
            <w:tcW w:w="160" w:type="dxa"/>
            <w:vAlign w:val="bottom"/>
            <w:tcBorders>
              <w:right w:val="single" w:sz="8" w:color="auto"/>
            </w:tcBorders>
            <w:shd w:val="clear" w:color="auto" w:fill="29650B"/>
          </w:tcPr>
          <w:p>
            <w:pPr>
              <w:spacing w:after="0"/>
              <w:rPr>
                <w:sz w:val="21"/>
                <w:szCs w:val="21"/>
                <w:color w:val="auto"/>
              </w:rPr>
            </w:pPr>
          </w:p>
        </w:tc>
        <w:tc>
          <w:tcPr>
            <w:tcW w:w="148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7"/>
              </w:rPr>
              <w:t>Pension Value</w:t>
            </w:r>
          </w:p>
        </w:tc>
        <w:tc>
          <w:tcPr>
            <w:tcW w:w="200" w:type="dxa"/>
            <w:vAlign w:val="bottom"/>
            <w:tcBorders>
              <w:right w:val="single" w:sz="8" w:color="auto"/>
            </w:tcBorders>
            <w:shd w:val="clear" w:color="auto" w:fill="29650B"/>
          </w:tcPr>
          <w:p>
            <w:pPr>
              <w:spacing w:after="0"/>
              <w:rPr>
                <w:sz w:val="21"/>
                <w:szCs w:val="21"/>
                <w:color w:val="auto"/>
              </w:rPr>
            </w:pPr>
          </w:p>
        </w:tc>
        <w:tc>
          <w:tcPr>
            <w:tcW w:w="14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8"/>
              </w:rPr>
              <w:t>Stock Awards</w:t>
            </w:r>
          </w:p>
        </w:tc>
        <w:tc>
          <w:tcPr>
            <w:tcW w:w="180" w:type="dxa"/>
            <w:vAlign w:val="bottom"/>
            <w:tcBorders>
              <w:right w:val="single" w:sz="8" w:color="auto"/>
            </w:tcBorders>
            <w:shd w:val="clear" w:color="auto" w:fill="29650B"/>
          </w:tcPr>
          <w:p>
            <w:pPr>
              <w:spacing w:after="0"/>
              <w:rPr>
                <w:sz w:val="21"/>
                <w:szCs w:val="21"/>
                <w:color w:val="auto"/>
              </w:rPr>
            </w:pPr>
          </w:p>
        </w:tc>
        <w:tc>
          <w:tcPr>
            <w:tcW w:w="1460" w:type="dxa"/>
            <w:vAlign w:val="bottom"/>
            <w:tcBorders>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6"/>
              </w:rPr>
              <w:t>Service Cost</w:t>
            </w:r>
          </w:p>
        </w:tc>
        <w:tc>
          <w:tcPr>
            <w:tcW w:w="16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8"/>
              </w:rPr>
              <w:t>Inclusion of</w:t>
            </w:r>
          </w:p>
        </w:tc>
        <w:tc>
          <w:tcPr>
            <w:tcW w:w="180" w:type="dxa"/>
            <w:vAlign w:val="bottom"/>
            <w:tcBorders>
              <w:right w:val="single" w:sz="8" w:color="auto"/>
            </w:tcBorders>
            <w:shd w:val="clear" w:color="auto" w:fill="29650B"/>
          </w:tcPr>
          <w:p>
            <w:pPr>
              <w:spacing w:after="0"/>
              <w:rPr>
                <w:sz w:val="21"/>
                <w:szCs w:val="21"/>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Compensation</w:t>
            </w: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shd w:val="clear" w:color="auto" w:fill="29650B"/>
          </w:tcPr>
          <w:p>
            <w:pPr>
              <w:spacing w:after="0"/>
              <w:rPr>
                <w:sz w:val="21"/>
                <w:szCs w:val="21"/>
                <w:color w:val="auto"/>
              </w:rPr>
            </w:pPr>
          </w:p>
        </w:tc>
        <w:tc>
          <w:tcPr>
            <w:tcW w:w="1980" w:type="dxa"/>
            <w:vAlign w:val="bottom"/>
            <w:gridSpan w:val="2"/>
            <w:shd w:val="clear" w:color="auto" w:fill="29650B"/>
          </w:tcPr>
          <w:p>
            <w:pPr>
              <w:jc w:val="center"/>
              <w:ind w:left="37"/>
              <w:spacing w:after="0"/>
              <w:rPr>
                <w:sz w:val="20"/>
                <w:szCs w:val="20"/>
                <w:color w:val="auto"/>
              </w:rPr>
            </w:pPr>
            <w:r>
              <w:rPr>
                <w:rFonts w:ascii="Times New Roman" w:cs="Times New Roman" w:eastAsia="Times New Roman" w:hAnsi="Times New Roman"/>
                <w:sz w:val="21"/>
                <w:szCs w:val="21"/>
                <w:b w:val="1"/>
                <w:bCs w:val="1"/>
                <w:color w:val="FFFFFF"/>
                <w:w w:val="97"/>
              </w:rPr>
              <w:t>Total for Non-PEO</w:t>
            </w:r>
          </w:p>
        </w:tc>
        <w:tc>
          <w:tcPr>
            <w:tcW w:w="160" w:type="dxa"/>
            <w:vAlign w:val="bottom"/>
            <w:tcBorders>
              <w:right w:val="single" w:sz="8" w:color="auto"/>
            </w:tcBorders>
            <w:shd w:val="clear" w:color="auto" w:fill="29650B"/>
          </w:tcPr>
          <w:p>
            <w:pPr>
              <w:spacing w:after="0"/>
              <w:rPr>
                <w:sz w:val="21"/>
                <w:szCs w:val="21"/>
                <w:color w:val="auto"/>
              </w:rPr>
            </w:pPr>
          </w:p>
        </w:tc>
        <w:tc>
          <w:tcPr>
            <w:tcW w:w="1480" w:type="dxa"/>
            <w:vAlign w:val="bottom"/>
            <w:gridSpan w:val="2"/>
            <w:shd w:val="clear" w:color="auto" w:fill="29650B"/>
          </w:tcPr>
          <w:p>
            <w:pPr>
              <w:jc w:val="center"/>
              <w:ind w:left="77"/>
              <w:spacing w:after="0"/>
              <w:rPr>
                <w:sz w:val="20"/>
                <w:szCs w:val="20"/>
                <w:color w:val="auto"/>
              </w:rPr>
            </w:pPr>
            <w:r>
              <w:rPr>
                <w:rFonts w:ascii="Times New Roman" w:cs="Times New Roman" w:eastAsia="Times New Roman" w:hAnsi="Times New Roman"/>
                <w:sz w:val="21"/>
                <w:szCs w:val="21"/>
                <w:b w:val="1"/>
                <w:bCs w:val="1"/>
                <w:color w:val="FFFFFF"/>
                <w:w w:val="98"/>
              </w:rPr>
              <w:t>for Non-PEO</w:t>
            </w:r>
          </w:p>
        </w:tc>
        <w:tc>
          <w:tcPr>
            <w:tcW w:w="200" w:type="dxa"/>
            <w:vAlign w:val="bottom"/>
            <w:tcBorders>
              <w:right w:val="single" w:sz="8" w:color="auto"/>
            </w:tcBorders>
            <w:shd w:val="clear" w:color="auto" w:fill="29650B"/>
          </w:tcPr>
          <w:p>
            <w:pPr>
              <w:spacing w:after="0"/>
              <w:rPr>
                <w:sz w:val="21"/>
                <w:szCs w:val="21"/>
                <w:color w:val="auto"/>
              </w:rPr>
            </w:pPr>
          </w:p>
        </w:tc>
        <w:tc>
          <w:tcPr>
            <w:tcW w:w="14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6"/>
              </w:rPr>
              <w:t>for Non-PEO</w:t>
            </w:r>
          </w:p>
        </w:tc>
        <w:tc>
          <w:tcPr>
            <w:tcW w:w="180" w:type="dxa"/>
            <w:vAlign w:val="bottom"/>
            <w:tcBorders>
              <w:right w:val="single" w:sz="8" w:color="auto"/>
            </w:tcBorders>
            <w:shd w:val="clear" w:color="auto" w:fill="29650B"/>
          </w:tcPr>
          <w:p>
            <w:pPr>
              <w:spacing w:after="0"/>
              <w:rPr>
                <w:sz w:val="21"/>
                <w:szCs w:val="21"/>
                <w:color w:val="auto"/>
              </w:rPr>
            </w:pPr>
          </w:p>
        </w:tc>
        <w:tc>
          <w:tcPr>
            <w:tcW w:w="1460" w:type="dxa"/>
            <w:vAlign w:val="bottom"/>
            <w:tcBorders>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for Non-PEO</w:t>
            </w:r>
          </w:p>
        </w:tc>
        <w:tc>
          <w:tcPr>
            <w:tcW w:w="1780" w:type="dxa"/>
            <w:vAlign w:val="bottom"/>
            <w:tcBorders>
              <w:right w:val="single" w:sz="8" w:color="auto"/>
            </w:tcBorders>
            <w:gridSpan w:val="3"/>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Equity Values for</w:t>
            </w: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9"/>
              </w:rPr>
              <w:t>Actually Paid to</w:t>
            </w:r>
          </w:p>
        </w:tc>
        <w:tc>
          <w:tcPr>
            <w:tcW w:w="0" w:type="dxa"/>
            <w:vAlign w:val="bottom"/>
          </w:tcPr>
          <w:p>
            <w:pPr>
              <w:spacing w:after="0"/>
              <w:rPr>
                <w:sz w:val="1"/>
                <w:szCs w:val="1"/>
                <w:color w:val="auto"/>
              </w:rPr>
            </w:pPr>
          </w:p>
        </w:tc>
      </w:tr>
      <w:tr>
        <w:trPr>
          <w:trHeight w:val="243"/>
        </w:trPr>
        <w:tc>
          <w:tcPr>
            <w:tcW w:w="700" w:type="dxa"/>
            <w:vAlign w:val="bottom"/>
            <w:tcBorders>
              <w:left w:val="single" w:sz="8" w:color="auto"/>
              <w:right w:val="single" w:sz="8" w:color="auto"/>
            </w:tcBorders>
            <w:shd w:val="clear" w:color="auto" w:fill="29650B"/>
          </w:tcPr>
          <w:p>
            <w:pPr>
              <w:spacing w:after="0"/>
              <w:rPr>
                <w:sz w:val="21"/>
                <w:szCs w:val="21"/>
                <w:color w:val="auto"/>
              </w:rPr>
            </w:pPr>
          </w:p>
        </w:tc>
        <w:tc>
          <w:tcPr>
            <w:tcW w:w="1980" w:type="dxa"/>
            <w:vAlign w:val="bottom"/>
            <w:gridSpan w:val="2"/>
            <w:shd w:val="clear" w:color="auto" w:fill="29650B"/>
          </w:tcPr>
          <w:p>
            <w:pPr>
              <w:jc w:val="center"/>
              <w:ind w:left="37"/>
              <w:spacing w:after="0"/>
              <w:rPr>
                <w:sz w:val="20"/>
                <w:szCs w:val="20"/>
                <w:color w:val="auto"/>
              </w:rPr>
            </w:pPr>
            <w:r>
              <w:rPr>
                <w:rFonts w:ascii="Times New Roman" w:cs="Times New Roman" w:eastAsia="Times New Roman" w:hAnsi="Times New Roman"/>
                <w:sz w:val="21"/>
                <w:szCs w:val="21"/>
                <w:b w:val="1"/>
                <w:bCs w:val="1"/>
                <w:color w:val="FFFFFF"/>
                <w:w w:val="96"/>
              </w:rPr>
              <w:t>NEOs</w:t>
            </w:r>
          </w:p>
        </w:tc>
        <w:tc>
          <w:tcPr>
            <w:tcW w:w="160" w:type="dxa"/>
            <w:vAlign w:val="bottom"/>
            <w:tcBorders>
              <w:right w:val="single" w:sz="8" w:color="auto"/>
            </w:tcBorders>
            <w:shd w:val="clear" w:color="auto" w:fill="29650B"/>
          </w:tcPr>
          <w:p>
            <w:pPr>
              <w:spacing w:after="0"/>
              <w:rPr>
                <w:sz w:val="21"/>
                <w:szCs w:val="21"/>
                <w:color w:val="auto"/>
              </w:rPr>
            </w:pPr>
          </w:p>
        </w:tc>
        <w:tc>
          <w:tcPr>
            <w:tcW w:w="1480" w:type="dxa"/>
            <w:vAlign w:val="bottom"/>
            <w:gridSpan w:val="2"/>
            <w:shd w:val="clear" w:color="auto" w:fill="29650B"/>
          </w:tcPr>
          <w:p>
            <w:pPr>
              <w:jc w:val="center"/>
              <w:ind w:left="17"/>
              <w:spacing w:after="0"/>
              <w:rPr>
                <w:sz w:val="20"/>
                <w:szCs w:val="20"/>
                <w:color w:val="auto"/>
              </w:rPr>
            </w:pPr>
            <w:r>
              <w:rPr>
                <w:rFonts w:ascii="Times New Roman" w:cs="Times New Roman" w:eastAsia="Times New Roman" w:hAnsi="Times New Roman"/>
                <w:sz w:val="21"/>
                <w:szCs w:val="21"/>
                <w:b w:val="1"/>
                <w:bCs w:val="1"/>
                <w:color w:val="FFFFFF"/>
                <w:w w:val="96"/>
              </w:rPr>
              <w:t>NEOs</w:t>
            </w:r>
          </w:p>
        </w:tc>
        <w:tc>
          <w:tcPr>
            <w:tcW w:w="200" w:type="dxa"/>
            <w:vAlign w:val="bottom"/>
            <w:tcBorders>
              <w:right w:val="single" w:sz="8" w:color="auto"/>
            </w:tcBorders>
            <w:shd w:val="clear" w:color="auto" w:fill="29650B"/>
          </w:tcPr>
          <w:p>
            <w:pPr>
              <w:spacing w:after="0"/>
              <w:rPr>
                <w:sz w:val="21"/>
                <w:szCs w:val="21"/>
                <w:color w:val="auto"/>
              </w:rPr>
            </w:pPr>
          </w:p>
        </w:tc>
        <w:tc>
          <w:tcPr>
            <w:tcW w:w="14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6"/>
              </w:rPr>
              <w:t>NEOs</w:t>
            </w:r>
          </w:p>
        </w:tc>
        <w:tc>
          <w:tcPr>
            <w:tcW w:w="180" w:type="dxa"/>
            <w:vAlign w:val="bottom"/>
            <w:tcBorders>
              <w:right w:val="single" w:sz="8" w:color="auto"/>
            </w:tcBorders>
            <w:shd w:val="clear" w:color="auto" w:fill="29650B"/>
          </w:tcPr>
          <w:p>
            <w:pPr>
              <w:spacing w:after="0"/>
              <w:rPr>
                <w:sz w:val="21"/>
                <w:szCs w:val="21"/>
                <w:color w:val="auto"/>
              </w:rPr>
            </w:pPr>
          </w:p>
        </w:tc>
        <w:tc>
          <w:tcPr>
            <w:tcW w:w="1460" w:type="dxa"/>
            <w:vAlign w:val="bottom"/>
            <w:tcBorders>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rPr>
              <w:t>NEOs</w:t>
            </w:r>
          </w:p>
        </w:tc>
        <w:tc>
          <w:tcPr>
            <w:tcW w:w="1600" w:type="dxa"/>
            <w:vAlign w:val="bottom"/>
            <w:gridSpan w:val="2"/>
            <w:shd w:val="clear" w:color="auto" w:fill="29650B"/>
          </w:tcPr>
          <w:p>
            <w:pPr>
              <w:jc w:val="center"/>
              <w:ind w:left="57"/>
              <w:spacing w:after="0"/>
              <w:rPr>
                <w:sz w:val="20"/>
                <w:szCs w:val="20"/>
                <w:color w:val="auto"/>
              </w:rPr>
            </w:pPr>
            <w:r>
              <w:rPr>
                <w:rFonts w:ascii="Times New Roman" w:cs="Times New Roman" w:eastAsia="Times New Roman" w:hAnsi="Times New Roman"/>
                <w:sz w:val="21"/>
                <w:szCs w:val="21"/>
                <w:b w:val="1"/>
                <w:bCs w:val="1"/>
                <w:color w:val="FFFFFF"/>
                <w:w w:val="98"/>
              </w:rPr>
              <w:t>Non-PEO NEOs</w:t>
            </w:r>
          </w:p>
        </w:tc>
        <w:tc>
          <w:tcPr>
            <w:tcW w:w="180" w:type="dxa"/>
            <w:vAlign w:val="bottom"/>
            <w:tcBorders>
              <w:right w:val="single" w:sz="8" w:color="auto"/>
            </w:tcBorders>
            <w:shd w:val="clear" w:color="auto" w:fill="29650B"/>
          </w:tcPr>
          <w:p>
            <w:pPr>
              <w:spacing w:after="0"/>
              <w:rPr>
                <w:sz w:val="21"/>
                <w:szCs w:val="21"/>
                <w:color w:val="auto"/>
              </w:rPr>
            </w:pPr>
          </w:p>
        </w:tc>
        <w:tc>
          <w:tcPr>
            <w:tcW w:w="190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8"/>
              </w:rPr>
              <w:t>Non-PEO NEOs</w:t>
            </w:r>
          </w:p>
        </w:tc>
        <w:tc>
          <w:tcPr>
            <w:tcW w:w="0" w:type="dxa"/>
            <w:vAlign w:val="bottom"/>
          </w:tcPr>
          <w:p>
            <w:pPr>
              <w:spacing w:after="0"/>
              <w:rPr>
                <w:sz w:val="1"/>
                <w:szCs w:val="1"/>
                <w:color w:val="auto"/>
              </w:rPr>
            </w:pPr>
          </w:p>
        </w:tc>
      </w:tr>
      <w:tr>
        <w:trPr>
          <w:trHeight w:val="264"/>
        </w:trPr>
        <w:tc>
          <w:tcPr>
            <w:tcW w:w="700" w:type="dxa"/>
            <w:vAlign w:val="bottom"/>
            <w:tcBorders>
              <w:left w:val="single" w:sz="8" w:color="auto"/>
              <w:bottom w:val="single" w:sz="8" w:color="auto"/>
              <w:right w:val="single" w:sz="8" w:color="auto"/>
            </w:tcBorders>
            <w:shd w:val="clear" w:color="auto" w:fill="29650B"/>
          </w:tcPr>
          <w:p>
            <w:pPr>
              <w:spacing w:after="0"/>
              <w:rPr>
                <w:sz w:val="22"/>
                <w:szCs w:val="22"/>
                <w:color w:val="auto"/>
              </w:rPr>
            </w:pPr>
          </w:p>
        </w:tc>
        <w:tc>
          <w:tcPr>
            <w:tcW w:w="1800" w:type="dxa"/>
            <w:vAlign w:val="bottom"/>
            <w:tcBorders>
              <w:bottom w:val="single" w:sz="8" w:color="auto"/>
              <w:right w:val="single" w:sz="8" w:color="29650B"/>
            </w:tcBorders>
            <w:shd w:val="clear" w:color="auto" w:fill="29650B"/>
          </w:tcPr>
          <w:p>
            <w:pPr>
              <w:jc w:val="center"/>
              <w:ind w:left="21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80" w:type="dxa"/>
            <w:vAlign w:val="bottom"/>
            <w:tcBorders>
              <w:bottom w:val="single" w:sz="8" w:color="auto"/>
            </w:tcBorders>
            <w:shd w:val="clear" w:color="auto" w:fill="29650B"/>
          </w:tcPr>
          <w:p>
            <w:pPr>
              <w:spacing w:after="0"/>
              <w:rPr>
                <w:sz w:val="22"/>
                <w:szCs w:val="22"/>
                <w:color w:val="auto"/>
              </w:rPr>
            </w:pPr>
          </w:p>
        </w:tc>
        <w:tc>
          <w:tcPr>
            <w:tcW w:w="160" w:type="dxa"/>
            <w:vAlign w:val="bottom"/>
            <w:tcBorders>
              <w:bottom w:val="single" w:sz="8" w:color="auto"/>
              <w:right w:val="single" w:sz="8" w:color="auto"/>
            </w:tcBorders>
            <w:shd w:val="clear" w:color="auto" w:fill="29650B"/>
          </w:tcPr>
          <w:p>
            <w:pPr>
              <w:spacing w:after="0"/>
              <w:rPr>
                <w:sz w:val="22"/>
                <w:szCs w:val="22"/>
                <w:color w:val="auto"/>
              </w:rPr>
            </w:pPr>
          </w:p>
        </w:tc>
        <w:tc>
          <w:tcPr>
            <w:tcW w:w="1340" w:type="dxa"/>
            <w:vAlign w:val="bottom"/>
            <w:tcBorders>
              <w:bottom w:val="single" w:sz="8" w:color="auto"/>
              <w:right w:val="single" w:sz="8" w:color="29650B"/>
            </w:tcBorders>
            <w:shd w:val="clear" w:color="auto" w:fill="29650B"/>
          </w:tcPr>
          <w:p>
            <w:pPr>
              <w:jc w:val="center"/>
              <w:ind w:left="19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40" w:type="dxa"/>
            <w:vAlign w:val="bottom"/>
            <w:tcBorders>
              <w:bottom w:val="single" w:sz="8" w:color="auto"/>
            </w:tcBorders>
            <w:shd w:val="clear" w:color="auto" w:fill="29650B"/>
          </w:tcPr>
          <w:p>
            <w:pPr>
              <w:spacing w:after="0"/>
              <w:rPr>
                <w:sz w:val="22"/>
                <w:szCs w:val="22"/>
                <w:color w:val="auto"/>
              </w:rPr>
            </w:pPr>
          </w:p>
        </w:tc>
        <w:tc>
          <w:tcPr>
            <w:tcW w:w="200" w:type="dxa"/>
            <w:vAlign w:val="bottom"/>
            <w:tcBorders>
              <w:bottom w:val="single" w:sz="8" w:color="auto"/>
              <w:right w:val="single" w:sz="8" w:color="auto"/>
            </w:tcBorders>
            <w:shd w:val="clear" w:color="auto" w:fill="29650B"/>
          </w:tcPr>
          <w:p>
            <w:pPr>
              <w:spacing w:after="0"/>
              <w:rPr>
                <w:sz w:val="22"/>
                <w:szCs w:val="22"/>
                <w:color w:val="auto"/>
              </w:rPr>
            </w:pPr>
          </w:p>
        </w:tc>
        <w:tc>
          <w:tcPr>
            <w:tcW w:w="1240" w:type="dxa"/>
            <w:vAlign w:val="bottom"/>
            <w:tcBorders>
              <w:bottom w:val="single" w:sz="8" w:color="auto"/>
              <w:right w:val="single" w:sz="8" w:color="29650B"/>
            </w:tcBorders>
            <w:shd w:val="clear" w:color="auto" w:fill="29650B"/>
          </w:tcPr>
          <w:p>
            <w:pPr>
              <w:jc w:val="center"/>
              <w:ind w:left="21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60" w:type="dxa"/>
            <w:vAlign w:val="bottom"/>
            <w:tcBorders>
              <w:bottom w:val="single" w:sz="8" w:color="auto"/>
            </w:tcBorders>
            <w:shd w:val="clear" w:color="auto" w:fill="29650B"/>
          </w:tcPr>
          <w:p>
            <w:pPr>
              <w:spacing w:after="0"/>
              <w:rPr>
                <w:sz w:val="22"/>
                <w:szCs w:val="22"/>
                <w:color w:val="auto"/>
              </w:rPr>
            </w:pPr>
          </w:p>
        </w:tc>
        <w:tc>
          <w:tcPr>
            <w:tcW w:w="180" w:type="dxa"/>
            <w:vAlign w:val="bottom"/>
            <w:tcBorders>
              <w:bottom w:val="single" w:sz="8" w:color="auto"/>
              <w:right w:val="single" w:sz="8" w:color="auto"/>
            </w:tcBorders>
            <w:shd w:val="clear" w:color="auto" w:fill="29650B"/>
          </w:tcPr>
          <w:p>
            <w:pPr>
              <w:spacing w:after="0"/>
              <w:rPr>
                <w:sz w:val="22"/>
                <w:szCs w:val="22"/>
                <w:color w:val="auto"/>
              </w:rPr>
            </w:pPr>
          </w:p>
        </w:tc>
        <w:tc>
          <w:tcPr>
            <w:tcW w:w="1120" w:type="dxa"/>
            <w:vAlign w:val="bottom"/>
            <w:tcBorders>
              <w:bottom w:val="single" w:sz="8" w:color="auto"/>
              <w:right w:val="single" w:sz="8" w:color="29650B"/>
            </w:tcBorders>
            <w:shd w:val="clear" w:color="auto" w:fill="29650B"/>
          </w:tcPr>
          <w:p>
            <w:pPr>
              <w:jc w:val="center"/>
              <w:ind w:left="21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340" w:type="dxa"/>
            <w:vAlign w:val="bottom"/>
            <w:tcBorders>
              <w:bottom w:val="single" w:sz="8" w:color="auto"/>
              <w:right w:val="single" w:sz="8" w:color="auto"/>
            </w:tcBorders>
            <w:shd w:val="clear" w:color="auto" w:fill="29650B"/>
          </w:tcPr>
          <w:p>
            <w:pPr>
              <w:spacing w:after="0"/>
              <w:rPr>
                <w:sz w:val="22"/>
                <w:szCs w:val="22"/>
                <w:color w:val="auto"/>
              </w:rPr>
            </w:pPr>
          </w:p>
        </w:tc>
        <w:tc>
          <w:tcPr>
            <w:tcW w:w="1440" w:type="dxa"/>
            <w:vAlign w:val="bottom"/>
            <w:tcBorders>
              <w:bottom w:val="single" w:sz="8" w:color="auto"/>
              <w:right w:val="single" w:sz="8" w:color="29650B"/>
            </w:tcBorders>
            <w:shd w:val="clear" w:color="auto" w:fill="29650B"/>
          </w:tcPr>
          <w:p>
            <w:pPr>
              <w:jc w:val="center"/>
              <w:ind w:left="217"/>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160" w:type="dxa"/>
            <w:vAlign w:val="bottom"/>
            <w:tcBorders>
              <w:bottom w:val="single" w:sz="8" w:color="auto"/>
            </w:tcBorders>
            <w:shd w:val="clear" w:color="auto" w:fill="29650B"/>
          </w:tcPr>
          <w:p>
            <w:pPr>
              <w:spacing w:after="0"/>
              <w:rPr>
                <w:sz w:val="22"/>
                <w:szCs w:val="22"/>
                <w:color w:val="auto"/>
              </w:rPr>
            </w:pPr>
          </w:p>
        </w:tc>
        <w:tc>
          <w:tcPr>
            <w:tcW w:w="180" w:type="dxa"/>
            <w:vAlign w:val="bottom"/>
            <w:tcBorders>
              <w:bottom w:val="single" w:sz="8" w:color="auto"/>
              <w:right w:val="single" w:sz="8" w:color="auto"/>
            </w:tcBorders>
            <w:shd w:val="clear" w:color="auto" w:fill="29650B"/>
          </w:tcPr>
          <w:p>
            <w:pPr>
              <w:spacing w:after="0"/>
              <w:rPr>
                <w:sz w:val="22"/>
                <w:szCs w:val="22"/>
                <w:color w:val="auto"/>
              </w:rPr>
            </w:pPr>
          </w:p>
        </w:tc>
        <w:tc>
          <w:tcPr>
            <w:tcW w:w="19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21"/>
                <w:szCs w:val="21"/>
                <w:b w:val="1"/>
                <w:bCs w:val="1"/>
                <w:color w:val="FFFFFF"/>
                <w:w w:val="97"/>
              </w:rPr>
              <w:t>($)</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2025</w:t>
            </w:r>
          </w:p>
        </w:tc>
        <w:tc>
          <w:tcPr>
            <w:tcW w:w="180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5,048,414</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(583,400)</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(2,093,691)</w:t>
            </w:r>
          </w:p>
        </w:tc>
        <w:tc>
          <w:tcPr>
            <w:tcW w:w="1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156,832</w:t>
            </w:r>
          </w:p>
        </w:tc>
        <w:tc>
          <w:tcPr>
            <w:tcW w:w="34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8,282,177</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right"/>
              <w:ind w:right="397"/>
              <w:spacing w:after="0" w:line="237" w:lineRule="exact"/>
              <w:rPr>
                <w:sz w:val="20"/>
                <w:szCs w:val="20"/>
                <w:color w:val="auto"/>
              </w:rPr>
            </w:pPr>
            <w:r>
              <w:rPr>
                <w:rFonts w:ascii="Times New Roman" w:cs="Times New Roman" w:eastAsia="Times New Roman" w:hAnsi="Times New Roman"/>
                <w:sz w:val="21"/>
                <w:szCs w:val="21"/>
                <w:color w:val="auto"/>
              </w:rPr>
              <w:t>10,810,332</w:t>
            </w:r>
          </w:p>
        </w:tc>
        <w:tc>
          <w:tcPr>
            <w:tcW w:w="0" w:type="dxa"/>
            <w:vAlign w:val="bottom"/>
          </w:tcPr>
          <w:p>
            <w:pPr>
              <w:spacing w:after="0"/>
              <w:rPr>
                <w:sz w:val="1"/>
                <w:szCs w:val="1"/>
                <w:color w:val="auto"/>
              </w:rPr>
            </w:pPr>
          </w:p>
        </w:tc>
      </w:tr>
      <w:tr>
        <w:trPr>
          <w:trHeight w:val="236"/>
        </w:trPr>
        <w:tc>
          <w:tcPr>
            <w:tcW w:w="700" w:type="dxa"/>
            <w:vAlign w:val="bottom"/>
            <w:tcBorders>
              <w:left w:val="single" w:sz="8" w:color="auto"/>
              <w:bottom w:val="single" w:sz="8" w:color="auto"/>
              <w:right w:val="single" w:sz="8" w:color="auto"/>
            </w:tcBorders>
            <w:shd w:val="clear" w:color="auto" w:fill="D9D9D9"/>
          </w:tcPr>
          <w:p>
            <w:pPr>
              <w:ind w:left="140"/>
              <w:spacing w:after="0" w:line="237" w:lineRule="exact"/>
              <w:rPr>
                <w:sz w:val="20"/>
                <w:szCs w:val="20"/>
                <w:color w:val="auto"/>
              </w:rPr>
            </w:pPr>
            <w:r>
              <w:rPr>
                <w:rFonts w:ascii="Times New Roman" w:cs="Times New Roman" w:eastAsia="Times New Roman" w:hAnsi="Times New Roman"/>
                <w:sz w:val="21"/>
                <w:szCs w:val="21"/>
                <w:color w:val="auto"/>
              </w:rPr>
              <w:t>2024</w:t>
            </w:r>
          </w:p>
        </w:tc>
        <w:tc>
          <w:tcPr>
            <w:tcW w:w="180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4,296,724</w:t>
            </w:r>
          </w:p>
        </w:tc>
        <w:tc>
          <w:tcPr>
            <w:tcW w:w="180" w:type="dxa"/>
            <w:vAlign w:val="bottom"/>
            <w:tcBorders>
              <w:bottom w:val="single" w:sz="8" w:color="auto"/>
            </w:tcBorders>
            <w:shd w:val="clear" w:color="auto" w:fill="D9D9D9"/>
          </w:tcPr>
          <w:p>
            <w:pPr>
              <w:spacing w:after="0"/>
              <w:rPr>
                <w:sz w:val="20"/>
                <w:szCs w:val="20"/>
                <w:color w:val="auto"/>
              </w:rPr>
            </w:pPr>
          </w:p>
        </w:tc>
        <w:tc>
          <w:tcPr>
            <w:tcW w:w="160" w:type="dxa"/>
            <w:vAlign w:val="bottom"/>
            <w:tcBorders>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(291,780)</w:t>
            </w:r>
          </w:p>
        </w:tc>
        <w:tc>
          <w:tcPr>
            <w:tcW w:w="140" w:type="dxa"/>
            <w:vAlign w:val="bottom"/>
            <w:tcBorders>
              <w:bottom w:val="single" w:sz="8" w:color="auto"/>
            </w:tcBorders>
            <w:shd w:val="clear" w:color="auto" w:fill="D9D9D9"/>
          </w:tcPr>
          <w:p>
            <w:pPr>
              <w:spacing w:after="0"/>
              <w:rPr>
                <w:sz w:val="20"/>
                <w:szCs w:val="20"/>
                <w:color w:val="auto"/>
              </w:rPr>
            </w:pPr>
          </w:p>
        </w:tc>
        <w:tc>
          <w:tcPr>
            <w:tcW w:w="2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tcBorders>
            <w:gridSpan w:val="2"/>
            <w:shd w:val="clear" w:color="auto" w:fill="D9D9D9"/>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(1,887,092)</w:t>
            </w:r>
          </w:p>
        </w:tc>
        <w:tc>
          <w:tcPr>
            <w:tcW w:w="18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145,736</w:t>
            </w:r>
          </w:p>
        </w:tc>
        <w:tc>
          <w:tcPr>
            <w:tcW w:w="340" w:type="dxa"/>
            <w:vAlign w:val="bottom"/>
            <w:tcBorders>
              <w:bottom w:val="single" w:sz="8" w:color="auto"/>
              <w:right w:val="single" w:sz="8" w:color="auto"/>
            </w:tcBorders>
            <w:shd w:val="clear" w:color="auto" w:fill="D9D9D9"/>
          </w:tcPr>
          <w:p>
            <w:pPr>
              <w:spacing w:after="0"/>
              <w:rPr>
                <w:sz w:val="20"/>
                <w:szCs w:val="20"/>
                <w:color w:val="auto"/>
              </w:rPr>
            </w:pPr>
          </w:p>
        </w:tc>
        <w:tc>
          <w:tcPr>
            <w:tcW w:w="144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1,363,489</w:t>
            </w:r>
          </w:p>
        </w:tc>
        <w:tc>
          <w:tcPr>
            <w:tcW w:w="160" w:type="dxa"/>
            <w:vAlign w:val="bottom"/>
            <w:tcBorders>
              <w:bottom w:val="single" w:sz="8" w:color="auto"/>
            </w:tcBorders>
            <w:shd w:val="clear" w:color="auto" w:fill="D9D9D9"/>
          </w:tcPr>
          <w:p>
            <w:pPr>
              <w:spacing w:after="0"/>
              <w:rPr>
                <w:sz w:val="20"/>
                <w:szCs w:val="20"/>
                <w:color w:val="auto"/>
              </w:rPr>
            </w:pPr>
          </w:p>
        </w:tc>
        <w:tc>
          <w:tcPr>
            <w:tcW w:w="180" w:type="dxa"/>
            <w:vAlign w:val="bottom"/>
            <w:tcBorders>
              <w:bottom w:val="single" w:sz="8" w:color="auto"/>
              <w:right w:val="single" w:sz="8" w:color="auto"/>
            </w:tcBorders>
            <w:shd w:val="clear" w:color="auto" w:fill="D9D9D9"/>
          </w:tcPr>
          <w:p>
            <w:pPr>
              <w:spacing w:after="0"/>
              <w:rPr>
                <w:sz w:val="20"/>
                <w:szCs w:val="20"/>
                <w:color w:val="auto"/>
              </w:rPr>
            </w:pPr>
          </w:p>
        </w:tc>
        <w:tc>
          <w:tcPr>
            <w:tcW w:w="1900" w:type="dxa"/>
            <w:vAlign w:val="bottom"/>
            <w:tcBorders>
              <w:bottom w:val="single" w:sz="8" w:color="auto"/>
              <w:right w:val="single" w:sz="8" w:color="auto"/>
            </w:tcBorders>
            <w:shd w:val="clear" w:color="auto" w:fill="D9D9D9"/>
          </w:tcPr>
          <w:p>
            <w:pPr>
              <w:jc w:val="right"/>
              <w:ind w:right="397"/>
              <w:spacing w:after="0" w:line="237" w:lineRule="exact"/>
              <w:rPr>
                <w:sz w:val="20"/>
                <w:szCs w:val="20"/>
                <w:color w:val="auto"/>
              </w:rPr>
            </w:pPr>
            <w:r>
              <w:rPr>
                <w:rFonts w:ascii="Times New Roman" w:cs="Times New Roman" w:eastAsia="Times New Roman" w:hAnsi="Times New Roman"/>
                <w:sz w:val="21"/>
                <w:szCs w:val="21"/>
                <w:color w:val="auto"/>
              </w:rPr>
              <w:t>3,627,077</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2023</w:t>
            </w:r>
          </w:p>
        </w:tc>
        <w:tc>
          <w:tcPr>
            <w:tcW w:w="180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3,489,766</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(181,294)</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(1,599,684)</w:t>
            </w:r>
          </w:p>
        </w:tc>
        <w:tc>
          <w:tcPr>
            <w:tcW w:w="1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140,895</w:t>
            </w:r>
          </w:p>
        </w:tc>
        <w:tc>
          <w:tcPr>
            <w:tcW w:w="34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2,148,351</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right"/>
              <w:ind w:right="397"/>
              <w:spacing w:after="0" w:line="237" w:lineRule="exact"/>
              <w:rPr>
                <w:sz w:val="20"/>
                <w:szCs w:val="20"/>
                <w:color w:val="auto"/>
              </w:rPr>
            </w:pPr>
            <w:r>
              <w:rPr>
                <w:rFonts w:ascii="Times New Roman" w:cs="Times New Roman" w:eastAsia="Times New Roman" w:hAnsi="Times New Roman"/>
                <w:sz w:val="21"/>
                <w:szCs w:val="21"/>
                <w:color w:val="auto"/>
              </w:rPr>
              <w:t>3,998,035</w:t>
            </w:r>
          </w:p>
        </w:tc>
        <w:tc>
          <w:tcPr>
            <w:tcW w:w="0" w:type="dxa"/>
            <w:vAlign w:val="bottom"/>
          </w:tcPr>
          <w:p>
            <w:pPr>
              <w:spacing w:after="0"/>
              <w:rPr>
                <w:sz w:val="1"/>
                <w:szCs w:val="1"/>
                <w:color w:val="auto"/>
              </w:rPr>
            </w:pPr>
          </w:p>
        </w:tc>
      </w:tr>
      <w:tr>
        <w:trPr>
          <w:trHeight w:val="236"/>
        </w:trPr>
        <w:tc>
          <w:tcPr>
            <w:tcW w:w="700" w:type="dxa"/>
            <w:vAlign w:val="bottom"/>
            <w:tcBorders>
              <w:left w:val="single" w:sz="8" w:color="auto"/>
              <w:bottom w:val="single" w:sz="8" w:color="auto"/>
              <w:right w:val="single" w:sz="8" w:color="auto"/>
            </w:tcBorders>
            <w:shd w:val="clear" w:color="auto" w:fill="D9D9D9"/>
          </w:tcPr>
          <w:p>
            <w:pPr>
              <w:ind w:left="140"/>
              <w:spacing w:after="0" w:line="237" w:lineRule="exact"/>
              <w:rPr>
                <w:sz w:val="20"/>
                <w:szCs w:val="20"/>
                <w:color w:val="auto"/>
              </w:rPr>
            </w:pPr>
            <w:r>
              <w:rPr>
                <w:rFonts w:ascii="Times New Roman" w:cs="Times New Roman" w:eastAsia="Times New Roman" w:hAnsi="Times New Roman"/>
                <w:sz w:val="21"/>
                <w:szCs w:val="21"/>
                <w:color w:val="auto"/>
              </w:rPr>
              <w:t>2022</w:t>
            </w:r>
          </w:p>
        </w:tc>
        <w:tc>
          <w:tcPr>
            <w:tcW w:w="180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2,229,044</w:t>
            </w:r>
          </w:p>
        </w:tc>
        <w:tc>
          <w:tcPr>
            <w:tcW w:w="180" w:type="dxa"/>
            <w:vAlign w:val="bottom"/>
            <w:tcBorders>
              <w:bottom w:val="single" w:sz="8" w:color="auto"/>
            </w:tcBorders>
            <w:shd w:val="clear" w:color="auto" w:fill="D9D9D9"/>
          </w:tcPr>
          <w:p>
            <w:pPr>
              <w:spacing w:after="0"/>
              <w:rPr>
                <w:sz w:val="20"/>
                <w:szCs w:val="20"/>
                <w:color w:val="auto"/>
              </w:rPr>
            </w:pPr>
          </w:p>
        </w:tc>
        <w:tc>
          <w:tcPr>
            <w:tcW w:w="160" w:type="dxa"/>
            <w:vAlign w:val="bottom"/>
            <w:tcBorders>
              <w:bottom w:val="single" w:sz="8" w:color="auto"/>
              <w:right w:val="single" w:sz="8" w:color="auto"/>
            </w:tcBorders>
            <w:shd w:val="clear" w:color="auto" w:fill="D9D9D9"/>
          </w:tcPr>
          <w:p>
            <w:pPr>
              <w:spacing w:after="0"/>
              <w:rPr>
                <w:sz w:val="20"/>
                <w:szCs w:val="20"/>
                <w:color w:val="auto"/>
              </w:rPr>
            </w:pPr>
          </w:p>
        </w:tc>
        <w:tc>
          <w:tcPr>
            <w:tcW w:w="134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4"/>
              </w:rPr>
              <w:t>0</w:t>
            </w:r>
          </w:p>
        </w:tc>
        <w:tc>
          <w:tcPr>
            <w:tcW w:w="140" w:type="dxa"/>
            <w:vAlign w:val="bottom"/>
            <w:tcBorders>
              <w:bottom w:val="single" w:sz="8" w:color="auto"/>
            </w:tcBorders>
            <w:shd w:val="clear" w:color="auto" w:fill="D9D9D9"/>
          </w:tcPr>
          <w:p>
            <w:pPr>
              <w:spacing w:after="0"/>
              <w:rPr>
                <w:sz w:val="20"/>
                <w:szCs w:val="20"/>
                <w:color w:val="auto"/>
              </w:rPr>
            </w:pPr>
          </w:p>
        </w:tc>
        <w:tc>
          <w:tcPr>
            <w:tcW w:w="200" w:type="dxa"/>
            <w:vAlign w:val="bottom"/>
            <w:tcBorders>
              <w:bottom w:val="single" w:sz="8" w:color="auto"/>
              <w:right w:val="single" w:sz="8" w:color="auto"/>
            </w:tcBorders>
            <w:shd w:val="clear" w:color="auto" w:fill="D9D9D9"/>
          </w:tcPr>
          <w:p>
            <w:pPr>
              <w:spacing w:after="0"/>
              <w:rPr>
                <w:sz w:val="20"/>
                <w:szCs w:val="20"/>
                <w:color w:val="auto"/>
              </w:rPr>
            </w:pPr>
          </w:p>
        </w:tc>
        <w:tc>
          <w:tcPr>
            <w:tcW w:w="1400" w:type="dxa"/>
            <w:vAlign w:val="bottom"/>
            <w:tcBorders>
              <w:bottom w:val="single" w:sz="8" w:color="auto"/>
            </w:tcBorders>
            <w:gridSpan w:val="2"/>
            <w:shd w:val="clear" w:color="auto" w:fill="D9D9D9"/>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(986,390)</w:t>
            </w:r>
          </w:p>
        </w:tc>
        <w:tc>
          <w:tcPr>
            <w:tcW w:w="180" w:type="dxa"/>
            <w:vAlign w:val="bottom"/>
            <w:tcBorders>
              <w:bottom w:val="single" w:sz="8" w:color="auto"/>
              <w:right w:val="single" w:sz="8" w:color="auto"/>
            </w:tcBorders>
            <w:shd w:val="clear" w:color="auto" w:fill="D9D9D9"/>
          </w:tcPr>
          <w:p>
            <w:pPr>
              <w:spacing w:after="0"/>
              <w:rPr>
                <w:sz w:val="20"/>
                <w:szCs w:val="20"/>
                <w:color w:val="auto"/>
              </w:rPr>
            </w:pPr>
          </w:p>
        </w:tc>
        <w:tc>
          <w:tcPr>
            <w:tcW w:w="112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159,674</w:t>
            </w:r>
          </w:p>
        </w:tc>
        <w:tc>
          <w:tcPr>
            <w:tcW w:w="340" w:type="dxa"/>
            <w:vAlign w:val="bottom"/>
            <w:tcBorders>
              <w:bottom w:val="single" w:sz="8" w:color="auto"/>
              <w:right w:val="single" w:sz="8" w:color="auto"/>
            </w:tcBorders>
            <w:shd w:val="clear" w:color="auto" w:fill="D9D9D9"/>
          </w:tcPr>
          <w:p>
            <w:pPr>
              <w:spacing w:after="0"/>
              <w:rPr>
                <w:sz w:val="20"/>
                <w:szCs w:val="20"/>
                <w:color w:val="auto"/>
              </w:rPr>
            </w:pPr>
          </w:p>
        </w:tc>
        <w:tc>
          <w:tcPr>
            <w:tcW w:w="1440" w:type="dxa"/>
            <w:vAlign w:val="bottom"/>
            <w:tcBorders>
              <w:bottom w:val="single" w:sz="8" w:color="auto"/>
              <w:right w:val="single" w:sz="8" w:color="D9D9D9"/>
            </w:tcBorders>
            <w:shd w:val="clear" w:color="auto" w:fill="D9D9D9"/>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7"/>
              </w:rPr>
              <w:t>(2,052,813)</w:t>
            </w:r>
          </w:p>
        </w:tc>
        <w:tc>
          <w:tcPr>
            <w:tcW w:w="160" w:type="dxa"/>
            <w:vAlign w:val="bottom"/>
            <w:tcBorders>
              <w:bottom w:val="single" w:sz="8" w:color="auto"/>
            </w:tcBorders>
            <w:shd w:val="clear" w:color="auto" w:fill="D9D9D9"/>
          </w:tcPr>
          <w:p>
            <w:pPr>
              <w:spacing w:after="0"/>
              <w:rPr>
                <w:sz w:val="20"/>
                <w:szCs w:val="20"/>
                <w:color w:val="auto"/>
              </w:rPr>
            </w:pPr>
          </w:p>
        </w:tc>
        <w:tc>
          <w:tcPr>
            <w:tcW w:w="180" w:type="dxa"/>
            <w:vAlign w:val="bottom"/>
            <w:tcBorders>
              <w:bottom w:val="single" w:sz="8" w:color="auto"/>
              <w:right w:val="single" w:sz="8" w:color="auto"/>
            </w:tcBorders>
            <w:shd w:val="clear" w:color="auto" w:fill="D9D9D9"/>
          </w:tcPr>
          <w:p>
            <w:pPr>
              <w:spacing w:after="0"/>
              <w:rPr>
                <w:sz w:val="20"/>
                <w:szCs w:val="20"/>
                <w:color w:val="auto"/>
              </w:rPr>
            </w:pPr>
          </w:p>
        </w:tc>
        <w:tc>
          <w:tcPr>
            <w:tcW w:w="1900" w:type="dxa"/>
            <w:vAlign w:val="bottom"/>
            <w:tcBorders>
              <w:bottom w:val="single" w:sz="8" w:color="auto"/>
              <w:right w:val="single" w:sz="8" w:color="auto"/>
            </w:tcBorders>
            <w:shd w:val="clear" w:color="auto" w:fill="D9D9D9"/>
          </w:tcPr>
          <w:p>
            <w:pPr>
              <w:jc w:val="right"/>
              <w:ind w:right="337"/>
              <w:spacing w:after="0" w:line="237" w:lineRule="exact"/>
              <w:rPr>
                <w:sz w:val="20"/>
                <w:szCs w:val="20"/>
                <w:color w:val="auto"/>
              </w:rPr>
            </w:pPr>
            <w:r>
              <w:rPr>
                <w:rFonts w:ascii="Times New Roman" w:cs="Times New Roman" w:eastAsia="Times New Roman" w:hAnsi="Times New Roman"/>
                <w:sz w:val="21"/>
                <w:szCs w:val="21"/>
                <w:color w:val="auto"/>
              </w:rPr>
              <w:t>(650,485)</w:t>
            </w:r>
          </w:p>
        </w:tc>
        <w:tc>
          <w:tcPr>
            <w:tcW w:w="0" w:type="dxa"/>
            <w:vAlign w:val="bottom"/>
          </w:tcPr>
          <w:p>
            <w:pPr>
              <w:spacing w:after="0"/>
              <w:rPr>
                <w:sz w:val="1"/>
                <w:szCs w:val="1"/>
                <w:color w:val="auto"/>
              </w:rPr>
            </w:pPr>
          </w:p>
        </w:tc>
      </w:tr>
      <w:tr>
        <w:trPr>
          <w:trHeight w:val="237"/>
        </w:trPr>
        <w:tc>
          <w:tcPr>
            <w:tcW w:w="700" w:type="dxa"/>
            <w:vAlign w:val="bottom"/>
            <w:tcBorders>
              <w:left w:val="single" w:sz="8" w:color="auto"/>
              <w:bottom w:val="single" w:sz="8" w:color="auto"/>
              <w:right w:val="single" w:sz="8" w:color="auto"/>
            </w:tcBorders>
          </w:tcPr>
          <w:p>
            <w:pPr>
              <w:ind w:left="140"/>
              <w:spacing w:after="0" w:line="237" w:lineRule="exact"/>
              <w:rPr>
                <w:sz w:val="20"/>
                <w:szCs w:val="20"/>
                <w:color w:val="auto"/>
              </w:rPr>
            </w:pPr>
            <w:r>
              <w:rPr>
                <w:rFonts w:ascii="Times New Roman" w:cs="Times New Roman" w:eastAsia="Times New Roman" w:hAnsi="Times New Roman"/>
                <w:sz w:val="21"/>
                <w:szCs w:val="21"/>
                <w:color w:val="auto"/>
              </w:rPr>
              <w:t>2021</w:t>
            </w:r>
          </w:p>
        </w:tc>
        <w:tc>
          <w:tcPr>
            <w:tcW w:w="180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3,441,916</w:t>
            </w:r>
          </w:p>
        </w:tc>
        <w:tc>
          <w:tcPr>
            <w:tcW w:w="1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tcBorders>
          </w:tcPr>
          <w:p>
            <w:pPr>
              <w:jc w:val="center"/>
              <w:ind w:left="257"/>
              <w:spacing w:after="0" w:line="237" w:lineRule="exact"/>
              <w:rPr>
                <w:sz w:val="20"/>
                <w:szCs w:val="20"/>
                <w:color w:val="auto"/>
              </w:rPr>
            </w:pPr>
            <w:r>
              <w:rPr>
                <w:rFonts w:ascii="Times New Roman" w:cs="Times New Roman" w:eastAsia="Times New Roman" w:hAnsi="Times New Roman"/>
                <w:sz w:val="21"/>
                <w:szCs w:val="21"/>
                <w:color w:val="auto"/>
                <w:w w:val="99"/>
              </w:rPr>
              <w:t>(248,755)</w:t>
            </w:r>
          </w:p>
        </w:tc>
        <w:tc>
          <w:tcPr>
            <w:tcW w:w="140" w:type="dxa"/>
            <w:vAlign w:val="bottom"/>
            <w:tcBorders>
              <w:bottom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400" w:type="dxa"/>
            <w:vAlign w:val="bottom"/>
            <w:tcBorders>
              <w:bottom w:val="single" w:sz="8" w:color="auto"/>
            </w:tcBorders>
            <w:gridSpan w:val="2"/>
          </w:tcPr>
          <w:p>
            <w:pPr>
              <w:jc w:val="right"/>
              <w:ind w:right="140"/>
              <w:spacing w:after="0" w:line="237" w:lineRule="exact"/>
              <w:rPr>
                <w:sz w:val="20"/>
                <w:szCs w:val="20"/>
                <w:color w:val="auto"/>
              </w:rPr>
            </w:pPr>
            <w:r>
              <w:rPr>
                <w:rFonts w:ascii="Times New Roman" w:cs="Times New Roman" w:eastAsia="Times New Roman" w:hAnsi="Times New Roman"/>
                <w:sz w:val="21"/>
                <w:szCs w:val="21"/>
                <w:color w:val="auto"/>
              </w:rPr>
              <w:t>(1,287,047)</w:t>
            </w:r>
          </w:p>
        </w:tc>
        <w:tc>
          <w:tcPr>
            <w:tcW w:w="18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294,478</w:t>
            </w:r>
          </w:p>
        </w:tc>
        <w:tc>
          <w:tcPr>
            <w:tcW w:w="340" w:type="dxa"/>
            <w:vAlign w:val="bottom"/>
            <w:tcBorders>
              <w:bottom w:val="single" w:sz="8" w:color="auto"/>
              <w:right w:val="single" w:sz="8" w:color="auto"/>
            </w:tcBorders>
          </w:tcPr>
          <w:p>
            <w:pPr>
              <w:spacing w:after="0"/>
              <w:rPr>
                <w:sz w:val="20"/>
                <w:szCs w:val="20"/>
                <w:color w:val="auto"/>
              </w:rPr>
            </w:pPr>
          </w:p>
        </w:tc>
        <w:tc>
          <w:tcPr>
            <w:tcW w:w="1440" w:type="dxa"/>
            <w:vAlign w:val="bottom"/>
            <w:tcBorders>
              <w:bottom w:val="single" w:sz="8" w:color="auto"/>
            </w:tcBorders>
          </w:tcPr>
          <w:p>
            <w:pPr>
              <w:jc w:val="center"/>
              <w:ind w:left="217"/>
              <w:spacing w:after="0" w:line="237" w:lineRule="exact"/>
              <w:rPr>
                <w:sz w:val="20"/>
                <w:szCs w:val="20"/>
                <w:color w:val="auto"/>
              </w:rPr>
            </w:pPr>
            <w:r>
              <w:rPr>
                <w:rFonts w:ascii="Times New Roman" w:cs="Times New Roman" w:eastAsia="Times New Roman" w:hAnsi="Times New Roman"/>
                <w:sz w:val="21"/>
                <w:szCs w:val="21"/>
                <w:color w:val="auto"/>
                <w:w w:val="99"/>
              </w:rPr>
              <w:t>1,678,239</w:t>
            </w:r>
          </w:p>
        </w:tc>
        <w:tc>
          <w:tcPr>
            <w:tcW w:w="160" w:type="dxa"/>
            <w:vAlign w:val="bottom"/>
            <w:tcBorders>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p>
        </w:tc>
        <w:tc>
          <w:tcPr>
            <w:tcW w:w="1900" w:type="dxa"/>
            <w:vAlign w:val="bottom"/>
            <w:tcBorders>
              <w:bottom w:val="single" w:sz="8" w:color="auto"/>
              <w:right w:val="single" w:sz="8" w:color="auto"/>
            </w:tcBorders>
          </w:tcPr>
          <w:p>
            <w:pPr>
              <w:jc w:val="right"/>
              <w:ind w:right="397"/>
              <w:spacing w:after="0" w:line="237" w:lineRule="exact"/>
              <w:rPr>
                <w:sz w:val="20"/>
                <w:szCs w:val="20"/>
                <w:color w:val="auto"/>
              </w:rPr>
            </w:pPr>
            <w:r>
              <w:rPr>
                <w:rFonts w:ascii="Times New Roman" w:cs="Times New Roman" w:eastAsia="Times New Roman" w:hAnsi="Times New Roman"/>
                <w:sz w:val="21"/>
                <w:szCs w:val="21"/>
                <w:color w:val="auto"/>
              </w:rPr>
              <w:t>3,878,831</w:t>
            </w:r>
          </w:p>
        </w:tc>
        <w:tc>
          <w:tcPr>
            <w:tcW w:w="0" w:type="dxa"/>
            <w:vAlign w:val="bottom"/>
          </w:tcPr>
          <w:p>
            <w:pPr>
              <w:spacing w:after="0"/>
              <w:rPr>
                <w:sz w:val="1"/>
                <w:szCs w:val="1"/>
                <w:color w:val="auto"/>
              </w:rPr>
            </w:pPr>
          </w:p>
        </w:tc>
      </w:tr>
    </w:tbl>
    <w:p>
      <w:pPr>
        <w:spacing w:after="0" w:line="32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64</w:t>
      </w:r>
    </w:p>
    <w:p>
      <w:pPr>
        <w:sectPr>
          <w:pgSz w:w="11900" w:h="16838" w:orient="portrait"/>
          <w:cols w:equalWidth="0" w:num="1">
            <w:col w:w="11240"/>
          </w:cols>
          <w:pgMar w:left="320" w:top="930"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20"/>
          <w:szCs w:val="20"/>
          <w:color w:val="auto"/>
        </w:rPr>
        <w:t>The amounts in the Inclusion of Equity Values in the tables above are derived from the amounts set forth in the following tables:</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415"/>
        </w:trPr>
        <w:tc>
          <w:tcPr>
            <w:tcW w:w="64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1560" w:type="dxa"/>
            <w:vAlign w:val="bottom"/>
            <w:tcBorders>
              <w:top w:val="single" w:sz="8" w:color="auto"/>
              <w:right w:val="single" w:sz="8" w:color="auto"/>
            </w:tcBorders>
            <w:shd w:val="clear" w:color="auto" w:fill="29650B"/>
          </w:tcPr>
          <w:p>
            <w:pPr>
              <w:spacing w:after="0"/>
              <w:rPr>
                <w:sz w:val="24"/>
                <w:szCs w:val="24"/>
                <w:color w:val="auto"/>
              </w:rPr>
            </w:pPr>
          </w:p>
        </w:tc>
        <w:tc>
          <w:tcPr>
            <w:tcW w:w="134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8"/>
              </w:rPr>
              <w:t>Change in</w:t>
            </w:r>
          </w:p>
        </w:tc>
        <w:tc>
          <w:tcPr>
            <w:tcW w:w="1340" w:type="dxa"/>
            <w:vAlign w:val="bottom"/>
            <w:tcBorders>
              <w:top w:val="single" w:sz="8" w:color="auto"/>
              <w:right w:val="single" w:sz="8" w:color="auto"/>
            </w:tcBorders>
            <w:shd w:val="clear" w:color="auto" w:fill="29650B"/>
          </w:tcPr>
          <w:p>
            <w:pPr>
              <w:spacing w:after="0"/>
              <w:rPr>
                <w:sz w:val="24"/>
                <w:szCs w:val="24"/>
                <w:color w:val="auto"/>
              </w:rPr>
            </w:pPr>
          </w:p>
        </w:tc>
        <w:tc>
          <w:tcPr>
            <w:tcW w:w="1460" w:type="dxa"/>
            <w:vAlign w:val="bottom"/>
            <w:tcBorders>
              <w:top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Change in Fair</w:t>
            </w:r>
          </w:p>
        </w:tc>
        <w:tc>
          <w:tcPr>
            <w:tcW w:w="2000" w:type="dxa"/>
            <w:vAlign w:val="bottom"/>
            <w:tcBorders>
              <w:top w:val="single" w:sz="8" w:color="auto"/>
              <w:right w:val="single" w:sz="8" w:color="auto"/>
            </w:tcBorders>
            <w:shd w:val="clear" w:color="auto" w:fill="29650B"/>
          </w:tcPr>
          <w:p>
            <w:pPr>
              <w:spacing w:after="0"/>
              <w:rPr>
                <w:sz w:val="24"/>
                <w:szCs w:val="24"/>
                <w:color w:val="auto"/>
              </w:rPr>
            </w:pPr>
          </w:p>
        </w:tc>
        <w:tc>
          <w:tcPr>
            <w:tcW w:w="120" w:type="dxa"/>
            <w:vAlign w:val="bottom"/>
            <w:tcBorders>
              <w:top w:val="single" w:sz="8" w:color="auto"/>
              <w:right w:val="single" w:sz="8" w:color="29650B"/>
            </w:tcBorders>
            <w:shd w:val="clear" w:color="auto" w:fill="29650B"/>
          </w:tcPr>
          <w:p>
            <w:pPr>
              <w:spacing w:after="0"/>
              <w:rPr>
                <w:sz w:val="24"/>
                <w:szCs w:val="24"/>
                <w:color w:val="auto"/>
              </w:rPr>
            </w:pPr>
          </w:p>
        </w:tc>
        <w:tc>
          <w:tcPr>
            <w:tcW w:w="1440" w:type="dxa"/>
            <w:vAlign w:val="bottom"/>
            <w:tcBorders>
              <w:top w:val="single" w:sz="8" w:color="auto"/>
              <w:right w:val="single" w:sz="8" w:color="auto"/>
            </w:tcBorders>
            <w:shd w:val="clear" w:color="auto" w:fill="29650B"/>
          </w:tcPr>
          <w:p>
            <w:pPr>
              <w:spacing w:after="0"/>
              <w:rPr>
                <w:sz w:val="24"/>
                <w:szCs w:val="24"/>
                <w:color w:val="auto"/>
              </w:rPr>
            </w:pPr>
          </w:p>
        </w:tc>
        <w:tc>
          <w:tcPr>
            <w:tcW w:w="1340" w:type="dxa"/>
            <w:vAlign w:val="bottom"/>
            <w:tcBorders>
              <w:top w:val="single" w:sz="8" w:color="auto"/>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Fair Value</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Vesting-Date</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Value from</w:t>
            </w:r>
          </w:p>
        </w:tc>
        <w:tc>
          <w:tcPr>
            <w:tcW w:w="2000" w:type="dxa"/>
            <w:vAlign w:val="bottom"/>
            <w:tcBorders>
              <w:right w:val="single" w:sz="8" w:color="auto"/>
            </w:tcBorders>
            <w:shd w:val="clear" w:color="auto" w:fill="29650B"/>
          </w:tcPr>
          <w:p>
            <w:pPr>
              <w:spacing w:after="0"/>
              <w:rPr>
                <w:sz w:val="18"/>
                <w:szCs w:val="18"/>
                <w:color w:val="auto"/>
              </w:rPr>
            </w:pPr>
          </w:p>
        </w:tc>
        <w:tc>
          <w:tcPr>
            <w:tcW w:w="120" w:type="dxa"/>
            <w:vAlign w:val="bottom"/>
            <w:tcBorders>
              <w:right w:val="single" w:sz="8" w:color="29650B"/>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Year-End Fair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from Last</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Fair Value of</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Last Day of</w:t>
            </w:r>
          </w:p>
        </w:tc>
        <w:tc>
          <w:tcPr>
            <w:tcW w:w="2000" w:type="dxa"/>
            <w:vAlign w:val="bottom"/>
            <w:tcBorders>
              <w:right w:val="single" w:sz="8" w:color="auto"/>
            </w:tcBorders>
            <w:shd w:val="clear" w:color="auto" w:fill="29650B"/>
          </w:tcPr>
          <w:p>
            <w:pPr>
              <w:spacing w:after="0"/>
              <w:rPr>
                <w:sz w:val="18"/>
                <w:szCs w:val="18"/>
                <w:color w:val="auto"/>
              </w:rPr>
            </w:pPr>
          </w:p>
        </w:tc>
        <w:tc>
          <w:tcPr>
            <w:tcW w:w="120" w:type="dxa"/>
            <w:vAlign w:val="bottom"/>
            <w:tcBorders>
              <w:right w:val="single" w:sz="8" w:color="29650B"/>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ind w:right="46"/>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Value of</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Value of Equity</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Day of Prior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Equity</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Prior Year to</w:t>
            </w:r>
          </w:p>
        </w:tc>
        <w:tc>
          <w:tcPr>
            <w:tcW w:w="2000" w:type="dxa"/>
            <w:vAlign w:val="bottom"/>
            <w:tcBorders>
              <w:right w:val="single" w:sz="8" w:color="auto"/>
            </w:tcBorders>
            <w:shd w:val="clear" w:color="auto" w:fill="29650B"/>
          </w:tcPr>
          <w:p>
            <w:pPr>
              <w:spacing w:after="0"/>
              <w:rPr>
                <w:sz w:val="18"/>
                <w:szCs w:val="18"/>
                <w:color w:val="auto"/>
              </w:rPr>
            </w:pPr>
          </w:p>
        </w:tc>
        <w:tc>
          <w:tcPr>
            <w:tcW w:w="120" w:type="dxa"/>
            <w:vAlign w:val="bottom"/>
            <w:tcBorders>
              <w:right w:val="single" w:sz="8" w:color="29650B"/>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ind w:right="26"/>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Dividends or</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 Granted</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Year to Last</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Vesting Date of</w:t>
            </w:r>
          </w:p>
        </w:tc>
        <w:tc>
          <w:tcPr>
            <w:tcW w:w="2000" w:type="dxa"/>
            <w:vAlign w:val="bottom"/>
            <w:tcBorders>
              <w:right w:val="single" w:sz="8" w:color="auto"/>
            </w:tcBorders>
            <w:shd w:val="clear" w:color="auto" w:fill="29650B"/>
          </w:tcPr>
          <w:p>
            <w:pPr>
              <w:spacing w:after="0"/>
              <w:rPr>
                <w:sz w:val="18"/>
                <w:szCs w:val="18"/>
                <w:color w:val="auto"/>
              </w:rPr>
            </w:pPr>
          </w:p>
        </w:tc>
        <w:tc>
          <w:tcPr>
            <w:tcW w:w="120" w:type="dxa"/>
            <w:vAlign w:val="bottom"/>
            <w:tcBorders>
              <w:right w:val="single" w:sz="8" w:color="29650B"/>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ind w:right="46"/>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Other Earnings</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ind w:left="120"/>
              <w:spacing w:after="0" w:line="216" w:lineRule="exact"/>
              <w:rPr>
                <w:sz w:val="20"/>
                <w:szCs w:val="20"/>
                <w:color w:val="auto"/>
              </w:rPr>
            </w:pPr>
            <w:r>
              <w:rPr>
                <w:rFonts w:ascii="Times New Roman" w:cs="Times New Roman" w:eastAsia="Times New Roman" w:hAnsi="Times New Roman"/>
                <w:sz w:val="19"/>
                <w:szCs w:val="19"/>
                <w:b w:val="1"/>
                <w:bCs w:val="1"/>
                <w:color w:val="FFFFFF"/>
              </w:rPr>
              <w:t>Year</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During Year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Day of Year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Granted</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Unvested</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Fair Value at Last</w:t>
            </w:r>
          </w:p>
        </w:tc>
        <w:tc>
          <w:tcPr>
            <w:tcW w:w="120" w:type="dxa"/>
            <w:vAlign w:val="bottom"/>
            <w:tcBorders>
              <w:right w:val="single" w:sz="8" w:color="29650B"/>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ind w:right="46"/>
              <w:spacing w:after="0" w:line="216" w:lineRule="exact"/>
              <w:rPr>
                <w:sz w:val="20"/>
                <w:szCs w:val="20"/>
                <w:color w:val="auto"/>
              </w:rPr>
            </w:pPr>
            <w:r>
              <w:rPr>
                <w:rFonts w:ascii="Times New Roman" w:cs="Times New Roman" w:eastAsia="Times New Roman" w:hAnsi="Times New Roman"/>
                <w:sz w:val="19"/>
                <w:szCs w:val="19"/>
                <w:b w:val="1"/>
                <w:bCs w:val="1"/>
                <w:color w:val="FFFFFF"/>
              </w:rPr>
              <w:t>Paid on Equity</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That Remained</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of Unvested</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During Year</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Equity Awards</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Day of Prior Year of</w:t>
            </w:r>
          </w:p>
        </w:tc>
        <w:tc>
          <w:tcPr>
            <w:tcW w:w="120" w:type="dxa"/>
            <w:vAlign w:val="bottom"/>
            <w:tcBorders>
              <w:right w:val="single" w:sz="8" w:color="29650B"/>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ind w:right="26"/>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Awards Not</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5"/>
              </w:rPr>
              <w:t>Total -</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Unvested as of</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Equity</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that Vested</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that Vested</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Equity Awards</w:t>
            </w:r>
          </w:p>
        </w:tc>
        <w:tc>
          <w:tcPr>
            <w:tcW w:w="120" w:type="dxa"/>
            <w:vAlign w:val="bottom"/>
            <w:tcBorders>
              <w:right w:val="single" w:sz="8" w:color="29650B"/>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ind w:right="46"/>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Otherwise</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Inclusion of</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Last Day of</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 for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During Year</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During Year</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Forfeited During Year</w:t>
            </w:r>
          </w:p>
        </w:tc>
        <w:tc>
          <w:tcPr>
            <w:tcW w:w="120" w:type="dxa"/>
            <w:vAlign w:val="bottom"/>
            <w:tcBorders>
              <w:right w:val="single" w:sz="8" w:color="29650B"/>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ind w:right="26"/>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Included for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Equity Values</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Year for PEO</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PEO</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for PEO</w:t>
            </w:r>
          </w:p>
        </w:tc>
        <w:tc>
          <w:tcPr>
            <w:tcW w:w="1460" w:type="dxa"/>
            <w:vAlign w:val="bottom"/>
            <w:tcBorders>
              <w:right w:val="single" w:sz="8" w:color="auto"/>
            </w:tcBorders>
            <w:shd w:val="clear" w:color="auto" w:fill="29650B"/>
          </w:tcPr>
          <w:p>
            <w:pPr>
              <w:jc w:val="center"/>
              <w:ind w:right="5"/>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for PEO</w:t>
            </w:r>
          </w:p>
        </w:tc>
        <w:tc>
          <w:tcPr>
            <w:tcW w:w="200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for PEO</w:t>
            </w:r>
          </w:p>
        </w:tc>
        <w:tc>
          <w:tcPr>
            <w:tcW w:w="120" w:type="dxa"/>
            <w:vAlign w:val="bottom"/>
            <w:tcBorders>
              <w:right w:val="single" w:sz="8" w:color="29650B"/>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ind w:right="86"/>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PEO</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for PEO</w:t>
            </w:r>
          </w:p>
        </w:tc>
        <w:tc>
          <w:tcPr>
            <w:tcW w:w="0" w:type="dxa"/>
            <w:vAlign w:val="bottom"/>
          </w:tcPr>
          <w:p>
            <w:pPr>
              <w:spacing w:after="0"/>
              <w:rPr>
                <w:sz w:val="1"/>
                <w:szCs w:val="1"/>
                <w:color w:val="auto"/>
              </w:rPr>
            </w:pPr>
          </w:p>
        </w:tc>
      </w:tr>
      <w:tr>
        <w:trPr>
          <w:trHeight w:val="246"/>
        </w:trPr>
        <w:tc>
          <w:tcPr>
            <w:tcW w:w="640" w:type="dxa"/>
            <w:vAlign w:val="bottom"/>
            <w:tcBorders>
              <w:left w:val="single" w:sz="8" w:color="auto"/>
              <w:bottom w:val="single" w:sz="8" w:color="auto"/>
              <w:right w:val="single" w:sz="8" w:color="auto"/>
            </w:tcBorders>
            <w:shd w:val="clear" w:color="auto" w:fill="29650B"/>
          </w:tcPr>
          <w:p>
            <w:pPr>
              <w:spacing w:after="0"/>
              <w:rPr>
                <w:sz w:val="21"/>
                <w:szCs w:val="21"/>
                <w:color w:val="auto"/>
              </w:rPr>
            </w:pP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200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560" w:type="dxa"/>
            <w:vAlign w:val="bottom"/>
            <w:tcBorders>
              <w:bottom w:val="single" w:sz="8" w:color="auto"/>
              <w:right w:val="single" w:sz="8" w:color="auto"/>
            </w:tcBorders>
            <w:gridSpan w:val="2"/>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0" w:type="dxa"/>
            <w:vAlign w:val="bottom"/>
          </w:tcPr>
          <w:p>
            <w:pPr>
              <w:spacing w:after="0"/>
              <w:rPr>
                <w:sz w:val="1"/>
                <w:szCs w:val="1"/>
                <w:color w:val="auto"/>
              </w:rPr>
            </w:pPr>
          </w:p>
        </w:tc>
      </w:tr>
      <w:tr>
        <w:trPr>
          <w:trHeight w:val="209"/>
        </w:trPr>
        <w:tc>
          <w:tcPr>
            <w:tcW w:w="6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color w:val="auto"/>
              </w:rPr>
              <w:t>2025</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22,528,710</w:t>
            </w:r>
          </w:p>
        </w:tc>
        <w:tc>
          <w:tcPr>
            <w:tcW w:w="1340" w:type="dxa"/>
            <w:vAlign w:val="bottom"/>
            <w:tcBorders>
              <w:bottom w:val="single" w:sz="8" w:color="auto"/>
              <w:right w:val="single" w:sz="8" w:color="auto"/>
            </w:tcBorders>
          </w:tcPr>
          <w:p>
            <w:pPr>
              <w:jc w:val="right"/>
              <w:ind w:right="65"/>
              <w:spacing w:after="0" w:line="210" w:lineRule="exact"/>
              <w:rPr>
                <w:sz w:val="20"/>
                <w:szCs w:val="20"/>
                <w:color w:val="auto"/>
              </w:rPr>
            </w:pPr>
            <w:r>
              <w:rPr>
                <w:rFonts w:ascii="Times New Roman" w:cs="Times New Roman" w:eastAsia="Times New Roman" w:hAnsi="Times New Roman"/>
                <w:sz w:val="19"/>
                <w:szCs w:val="19"/>
                <w:color w:val="auto"/>
              </w:rPr>
              <w:t>13,601,682</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tcPr>
          <w:p>
            <w:pPr>
              <w:jc w:val="right"/>
              <w:ind w:right="306"/>
              <w:spacing w:after="0" w:line="210" w:lineRule="exact"/>
              <w:rPr>
                <w:sz w:val="20"/>
                <w:szCs w:val="20"/>
                <w:color w:val="auto"/>
              </w:rPr>
            </w:pPr>
            <w:r>
              <w:rPr>
                <w:rFonts w:ascii="Times New Roman" w:cs="Times New Roman" w:eastAsia="Times New Roman" w:hAnsi="Times New Roman"/>
                <w:sz w:val="19"/>
                <w:szCs w:val="19"/>
                <w:color w:val="auto"/>
              </w:rPr>
              <w:t>153,848</w:t>
            </w:r>
          </w:p>
        </w:tc>
        <w:tc>
          <w:tcPr>
            <w:tcW w:w="20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gridSpan w:val="2"/>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36,284,240</w:t>
            </w:r>
          </w:p>
        </w:tc>
        <w:tc>
          <w:tcPr>
            <w:tcW w:w="0" w:type="dxa"/>
            <w:vAlign w:val="bottom"/>
          </w:tcPr>
          <w:p>
            <w:pPr>
              <w:spacing w:after="0"/>
              <w:rPr>
                <w:sz w:val="1"/>
                <w:szCs w:val="1"/>
                <w:color w:val="auto"/>
              </w:rPr>
            </w:pPr>
          </w:p>
        </w:tc>
      </w:tr>
      <w:tr>
        <w:trPr>
          <w:trHeight w:val="209"/>
        </w:trPr>
        <w:tc>
          <w:tcPr>
            <w:tcW w:w="640" w:type="dxa"/>
            <w:vAlign w:val="bottom"/>
            <w:tcBorders>
              <w:left w:val="single" w:sz="8" w:color="auto"/>
              <w:bottom w:val="single" w:sz="8" w:color="auto"/>
              <w:right w:val="single" w:sz="8" w:color="auto"/>
            </w:tcBorders>
            <w:shd w:val="clear" w:color="auto" w:fill="D9D9D9"/>
          </w:tcPr>
          <w:p>
            <w:pPr>
              <w:ind w:left="120"/>
              <w:spacing w:after="0" w:line="210" w:lineRule="exact"/>
              <w:rPr>
                <w:sz w:val="20"/>
                <w:szCs w:val="20"/>
                <w:color w:val="auto"/>
              </w:rPr>
            </w:pPr>
            <w:r>
              <w:rPr>
                <w:rFonts w:ascii="Times New Roman" w:cs="Times New Roman" w:eastAsia="Times New Roman" w:hAnsi="Times New Roman"/>
                <w:sz w:val="19"/>
                <w:szCs w:val="19"/>
                <w:color w:val="auto"/>
              </w:rPr>
              <w:t>2024</w:t>
            </w:r>
          </w:p>
        </w:tc>
        <w:tc>
          <w:tcPr>
            <w:tcW w:w="156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7,918,848</w:t>
            </w:r>
          </w:p>
        </w:tc>
        <w:tc>
          <w:tcPr>
            <w:tcW w:w="1340" w:type="dxa"/>
            <w:vAlign w:val="bottom"/>
            <w:tcBorders>
              <w:bottom w:val="single" w:sz="8" w:color="auto"/>
              <w:right w:val="single" w:sz="8" w:color="auto"/>
            </w:tcBorders>
            <w:shd w:val="clear" w:color="auto" w:fill="D9D9D9"/>
          </w:tcPr>
          <w:p>
            <w:pPr>
              <w:jc w:val="right"/>
              <w:ind w:right="25"/>
              <w:spacing w:after="0" w:line="210" w:lineRule="exact"/>
              <w:rPr>
                <w:sz w:val="20"/>
                <w:szCs w:val="20"/>
                <w:color w:val="auto"/>
              </w:rPr>
            </w:pPr>
            <w:r>
              <w:rPr>
                <w:rFonts w:ascii="Times New Roman" w:cs="Times New Roman" w:eastAsia="Times New Roman" w:hAnsi="Times New Roman"/>
                <w:sz w:val="19"/>
                <w:szCs w:val="19"/>
                <w:color w:val="auto"/>
              </w:rPr>
              <w:t>(2,797,738)</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shd w:val="clear" w:color="auto" w:fill="D9D9D9"/>
          </w:tcPr>
          <w:p>
            <w:pPr>
              <w:jc w:val="right"/>
              <w:ind w:right="246"/>
              <w:spacing w:after="0" w:line="210" w:lineRule="exact"/>
              <w:rPr>
                <w:sz w:val="20"/>
                <w:szCs w:val="20"/>
                <w:color w:val="auto"/>
              </w:rPr>
            </w:pPr>
            <w:r>
              <w:rPr>
                <w:rFonts w:ascii="Times New Roman" w:cs="Times New Roman" w:eastAsia="Times New Roman" w:hAnsi="Times New Roman"/>
                <w:sz w:val="19"/>
                <w:szCs w:val="19"/>
                <w:color w:val="auto"/>
              </w:rPr>
              <w:t>(17,035)</w:t>
            </w:r>
          </w:p>
        </w:tc>
        <w:tc>
          <w:tcPr>
            <w:tcW w:w="200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gridSpan w:val="2"/>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shd w:val="clear" w:color="auto" w:fill="D9D9D9"/>
          </w:tcPr>
          <w:p>
            <w:pPr>
              <w:jc w:val="right"/>
              <w:ind w:right="146"/>
              <w:spacing w:after="0" w:line="210" w:lineRule="exact"/>
              <w:rPr>
                <w:sz w:val="20"/>
                <w:szCs w:val="20"/>
                <w:color w:val="auto"/>
              </w:rPr>
            </w:pPr>
            <w:r>
              <w:rPr>
                <w:rFonts w:ascii="Times New Roman" w:cs="Times New Roman" w:eastAsia="Times New Roman" w:hAnsi="Times New Roman"/>
                <w:sz w:val="19"/>
                <w:szCs w:val="19"/>
                <w:color w:val="auto"/>
              </w:rPr>
              <w:t>5,104,075</w:t>
            </w:r>
          </w:p>
        </w:tc>
        <w:tc>
          <w:tcPr>
            <w:tcW w:w="0" w:type="dxa"/>
            <w:vAlign w:val="bottom"/>
          </w:tcPr>
          <w:p>
            <w:pPr>
              <w:spacing w:after="0"/>
              <w:rPr>
                <w:sz w:val="1"/>
                <w:szCs w:val="1"/>
                <w:color w:val="auto"/>
              </w:rPr>
            </w:pPr>
          </w:p>
        </w:tc>
      </w:tr>
      <w:tr>
        <w:trPr>
          <w:trHeight w:val="210"/>
        </w:trPr>
        <w:tc>
          <w:tcPr>
            <w:tcW w:w="6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color w:val="auto"/>
              </w:rPr>
              <w:t>2023</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8,978,564</w:t>
            </w:r>
          </w:p>
        </w:tc>
        <w:tc>
          <w:tcPr>
            <w:tcW w:w="1340" w:type="dxa"/>
            <w:vAlign w:val="bottom"/>
            <w:tcBorders>
              <w:bottom w:val="single" w:sz="8" w:color="auto"/>
              <w:right w:val="single" w:sz="8" w:color="auto"/>
            </w:tcBorders>
          </w:tcPr>
          <w:p>
            <w:pPr>
              <w:jc w:val="right"/>
              <w:ind w:right="25"/>
              <w:spacing w:after="0" w:line="210" w:lineRule="exact"/>
              <w:rPr>
                <w:sz w:val="20"/>
                <w:szCs w:val="20"/>
                <w:color w:val="auto"/>
              </w:rPr>
            </w:pPr>
            <w:r>
              <w:rPr>
                <w:rFonts w:ascii="Times New Roman" w:cs="Times New Roman" w:eastAsia="Times New Roman" w:hAnsi="Times New Roman"/>
                <w:sz w:val="19"/>
                <w:szCs w:val="19"/>
                <w:color w:val="auto"/>
              </w:rPr>
              <w:t>(234,701)</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7"/>
              </w:rPr>
              <w:t>2,679,922</w:t>
            </w:r>
          </w:p>
        </w:tc>
        <w:tc>
          <w:tcPr>
            <w:tcW w:w="20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gridSpan w:val="2"/>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8"/>
              </w:rPr>
              <w:t>11,423,785</w:t>
            </w:r>
          </w:p>
        </w:tc>
        <w:tc>
          <w:tcPr>
            <w:tcW w:w="0" w:type="dxa"/>
            <w:vAlign w:val="bottom"/>
          </w:tcPr>
          <w:p>
            <w:pPr>
              <w:spacing w:after="0"/>
              <w:rPr>
                <w:sz w:val="1"/>
                <w:szCs w:val="1"/>
                <w:color w:val="auto"/>
              </w:rPr>
            </w:pPr>
          </w:p>
        </w:tc>
      </w:tr>
      <w:tr>
        <w:trPr>
          <w:trHeight w:val="209"/>
        </w:trPr>
        <w:tc>
          <w:tcPr>
            <w:tcW w:w="640" w:type="dxa"/>
            <w:vAlign w:val="bottom"/>
            <w:tcBorders>
              <w:left w:val="single" w:sz="8" w:color="auto"/>
              <w:bottom w:val="single" w:sz="8" w:color="auto"/>
              <w:right w:val="single" w:sz="8" w:color="auto"/>
            </w:tcBorders>
            <w:shd w:val="clear" w:color="auto" w:fill="D9D9D9"/>
          </w:tcPr>
          <w:p>
            <w:pPr>
              <w:ind w:left="120"/>
              <w:spacing w:after="0" w:line="210" w:lineRule="exact"/>
              <w:rPr>
                <w:sz w:val="20"/>
                <w:szCs w:val="20"/>
                <w:color w:val="auto"/>
              </w:rPr>
            </w:pPr>
            <w:r>
              <w:rPr>
                <w:rFonts w:ascii="Times New Roman" w:cs="Times New Roman" w:eastAsia="Times New Roman" w:hAnsi="Times New Roman"/>
                <w:sz w:val="19"/>
                <w:szCs w:val="19"/>
                <w:color w:val="auto"/>
              </w:rPr>
              <w:t>2022</w:t>
            </w:r>
          </w:p>
        </w:tc>
        <w:tc>
          <w:tcPr>
            <w:tcW w:w="156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3,979,926</w:t>
            </w:r>
          </w:p>
        </w:tc>
        <w:tc>
          <w:tcPr>
            <w:tcW w:w="1340" w:type="dxa"/>
            <w:vAlign w:val="bottom"/>
            <w:tcBorders>
              <w:bottom w:val="single" w:sz="8" w:color="auto"/>
              <w:right w:val="single" w:sz="8" w:color="auto"/>
            </w:tcBorders>
            <w:shd w:val="clear" w:color="auto" w:fill="D9D9D9"/>
          </w:tcPr>
          <w:p>
            <w:pPr>
              <w:jc w:val="right"/>
              <w:ind w:right="25"/>
              <w:spacing w:after="0" w:line="210" w:lineRule="exact"/>
              <w:rPr>
                <w:sz w:val="20"/>
                <w:szCs w:val="20"/>
                <w:color w:val="auto"/>
              </w:rPr>
            </w:pPr>
            <w:r>
              <w:rPr>
                <w:rFonts w:ascii="Times New Roman" w:cs="Times New Roman" w:eastAsia="Times New Roman" w:hAnsi="Times New Roman"/>
                <w:sz w:val="19"/>
                <w:szCs w:val="19"/>
                <w:color w:val="auto"/>
              </w:rPr>
              <w:t>(13,395,521)</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shd w:val="clear" w:color="auto" w:fill="D9D9D9"/>
          </w:tcPr>
          <w:p>
            <w:pPr>
              <w:jc w:val="right"/>
              <w:ind w:right="246"/>
              <w:spacing w:after="0" w:line="210" w:lineRule="exact"/>
              <w:rPr>
                <w:sz w:val="20"/>
                <w:szCs w:val="20"/>
                <w:color w:val="auto"/>
              </w:rPr>
            </w:pPr>
            <w:r>
              <w:rPr>
                <w:rFonts w:ascii="Times New Roman" w:cs="Times New Roman" w:eastAsia="Times New Roman" w:hAnsi="Times New Roman"/>
                <w:sz w:val="19"/>
                <w:szCs w:val="19"/>
                <w:color w:val="auto"/>
              </w:rPr>
              <w:t>(194,453)</w:t>
            </w:r>
          </w:p>
        </w:tc>
        <w:tc>
          <w:tcPr>
            <w:tcW w:w="200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gridSpan w:val="2"/>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shd w:val="clear" w:color="auto" w:fill="D9D9D9"/>
          </w:tcPr>
          <w:p>
            <w:pPr>
              <w:jc w:val="right"/>
              <w:ind w:right="126"/>
              <w:spacing w:after="0" w:line="210" w:lineRule="exact"/>
              <w:rPr>
                <w:sz w:val="20"/>
                <w:szCs w:val="20"/>
                <w:color w:val="auto"/>
              </w:rPr>
            </w:pPr>
            <w:r>
              <w:rPr>
                <w:rFonts w:ascii="Times New Roman" w:cs="Times New Roman" w:eastAsia="Times New Roman" w:hAnsi="Times New Roman"/>
                <w:sz w:val="19"/>
                <w:szCs w:val="19"/>
                <w:color w:val="auto"/>
              </w:rPr>
              <w:t>(9,610,048)</w:t>
            </w:r>
          </w:p>
        </w:tc>
        <w:tc>
          <w:tcPr>
            <w:tcW w:w="0" w:type="dxa"/>
            <w:vAlign w:val="bottom"/>
          </w:tcPr>
          <w:p>
            <w:pPr>
              <w:spacing w:after="0"/>
              <w:rPr>
                <w:sz w:val="1"/>
                <w:szCs w:val="1"/>
                <w:color w:val="auto"/>
              </w:rPr>
            </w:pPr>
          </w:p>
        </w:tc>
      </w:tr>
      <w:tr>
        <w:trPr>
          <w:trHeight w:val="209"/>
        </w:trPr>
        <w:tc>
          <w:tcPr>
            <w:tcW w:w="6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color w:val="auto"/>
              </w:rPr>
              <w:t>2021</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9,948,725</w:t>
            </w:r>
          </w:p>
        </w:tc>
        <w:tc>
          <w:tcPr>
            <w:tcW w:w="1340" w:type="dxa"/>
            <w:vAlign w:val="bottom"/>
            <w:tcBorders>
              <w:bottom w:val="single" w:sz="8" w:color="auto"/>
              <w:right w:val="single" w:sz="8" w:color="auto"/>
            </w:tcBorders>
          </w:tcPr>
          <w:p>
            <w:pPr>
              <w:jc w:val="right"/>
              <w:ind w:right="25"/>
              <w:spacing w:after="0" w:line="210" w:lineRule="exact"/>
              <w:rPr>
                <w:sz w:val="20"/>
                <w:szCs w:val="20"/>
                <w:color w:val="auto"/>
              </w:rPr>
            </w:pPr>
            <w:r>
              <w:rPr>
                <w:rFonts w:ascii="Times New Roman" w:cs="Times New Roman" w:eastAsia="Times New Roman" w:hAnsi="Times New Roman"/>
                <w:sz w:val="19"/>
                <w:szCs w:val="19"/>
                <w:color w:val="auto"/>
              </w:rPr>
              <w:t>(1,591,678)</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tcPr>
          <w:p>
            <w:pPr>
              <w:jc w:val="right"/>
              <w:ind w:right="246"/>
              <w:spacing w:after="0" w:line="210" w:lineRule="exact"/>
              <w:rPr>
                <w:sz w:val="20"/>
                <w:szCs w:val="20"/>
                <w:color w:val="auto"/>
              </w:rPr>
            </w:pPr>
            <w:r>
              <w:rPr>
                <w:rFonts w:ascii="Times New Roman" w:cs="Times New Roman" w:eastAsia="Times New Roman" w:hAnsi="Times New Roman"/>
                <w:sz w:val="19"/>
                <w:szCs w:val="19"/>
                <w:color w:val="auto"/>
              </w:rPr>
              <w:t>(28,132)</w:t>
            </w:r>
          </w:p>
        </w:tc>
        <w:tc>
          <w:tcPr>
            <w:tcW w:w="200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560" w:type="dxa"/>
            <w:vAlign w:val="bottom"/>
            <w:tcBorders>
              <w:bottom w:val="single" w:sz="8" w:color="auto"/>
              <w:right w:val="single" w:sz="8" w:color="auto"/>
            </w:tcBorders>
            <w:gridSpan w:val="2"/>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tcPr>
          <w:p>
            <w:pPr>
              <w:jc w:val="right"/>
              <w:ind w:right="186"/>
              <w:spacing w:after="0" w:line="210" w:lineRule="exact"/>
              <w:rPr>
                <w:sz w:val="20"/>
                <w:szCs w:val="20"/>
                <w:color w:val="auto"/>
              </w:rPr>
            </w:pPr>
            <w:r>
              <w:rPr>
                <w:rFonts w:ascii="Times New Roman" w:cs="Times New Roman" w:eastAsia="Times New Roman" w:hAnsi="Times New Roman"/>
                <w:sz w:val="19"/>
                <w:szCs w:val="19"/>
                <w:color w:val="auto"/>
              </w:rPr>
              <w:t>8,328,915</w:t>
            </w:r>
          </w:p>
        </w:tc>
        <w:tc>
          <w:tcPr>
            <w:tcW w:w="0" w:type="dxa"/>
            <w:vAlign w:val="bottom"/>
          </w:tcPr>
          <w:p>
            <w:pPr>
              <w:spacing w:after="0"/>
              <w:rPr>
                <w:sz w:val="1"/>
                <w:szCs w:val="1"/>
                <w:color w:val="auto"/>
              </w:rPr>
            </w:pPr>
          </w:p>
        </w:tc>
      </w:tr>
      <w:tr>
        <w:trPr>
          <w:trHeight w:val="210"/>
        </w:trPr>
        <w:tc>
          <w:tcPr>
            <w:tcW w:w="6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503"/>
        </w:trPr>
        <w:tc>
          <w:tcPr>
            <w:tcW w:w="640" w:type="dxa"/>
            <w:vAlign w:val="bottom"/>
            <w:tcBorders>
              <w:left w:val="single" w:sz="8" w:color="auto"/>
              <w:right w:val="single" w:sz="8" w:color="auto"/>
            </w:tcBorders>
            <w:shd w:val="clear" w:color="auto" w:fill="29650B"/>
          </w:tcPr>
          <w:p>
            <w:pPr>
              <w:spacing w:after="0"/>
              <w:rPr>
                <w:sz w:val="24"/>
                <w:szCs w:val="24"/>
                <w:color w:val="auto"/>
              </w:rPr>
            </w:pPr>
          </w:p>
        </w:tc>
        <w:tc>
          <w:tcPr>
            <w:tcW w:w="1560" w:type="dxa"/>
            <w:vAlign w:val="bottom"/>
            <w:tcBorders>
              <w:right w:val="single" w:sz="8" w:color="auto"/>
            </w:tcBorders>
            <w:shd w:val="clear" w:color="auto" w:fill="29650B"/>
          </w:tcPr>
          <w:p>
            <w:pPr>
              <w:spacing w:after="0"/>
              <w:rPr>
                <w:sz w:val="24"/>
                <w:szCs w:val="24"/>
                <w:color w:val="auto"/>
              </w:rPr>
            </w:pPr>
          </w:p>
        </w:tc>
        <w:tc>
          <w:tcPr>
            <w:tcW w:w="134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7"/>
              </w:rPr>
              <w:t>Average</w:t>
            </w:r>
          </w:p>
        </w:tc>
        <w:tc>
          <w:tcPr>
            <w:tcW w:w="1340" w:type="dxa"/>
            <w:vAlign w:val="bottom"/>
            <w:tcBorders>
              <w:right w:val="single" w:sz="8" w:color="auto"/>
            </w:tcBorders>
            <w:shd w:val="clear" w:color="auto" w:fill="29650B"/>
          </w:tcPr>
          <w:p>
            <w:pPr>
              <w:spacing w:after="0"/>
              <w:rPr>
                <w:sz w:val="24"/>
                <w:szCs w:val="24"/>
                <w:color w:val="auto"/>
              </w:rPr>
            </w:pPr>
          </w:p>
        </w:tc>
        <w:tc>
          <w:tcPr>
            <w:tcW w:w="1460" w:type="dxa"/>
            <w:vAlign w:val="bottom"/>
            <w:tcBorders>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7"/>
              </w:rPr>
              <w:t>Average</w:t>
            </w:r>
          </w:p>
        </w:tc>
        <w:tc>
          <w:tcPr>
            <w:tcW w:w="2000" w:type="dxa"/>
            <w:vAlign w:val="bottom"/>
            <w:tcBorders>
              <w:right w:val="single" w:sz="8" w:color="29650B"/>
            </w:tcBorders>
            <w:shd w:val="clear" w:color="auto" w:fill="29650B"/>
          </w:tcPr>
          <w:p>
            <w:pPr>
              <w:spacing w:after="0"/>
              <w:rPr>
                <w:sz w:val="24"/>
                <w:szCs w:val="24"/>
                <w:color w:val="auto"/>
              </w:rPr>
            </w:pPr>
          </w:p>
        </w:tc>
        <w:tc>
          <w:tcPr>
            <w:tcW w:w="120" w:type="dxa"/>
            <w:vAlign w:val="bottom"/>
            <w:tcBorders>
              <w:right w:val="single" w:sz="8" w:color="auto"/>
            </w:tcBorders>
            <w:shd w:val="clear" w:color="auto" w:fill="29650B"/>
          </w:tcPr>
          <w:p>
            <w:pPr>
              <w:spacing w:after="0"/>
              <w:rPr>
                <w:sz w:val="24"/>
                <w:szCs w:val="24"/>
                <w:color w:val="auto"/>
              </w:rPr>
            </w:pPr>
          </w:p>
        </w:tc>
        <w:tc>
          <w:tcPr>
            <w:tcW w:w="1440" w:type="dxa"/>
            <w:vAlign w:val="bottom"/>
            <w:tcBorders>
              <w:right w:val="single" w:sz="8" w:color="auto"/>
            </w:tcBorders>
            <w:shd w:val="clear" w:color="auto" w:fill="29650B"/>
          </w:tcPr>
          <w:p>
            <w:pPr>
              <w:spacing w:after="0"/>
              <w:rPr>
                <w:sz w:val="24"/>
                <w:szCs w:val="24"/>
                <w:color w:val="auto"/>
              </w:rPr>
            </w:pPr>
          </w:p>
        </w:tc>
        <w:tc>
          <w:tcPr>
            <w:tcW w:w="1340" w:type="dxa"/>
            <w:vAlign w:val="bottom"/>
            <w:tcBorders>
              <w:right w:val="single" w:sz="8" w:color="auto"/>
            </w:tcBorders>
            <w:shd w:val="clear" w:color="auto" w:fill="29650B"/>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Change in</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Average</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Change in Fair</w:t>
            </w:r>
          </w:p>
        </w:tc>
        <w:tc>
          <w:tcPr>
            <w:tcW w:w="2000" w:type="dxa"/>
            <w:vAlign w:val="bottom"/>
            <w:tcBorders>
              <w:right w:val="single" w:sz="8" w:color="29650B"/>
            </w:tcBorders>
            <w:shd w:val="clear" w:color="auto" w:fill="29650B"/>
          </w:tcPr>
          <w:p>
            <w:pPr>
              <w:spacing w:after="0"/>
              <w:rPr>
                <w:sz w:val="18"/>
                <w:szCs w:val="18"/>
                <w:color w:val="auto"/>
              </w:rPr>
            </w:pPr>
          </w:p>
        </w:tc>
        <w:tc>
          <w:tcPr>
            <w:tcW w:w="12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spacing w:after="0"/>
              <w:rPr>
                <w:sz w:val="18"/>
                <w:szCs w:val="18"/>
                <w:color w:val="auto"/>
              </w:rPr>
            </w:pP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Average Year-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Fair Value</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Vesting-Date</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Value from</w:t>
            </w:r>
          </w:p>
        </w:tc>
        <w:tc>
          <w:tcPr>
            <w:tcW w:w="2000" w:type="dxa"/>
            <w:vAlign w:val="bottom"/>
            <w:tcBorders>
              <w:right w:val="single" w:sz="8" w:color="29650B"/>
            </w:tcBorders>
            <w:shd w:val="clear" w:color="auto" w:fill="29650B"/>
          </w:tcPr>
          <w:p>
            <w:pPr>
              <w:spacing w:after="0"/>
              <w:rPr>
                <w:sz w:val="18"/>
                <w:szCs w:val="18"/>
                <w:color w:val="auto"/>
              </w:rPr>
            </w:pPr>
          </w:p>
        </w:tc>
        <w:tc>
          <w:tcPr>
            <w:tcW w:w="12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6"/>
              </w:rPr>
              <w:t>Average Value</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End Fair Value</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from Last</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Fair Value of</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Last Day of</w:t>
            </w:r>
          </w:p>
        </w:tc>
        <w:tc>
          <w:tcPr>
            <w:tcW w:w="2000" w:type="dxa"/>
            <w:vAlign w:val="bottom"/>
            <w:tcBorders>
              <w:right w:val="single" w:sz="8" w:color="29650B"/>
            </w:tcBorders>
            <w:shd w:val="clear" w:color="auto" w:fill="29650B"/>
          </w:tcPr>
          <w:p>
            <w:pPr>
              <w:spacing w:after="0"/>
              <w:rPr>
                <w:sz w:val="18"/>
                <w:szCs w:val="18"/>
                <w:color w:val="auto"/>
              </w:rPr>
            </w:pPr>
          </w:p>
        </w:tc>
        <w:tc>
          <w:tcPr>
            <w:tcW w:w="12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of Dividends or</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of Equity</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Day of Prior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Equity</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Prior Year to</w:t>
            </w:r>
          </w:p>
        </w:tc>
        <w:tc>
          <w:tcPr>
            <w:tcW w:w="2000" w:type="dxa"/>
            <w:vAlign w:val="bottom"/>
            <w:tcBorders>
              <w:right w:val="single" w:sz="8" w:color="29650B"/>
            </w:tcBorders>
            <w:shd w:val="clear" w:color="auto" w:fill="29650B"/>
          </w:tcPr>
          <w:p>
            <w:pPr>
              <w:spacing w:after="0"/>
              <w:rPr>
                <w:sz w:val="18"/>
                <w:szCs w:val="18"/>
                <w:color w:val="auto"/>
              </w:rPr>
            </w:pPr>
          </w:p>
        </w:tc>
        <w:tc>
          <w:tcPr>
            <w:tcW w:w="12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Other</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vMerge w:val="restart"/>
            <w:shd w:val="clear" w:color="auto" w:fill="29650B"/>
          </w:tcPr>
          <w:p>
            <w:pPr>
              <w:ind w:left="120"/>
              <w:spacing w:after="0"/>
              <w:rPr>
                <w:sz w:val="20"/>
                <w:szCs w:val="20"/>
                <w:color w:val="auto"/>
              </w:rPr>
            </w:pPr>
            <w:r>
              <w:rPr>
                <w:rFonts w:ascii="Times New Roman" w:cs="Times New Roman" w:eastAsia="Times New Roman" w:hAnsi="Times New Roman"/>
                <w:sz w:val="19"/>
                <w:szCs w:val="19"/>
                <w:b w:val="1"/>
                <w:bCs w:val="1"/>
                <w:color w:val="FFFFFF"/>
              </w:rPr>
              <w:t>Year</w:t>
            </w: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 Granted</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Year to Last</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Vesting Date of</w:t>
            </w:r>
          </w:p>
        </w:tc>
        <w:tc>
          <w:tcPr>
            <w:tcW w:w="2000" w:type="dxa"/>
            <w:vAlign w:val="bottom"/>
            <w:tcBorders>
              <w:right w:val="single" w:sz="8" w:color="29650B"/>
            </w:tcBorders>
            <w:shd w:val="clear" w:color="auto" w:fill="29650B"/>
          </w:tcPr>
          <w:p>
            <w:pPr>
              <w:spacing w:after="0"/>
              <w:rPr>
                <w:sz w:val="18"/>
                <w:szCs w:val="18"/>
                <w:color w:val="auto"/>
              </w:rPr>
            </w:pPr>
          </w:p>
        </w:tc>
        <w:tc>
          <w:tcPr>
            <w:tcW w:w="12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Earnings Paid</w:t>
            </w:r>
          </w:p>
        </w:tc>
        <w:tc>
          <w:tcPr>
            <w:tcW w:w="1340" w:type="dxa"/>
            <w:vAlign w:val="bottom"/>
            <w:tcBorders>
              <w:right w:val="single" w:sz="8" w:color="auto"/>
            </w:tcBorders>
            <w:shd w:val="clear" w:color="auto" w:fill="29650B"/>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vMerge w:val="continue"/>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During Year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Day of Year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Granted</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Unvested</w:t>
            </w:r>
          </w:p>
        </w:tc>
        <w:tc>
          <w:tcPr>
            <w:tcW w:w="2000" w:type="dxa"/>
            <w:vAlign w:val="bottom"/>
            <w:tcBorders>
              <w:right w:val="single" w:sz="8" w:color="29650B"/>
            </w:tcBorders>
            <w:shd w:val="clear" w:color="auto" w:fill="29650B"/>
          </w:tcPr>
          <w:p>
            <w:pPr>
              <w:spacing w:after="0"/>
              <w:rPr>
                <w:sz w:val="18"/>
                <w:szCs w:val="18"/>
                <w:color w:val="auto"/>
              </w:rPr>
            </w:pPr>
          </w:p>
        </w:tc>
        <w:tc>
          <w:tcPr>
            <w:tcW w:w="12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on Equity</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5"/>
              </w:rPr>
              <w:t>Total -</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That Remained</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of Unvested</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During Year</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Equity Awards</w:t>
            </w:r>
          </w:p>
        </w:tc>
        <w:tc>
          <w:tcPr>
            <w:tcW w:w="2000" w:type="dxa"/>
            <w:vAlign w:val="bottom"/>
            <w:tcBorders>
              <w:right w:val="single" w:sz="8" w:color="29650B"/>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Average Fair Value at</w:t>
            </w:r>
          </w:p>
        </w:tc>
        <w:tc>
          <w:tcPr>
            <w:tcW w:w="12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Awards Not</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Average</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Unvested as of</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Equity</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that Vested</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that Vested</w:t>
            </w:r>
          </w:p>
        </w:tc>
        <w:tc>
          <w:tcPr>
            <w:tcW w:w="2000" w:type="dxa"/>
            <w:vAlign w:val="bottom"/>
            <w:tcBorders>
              <w:right w:val="single" w:sz="8" w:color="29650B"/>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Last Day of Prior Year</w:t>
            </w:r>
          </w:p>
        </w:tc>
        <w:tc>
          <w:tcPr>
            <w:tcW w:w="12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Otherwise</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Inclusion of</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Last Day of</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Awards for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During Year</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During Year</w:t>
            </w:r>
          </w:p>
        </w:tc>
        <w:tc>
          <w:tcPr>
            <w:tcW w:w="2000" w:type="dxa"/>
            <w:vAlign w:val="bottom"/>
            <w:tcBorders>
              <w:right w:val="single" w:sz="8" w:color="29650B"/>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of Equity Awards</w:t>
            </w:r>
          </w:p>
        </w:tc>
        <w:tc>
          <w:tcPr>
            <w:tcW w:w="12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Included for</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Equity Values</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Year for Non-</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Non-PEO</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for Non-PEO</w:t>
            </w:r>
          </w:p>
        </w:tc>
        <w:tc>
          <w:tcPr>
            <w:tcW w:w="14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7"/>
              </w:rPr>
              <w:t>for Non-PEO</w:t>
            </w:r>
          </w:p>
        </w:tc>
        <w:tc>
          <w:tcPr>
            <w:tcW w:w="2000" w:type="dxa"/>
            <w:vAlign w:val="bottom"/>
            <w:tcBorders>
              <w:right w:val="single" w:sz="8" w:color="29650B"/>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Forfeited During Year</w:t>
            </w:r>
          </w:p>
        </w:tc>
        <w:tc>
          <w:tcPr>
            <w:tcW w:w="12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Non-PEO</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for Non-PEO</w:t>
            </w:r>
          </w:p>
        </w:tc>
        <w:tc>
          <w:tcPr>
            <w:tcW w:w="0" w:type="dxa"/>
            <w:vAlign w:val="bottom"/>
          </w:tcPr>
          <w:p>
            <w:pPr>
              <w:spacing w:after="0"/>
              <w:rPr>
                <w:sz w:val="1"/>
                <w:szCs w:val="1"/>
                <w:color w:val="auto"/>
              </w:rPr>
            </w:pPr>
          </w:p>
        </w:tc>
      </w:tr>
      <w:tr>
        <w:trPr>
          <w:trHeight w:val="216"/>
        </w:trPr>
        <w:tc>
          <w:tcPr>
            <w:tcW w:w="640" w:type="dxa"/>
            <w:vAlign w:val="bottom"/>
            <w:tcBorders>
              <w:left w:val="single" w:sz="8" w:color="auto"/>
              <w:right w:val="single" w:sz="8" w:color="auto"/>
            </w:tcBorders>
            <w:shd w:val="clear" w:color="auto" w:fill="29650B"/>
          </w:tcPr>
          <w:p>
            <w:pPr>
              <w:spacing w:after="0"/>
              <w:rPr>
                <w:sz w:val="18"/>
                <w:szCs w:val="18"/>
                <w:color w:val="auto"/>
              </w:rPr>
            </w:pPr>
          </w:p>
        </w:tc>
        <w:tc>
          <w:tcPr>
            <w:tcW w:w="156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PEO NEOs</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NEOs</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rPr>
              <w:t>NEOs</w:t>
            </w:r>
          </w:p>
        </w:tc>
        <w:tc>
          <w:tcPr>
            <w:tcW w:w="1460" w:type="dxa"/>
            <w:vAlign w:val="bottom"/>
            <w:tcBorders>
              <w:right w:val="single" w:sz="8" w:color="auto"/>
            </w:tcBorders>
            <w:shd w:val="clear" w:color="auto" w:fill="29650B"/>
          </w:tcPr>
          <w:p>
            <w:pPr>
              <w:jc w:val="center"/>
              <w:ind w:right="5"/>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NEOs</w:t>
            </w:r>
          </w:p>
        </w:tc>
        <w:tc>
          <w:tcPr>
            <w:tcW w:w="2000" w:type="dxa"/>
            <w:vAlign w:val="bottom"/>
            <w:tcBorders>
              <w:right w:val="single" w:sz="8" w:color="29650B"/>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9"/>
              </w:rPr>
              <w:t>for Non-PEO NEOs</w:t>
            </w:r>
          </w:p>
        </w:tc>
        <w:tc>
          <w:tcPr>
            <w:tcW w:w="120" w:type="dxa"/>
            <w:vAlign w:val="bottom"/>
            <w:tcBorders>
              <w:right w:val="single" w:sz="8" w:color="auto"/>
            </w:tcBorders>
            <w:shd w:val="clear" w:color="auto" w:fill="29650B"/>
          </w:tcPr>
          <w:p>
            <w:pPr>
              <w:spacing w:after="0"/>
              <w:rPr>
                <w:sz w:val="18"/>
                <w:szCs w:val="18"/>
                <w:color w:val="auto"/>
              </w:rPr>
            </w:pPr>
          </w:p>
        </w:tc>
        <w:tc>
          <w:tcPr>
            <w:tcW w:w="14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NEOs</w:t>
            </w:r>
          </w:p>
        </w:tc>
        <w:tc>
          <w:tcPr>
            <w:tcW w:w="1340" w:type="dxa"/>
            <w:vAlign w:val="bottom"/>
            <w:tcBorders>
              <w:right w:val="single" w:sz="8" w:color="auto"/>
            </w:tcBorders>
            <w:shd w:val="clear" w:color="auto" w:fill="29650B"/>
          </w:tcPr>
          <w:p>
            <w:pPr>
              <w:jc w:val="center"/>
              <w:spacing w:after="0" w:line="216" w:lineRule="exact"/>
              <w:rPr>
                <w:sz w:val="20"/>
                <w:szCs w:val="20"/>
                <w:color w:val="auto"/>
              </w:rPr>
            </w:pPr>
            <w:r>
              <w:rPr>
                <w:rFonts w:ascii="Times New Roman" w:cs="Times New Roman" w:eastAsia="Times New Roman" w:hAnsi="Times New Roman"/>
                <w:sz w:val="19"/>
                <w:szCs w:val="19"/>
                <w:b w:val="1"/>
                <w:bCs w:val="1"/>
                <w:color w:val="FFFFFF"/>
                <w:w w:val="98"/>
              </w:rPr>
              <w:t>NEOs</w:t>
            </w:r>
          </w:p>
        </w:tc>
        <w:tc>
          <w:tcPr>
            <w:tcW w:w="0" w:type="dxa"/>
            <w:vAlign w:val="bottom"/>
          </w:tcPr>
          <w:p>
            <w:pPr>
              <w:spacing w:after="0"/>
              <w:rPr>
                <w:sz w:val="1"/>
                <w:szCs w:val="1"/>
                <w:color w:val="auto"/>
              </w:rPr>
            </w:pPr>
          </w:p>
        </w:tc>
      </w:tr>
      <w:tr>
        <w:trPr>
          <w:trHeight w:val="246"/>
        </w:trPr>
        <w:tc>
          <w:tcPr>
            <w:tcW w:w="640" w:type="dxa"/>
            <w:vAlign w:val="bottom"/>
            <w:tcBorders>
              <w:left w:val="single" w:sz="8" w:color="auto"/>
              <w:bottom w:val="single" w:sz="8" w:color="auto"/>
              <w:right w:val="single" w:sz="8" w:color="auto"/>
            </w:tcBorders>
            <w:shd w:val="clear" w:color="auto" w:fill="29650B"/>
          </w:tcPr>
          <w:p>
            <w:pPr>
              <w:spacing w:after="0"/>
              <w:rPr>
                <w:sz w:val="21"/>
                <w:szCs w:val="21"/>
                <w:color w:val="auto"/>
              </w:rPr>
            </w:pPr>
          </w:p>
        </w:tc>
        <w:tc>
          <w:tcPr>
            <w:tcW w:w="15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46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2000" w:type="dxa"/>
            <w:vAlign w:val="bottom"/>
            <w:tcBorders>
              <w:bottom w:val="single" w:sz="8" w:color="auto"/>
              <w:right w:val="single" w:sz="8" w:color="29650B"/>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20" w:type="dxa"/>
            <w:vAlign w:val="bottom"/>
            <w:tcBorders>
              <w:bottom w:val="single" w:sz="8" w:color="auto"/>
              <w:right w:val="single" w:sz="8" w:color="auto"/>
            </w:tcBorders>
            <w:shd w:val="clear" w:color="auto" w:fill="29650B"/>
          </w:tcPr>
          <w:p>
            <w:pPr>
              <w:spacing w:after="0"/>
              <w:rPr>
                <w:sz w:val="21"/>
                <w:szCs w:val="21"/>
                <w:color w:val="auto"/>
              </w:rPr>
            </w:pPr>
          </w:p>
        </w:tc>
        <w:tc>
          <w:tcPr>
            <w:tcW w:w="14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1340" w:type="dxa"/>
            <w:vAlign w:val="bottom"/>
            <w:tcBorders>
              <w:bottom w:val="single" w:sz="8" w:color="auto"/>
              <w:right w:val="single" w:sz="8" w:color="auto"/>
            </w:tcBorders>
            <w:shd w:val="clear" w:color="auto" w:fill="29650B"/>
          </w:tcPr>
          <w:p>
            <w:pPr>
              <w:jc w:val="center"/>
              <w:spacing w:after="0"/>
              <w:rPr>
                <w:sz w:val="20"/>
                <w:szCs w:val="20"/>
                <w:color w:val="auto"/>
              </w:rPr>
            </w:pPr>
            <w:r>
              <w:rPr>
                <w:rFonts w:ascii="Times New Roman" w:cs="Times New Roman" w:eastAsia="Times New Roman" w:hAnsi="Times New Roman"/>
                <w:sz w:val="19"/>
                <w:szCs w:val="19"/>
                <w:b w:val="1"/>
                <w:bCs w:val="1"/>
                <w:color w:val="FFFFFF"/>
                <w:w w:val="99"/>
              </w:rPr>
              <w:t>($)</w:t>
            </w:r>
          </w:p>
        </w:tc>
        <w:tc>
          <w:tcPr>
            <w:tcW w:w="0" w:type="dxa"/>
            <w:vAlign w:val="bottom"/>
          </w:tcPr>
          <w:p>
            <w:pPr>
              <w:spacing w:after="0"/>
              <w:rPr>
                <w:sz w:val="1"/>
                <w:szCs w:val="1"/>
                <w:color w:val="auto"/>
              </w:rPr>
            </w:pPr>
          </w:p>
        </w:tc>
      </w:tr>
      <w:tr>
        <w:trPr>
          <w:trHeight w:val="210"/>
        </w:trPr>
        <w:tc>
          <w:tcPr>
            <w:tcW w:w="6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color w:val="auto"/>
              </w:rPr>
              <w:t>2025</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5,414,520</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2,849,936</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17,721</w:t>
            </w:r>
          </w:p>
        </w:tc>
        <w:tc>
          <w:tcPr>
            <w:tcW w:w="2000" w:type="dxa"/>
            <w:vAlign w:val="bottom"/>
            <w:tcBorders>
              <w:bottom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83"/>
              </w:rPr>
              <w:t>0</w:t>
            </w:r>
          </w:p>
        </w:tc>
        <w:tc>
          <w:tcPr>
            <w:tcW w:w="1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8,282,177</w:t>
            </w:r>
          </w:p>
        </w:tc>
        <w:tc>
          <w:tcPr>
            <w:tcW w:w="0" w:type="dxa"/>
            <w:vAlign w:val="bottom"/>
          </w:tcPr>
          <w:p>
            <w:pPr>
              <w:spacing w:after="0"/>
              <w:rPr>
                <w:sz w:val="1"/>
                <w:szCs w:val="1"/>
                <w:color w:val="auto"/>
              </w:rPr>
            </w:pPr>
          </w:p>
        </w:tc>
      </w:tr>
      <w:tr>
        <w:trPr>
          <w:trHeight w:val="210"/>
        </w:trPr>
        <w:tc>
          <w:tcPr>
            <w:tcW w:w="640" w:type="dxa"/>
            <w:vAlign w:val="bottom"/>
            <w:tcBorders>
              <w:left w:val="single" w:sz="8" w:color="auto"/>
              <w:bottom w:val="single" w:sz="8" w:color="auto"/>
              <w:right w:val="single" w:sz="8" w:color="auto"/>
            </w:tcBorders>
            <w:shd w:val="clear" w:color="auto" w:fill="D9D9D9"/>
          </w:tcPr>
          <w:p>
            <w:pPr>
              <w:ind w:left="120"/>
              <w:spacing w:after="0" w:line="210" w:lineRule="exact"/>
              <w:rPr>
                <w:sz w:val="20"/>
                <w:szCs w:val="20"/>
                <w:color w:val="auto"/>
              </w:rPr>
            </w:pPr>
            <w:r>
              <w:rPr>
                <w:rFonts w:ascii="Times New Roman" w:cs="Times New Roman" w:eastAsia="Times New Roman" w:hAnsi="Times New Roman"/>
                <w:sz w:val="19"/>
                <w:szCs w:val="19"/>
                <w:color w:val="auto"/>
              </w:rPr>
              <w:t>2024</w:t>
            </w:r>
          </w:p>
        </w:tc>
        <w:tc>
          <w:tcPr>
            <w:tcW w:w="156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1,872,640</w:t>
            </w:r>
          </w:p>
        </w:tc>
        <w:tc>
          <w:tcPr>
            <w:tcW w:w="1340" w:type="dxa"/>
            <w:vAlign w:val="bottom"/>
            <w:tcBorders>
              <w:bottom w:val="single" w:sz="8" w:color="auto"/>
              <w:right w:val="single" w:sz="8" w:color="auto"/>
            </w:tcBorders>
            <w:shd w:val="clear" w:color="auto" w:fill="D9D9D9"/>
          </w:tcPr>
          <w:p>
            <w:pPr>
              <w:jc w:val="right"/>
              <w:ind w:right="166"/>
              <w:spacing w:after="0" w:line="210" w:lineRule="exact"/>
              <w:rPr>
                <w:sz w:val="20"/>
                <w:szCs w:val="20"/>
                <w:color w:val="auto"/>
              </w:rPr>
            </w:pPr>
            <w:r>
              <w:rPr>
                <w:rFonts w:ascii="Times New Roman" w:cs="Times New Roman" w:eastAsia="Times New Roman" w:hAnsi="Times New Roman"/>
                <w:sz w:val="19"/>
                <w:szCs w:val="19"/>
                <w:color w:val="auto"/>
              </w:rPr>
              <w:t>(506,551)</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shd w:val="clear" w:color="auto" w:fill="D9D9D9"/>
          </w:tcPr>
          <w:p>
            <w:pPr>
              <w:jc w:val="right"/>
              <w:ind w:right="286"/>
              <w:spacing w:after="0" w:line="210" w:lineRule="exact"/>
              <w:rPr>
                <w:sz w:val="20"/>
                <w:szCs w:val="20"/>
                <w:color w:val="auto"/>
              </w:rPr>
            </w:pPr>
            <w:r>
              <w:rPr>
                <w:rFonts w:ascii="Times New Roman" w:cs="Times New Roman" w:eastAsia="Times New Roman" w:hAnsi="Times New Roman"/>
                <w:sz w:val="19"/>
                <w:szCs w:val="19"/>
                <w:color w:val="auto"/>
              </w:rPr>
              <w:t>(2,600)</w:t>
            </w:r>
          </w:p>
        </w:tc>
        <w:tc>
          <w:tcPr>
            <w:tcW w:w="2000" w:type="dxa"/>
            <w:vAlign w:val="bottom"/>
            <w:tcBorders>
              <w:bottom w:val="single" w:sz="8" w:color="auto"/>
              <w:right w:val="single" w:sz="8" w:color="D9D9D9"/>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83"/>
              </w:rPr>
              <w:t>0</w:t>
            </w:r>
          </w:p>
        </w:tc>
        <w:tc>
          <w:tcPr>
            <w:tcW w:w="120" w:type="dxa"/>
            <w:vAlign w:val="bottom"/>
            <w:tcBorders>
              <w:bottom w:val="single" w:sz="8" w:color="auto"/>
              <w:right w:val="single" w:sz="8" w:color="auto"/>
            </w:tcBorders>
            <w:shd w:val="clear" w:color="auto" w:fill="D9D9D9"/>
          </w:tcPr>
          <w:p>
            <w:pPr>
              <w:spacing w:after="0"/>
              <w:rPr>
                <w:sz w:val="18"/>
                <w:szCs w:val="18"/>
                <w:color w:val="auto"/>
              </w:rPr>
            </w:pPr>
          </w:p>
        </w:tc>
        <w:tc>
          <w:tcPr>
            <w:tcW w:w="14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1,363,489</w:t>
            </w:r>
          </w:p>
        </w:tc>
        <w:tc>
          <w:tcPr>
            <w:tcW w:w="0" w:type="dxa"/>
            <w:vAlign w:val="bottom"/>
          </w:tcPr>
          <w:p>
            <w:pPr>
              <w:spacing w:after="0"/>
              <w:rPr>
                <w:sz w:val="1"/>
                <w:szCs w:val="1"/>
                <w:color w:val="auto"/>
              </w:rPr>
            </w:pPr>
          </w:p>
        </w:tc>
      </w:tr>
      <w:tr>
        <w:trPr>
          <w:trHeight w:val="210"/>
        </w:trPr>
        <w:tc>
          <w:tcPr>
            <w:tcW w:w="6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color w:val="auto"/>
              </w:rPr>
              <w:t>2023</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1,872,128</w:t>
            </w:r>
          </w:p>
        </w:tc>
        <w:tc>
          <w:tcPr>
            <w:tcW w:w="1340" w:type="dxa"/>
            <w:vAlign w:val="bottom"/>
            <w:tcBorders>
              <w:bottom w:val="single" w:sz="8" w:color="auto"/>
              <w:right w:val="single" w:sz="8" w:color="auto"/>
            </w:tcBorders>
          </w:tcPr>
          <w:p>
            <w:pPr>
              <w:jc w:val="right"/>
              <w:ind w:right="166"/>
              <w:spacing w:after="0" w:line="210" w:lineRule="exact"/>
              <w:rPr>
                <w:sz w:val="20"/>
                <w:szCs w:val="20"/>
                <w:color w:val="auto"/>
              </w:rPr>
            </w:pPr>
            <w:r>
              <w:rPr>
                <w:rFonts w:ascii="Times New Roman" w:cs="Times New Roman" w:eastAsia="Times New Roman" w:hAnsi="Times New Roman"/>
                <w:sz w:val="19"/>
                <w:szCs w:val="19"/>
                <w:color w:val="auto"/>
              </w:rPr>
              <w:t>(35,029)</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311,252</w:t>
            </w:r>
          </w:p>
        </w:tc>
        <w:tc>
          <w:tcPr>
            <w:tcW w:w="2000" w:type="dxa"/>
            <w:vAlign w:val="bottom"/>
            <w:tcBorders>
              <w:bottom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83"/>
              </w:rPr>
              <w:t>0</w:t>
            </w:r>
          </w:p>
        </w:tc>
        <w:tc>
          <w:tcPr>
            <w:tcW w:w="1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2,148,351</w:t>
            </w:r>
          </w:p>
        </w:tc>
        <w:tc>
          <w:tcPr>
            <w:tcW w:w="0" w:type="dxa"/>
            <w:vAlign w:val="bottom"/>
          </w:tcPr>
          <w:p>
            <w:pPr>
              <w:spacing w:after="0"/>
              <w:rPr>
                <w:sz w:val="1"/>
                <w:szCs w:val="1"/>
                <w:color w:val="auto"/>
              </w:rPr>
            </w:pPr>
          </w:p>
        </w:tc>
      </w:tr>
      <w:tr>
        <w:trPr>
          <w:trHeight w:val="209"/>
        </w:trPr>
        <w:tc>
          <w:tcPr>
            <w:tcW w:w="640" w:type="dxa"/>
            <w:vAlign w:val="bottom"/>
            <w:tcBorders>
              <w:left w:val="single" w:sz="8" w:color="auto"/>
              <w:bottom w:val="single" w:sz="8" w:color="auto"/>
              <w:right w:val="single" w:sz="8" w:color="auto"/>
            </w:tcBorders>
            <w:shd w:val="clear" w:color="auto" w:fill="D9D9D9"/>
          </w:tcPr>
          <w:p>
            <w:pPr>
              <w:ind w:left="120"/>
              <w:spacing w:after="0" w:line="210" w:lineRule="exact"/>
              <w:rPr>
                <w:sz w:val="20"/>
                <w:szCs w:val="20"/>
                <w:color w:val="auto"/>
              </w:rPr>
            </w:pPr>
            <w:r>
              <w:rPr>
                <w:rFonts w:ascii="Times New Roman" w:cs="Times New Roman" w:eastAsia="Times New Roman" w:hAnsi="Times New Roman"/>
                <w:sz w:val="19"/>
                <w:szCs w:val="19"/>
                <w:color w:val="auto"/>
              </w:rPr>
              <w:t>2022</w:t>
            </w:r>
          </w:p>
        </w:tc>
        <w:tc>
          <w:tcPr>
            <w:tcW w:w="1560" w:type="dxa"/>
            <w:vAlign w:val="bottom"/>
            <w:tcBorders>
              <w:bottom w:val="single" w:sz="8" w:color="auto"/>
              <w:right w:val="single" w:sz="8" w:color="auto"/>
            </w:tcBorders>
            <w:shd w:val="clear" w:color="auto" w:fill="D9D9D9"/>
          </w:tcPr>
          <w:p>
            <w:pPr>
              <w:jc w:val="center"/>
              <w:ind w:left="6"/>
              <w:spacing w:after="0" w:line="210" w:lineRule="exact"/>
              <w:rPr>
                <w:sz w:val="20"/>
                <w:szCs w:val="20"/>
                <w:color w:val="auto"/>
              </w:rPr>
            </w:pPr>
            <w:r>
              <w:rPr>
                <w:rFonts w:ascii="Times New Roman" w:cs="Times New Roman" w:eastAsia="Times New Roman" w:hAnsi="Times New Roman"/>
                <w:sz w:val="19"/>
                <w:szCs w:val="19"/>
                <w:color w:val="auto"/>
              </w:rPr>
              <w:t>533,100</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(2,053,999)</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(258,899)</w:t>
            </w:r>
          </w:p>
        </w:tc>
        <w:tc>
          <w:tcPr>
            <w:tcW w:w="2000" w:type="dxa"/>
            <w:vAlign w:val="bottom"/>
            <w:tcBorders>
              <w:bottom w:val="single" w:sz="8" w:color="auto"/>
              <w:right w:val="single" w:sz="8" w:color="D9D9D9"/>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(273,015)</w:t>
            </w:r>
          </w:p>
        </w:tc>
        <w:tc>
          <w:tcPr>
            <w:tcW w:w="120" w:type="dxa"/>
            <w:vAlign w:val="bottom"/>
            <w:tcBorders>
              <w:bottom w:val="single" w:sz="8" w:color="auto"/>
              <w:right w:val="single" w:sz="8" w:color="auto"/>
            </w:tcBorders>
            <w:shd w:val="clear" w:color="auto" w:fill="D9D9D9"/>
          </w:tcPr>
          <w:p>
            <w:pPr>
              <w:spacing w:after="0"/>
              <w:rPr>
                <w:sz w:val="18"/>
                <w:szCs w:val="18"/>
                <w:color w:val="auto"/>
              </w:rPr>
            </w:pPr>
          </w:p>
        </w:tc>
        <w:tc>
          <w:tcPr>
            <w:tcW w:w="14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shd w:val="clear" w:color="auto" w:fill="D9D9D9"/>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(2,052,813)</w:t>
            </w:r>
          </w:p>
        </w:tc>
        <w:tc>
          <w:tcPr>
            <w:tcW w:w="0" w:type="dxa"/>
            <w:vAlign w:val="bottom"/>
          </w:tcPr>
          <w:p>
            <w:pPr>
              <w:spacing w:after="0"/>
              <w:rPr>
                <w:sz w:val="1"/>
                <w:szCs w:val="1"/>
                <w:color w:val="auto"/>
              </w:rPr>
            </w:pPr>
          </w:p>
        </w:tc>
      </w:tr>
      <w:tr>
        <w:trPr>
          <w:trHeight w:val="210"/>
        </w:trPr>
        <w:tc>
          <w:tcPr>
            <w:tcW w:w="6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9"/>
                <w:szCs w:val="19"/>
                <w:color w:val="auto"/>
              </w:rPr>
              <w:t>2021</w:t>
            </w:r>
          </w:p>
        </w:tc>
        <w:tc>
          <w:tcPr>
            <w:tcW w:w="156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2,010,515</w:t>
            </w:r>
          </w:p>
        </w:tc>
        <w:tc>
          <w:tcPr>
            <w:tcW w:w="1340" w:type="dxa"/>
            <w:vAlign w:val="bottom"/>
            <w:tcBorders>
              <w:bottom w:val="single" w:sz="8" w:color="auto"/>
              <w:right w:val="single" w:sz="8" w:color="auto"/>
            </w:tcBorders>
          </w:tcPr>
          <w:p>
            <w:pPr>
              <w:jc w:val="right"/>
              <w:ind w:right="166"/>
              <w:spacing w:after="0" w:line="210" w:lineRule="exact"/>
              <w:rPr>
                <w:sz w:val="20"/>
                <w:szCs w:val="20"/>
                <w:color w:val="auto"/>
              </w:rPr>
            </w:pPr>
            <w:r>
              <w:rPr>
                <w:rFonts w:ascii="Times New Roman" w:cs="Times New Roman" w:eastAsia="Times New Roman" w:hAnsi="Times New Roman"/>
                <w:sz w:val="19"/>
                <w:szCs w:val="19"/>
                <w:color w:val="auto"/>
              </w:rPr>
              <w:t>(327,022)</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460" w:type="dxa"/>
            <w:vAlign w:val="bottom"/>
            <w:tcBorders>
              <w:bottom w:val="single" w:sz="8" w:color="auto"/>
              <w:right w:val="single" w:sz="8" w:color="auto"/>
            </w:tcBorders>
          </w:tcPr>
          <w:p>
            <w:pPr>
              <w:jc w:val="right"/>
              <w:ind w:right="286"/>
              <w:spacing w:after="0" w:line="210" w:lineRule="exact"/>
              <w:rPr>
                <w:sz w:val="20"/>
                <w:szCs w:val="20"/>
                <w:color w:val="auto"/>
              </w:rPr>
            </w:pPr>
            <w:r>
              <w:rPr>
                <w:rFonts w:ascii="Times New Roman" w:cs="Times New Roman" w:eastAsia="Times New Roman" w:hAnsi="Times New Roman"/>
                <w:sz w:val="19"/>
                <w:szCs w:val="19"/>
                <w:color w:val="auto"/>
              </w:rPr>
              <w:t>(5,254)</w:t>
            </w:r>
          </w:p>
        </w:tc>
        <w:tc>
          <w:tcPr>
            <w:tcW w:w="2000" w:type="dxa"/>
            <w:vAlign w:val="bottom"/>
            <w:tcBorders>
              <w:bottom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83"/>
              </w:rPr>
              <w:t>0</w:t>
            </w:r>
          </w:p>
        </w:tc>
        <w:tc>
          <w:tcPr>
            <w:tcW w:w="120" w:type="dxa"/>
            <w:vAlign w:val="bottom"/>
            <w:tcBorders>
              <w:bottom w:val="single" w:sz="8" w:color="auto"/>
              <w:right w:val="single" w:sz="8" w:color="auto"/>
            </w:tcBorders>
          </w:tcPr>
          <w:p>
            <w:pPr>
              <w:spacing w:after="0"/>
              <w:rPr>
                <w:sz w:val="18"/>
                <w:szCs w:val="18"/>
                <w:color w:val="auto"/>
              </w:rPr>
            </w:pPr>
          </w:p>
        </w:tc>
        <w:tc>
          <w:tcPr>
            <w:tcW w:w="14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rPr>
              <w:t>0</w:t>
            </w:r>
          </w:p>
        </w:tc>
        <w:tc>
          <w:tcPr>
            <w:tcW w:w="1340" w:type="dxa"/>
            <w:vAlign w:val="bottom"/>
            <w:tcBorders>
              <w:bottom w:val="single" w:sz="8" w:color="auto"/>
              <w:right w:val="single" w:sz="8" w:color="auto"/>
            </w:tcBorders>
          </w:tcPr>
          <w:p>
            <w:pPr>
              <w:jc w:val="center"/>
              <w:spacing w:after="0" w:line="210" w:lineRule="exact"/>
              <w:rPr>
                <w:sz w:val="20"/>
                <w:szCs w:val="20"/>
                <w:color w:val="auto"/>
              </w:rPr>
            </w:pPr>
            <w:r>
              <w:rPr>
                <w:rFonts w:ascii="Times New Roman" w:cs="Times New Roman" w:eastAsia="Times New Roman" w:hAnsi="Times New Roman"/>
                <w:sz w:val="19"/>
                <w:szCs w:val="19"/>
                <w:color w:val="auto"/>
                <w:w w:val="99"/>
              </w:rPr>
              <w:t>1,678,239</w:t>
            </w:r>
          </w:p>
        </w:tc>
        <w:tc>
          <w:tcPr>
            <w:tcW w:w="0" w:type="dxa"/>
            <w:vAlign w:val="bottom"/>
          </w:tcPr>
          <w:p>
            <w:pPr>
              <w:spacing w:after="0"/>
              <w:rPr>
                <w:sz w:val="1"/>
                <w:szCs w:val="1"/>
                <w:color w:val="auto"/>
              </w:rPr>
            </w:pPr>
          </w:p>
        </w:tc>
      </w:tr>
    </w:tbl>
    <w:p>
      <w:pPr>
        <w:spacing w:after="0" w:line="58" w:lineRule="exact"/>
        <w:rPr>
          <w:sz w:val="20"/>
          <w:szCs w:val="20"/>
          <w:color w:val="auto"/>
        </w:rPr>
      </w:pPr>
    </w:p>
    <w:p>
      <w:pPr>
        <w:jc w:val="both"/>
        <w:ind w:firstLine="8"/>
        <w:spacing w:after="0" w:line="249" w:lineRule="auto"/>
        <w:tabs>
          <w:tab w:leader="none" w:pos="277"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Peer Group TSR set forth in this table utilizes the Dow Jones U.S. Containers &amp; Packaging (DJUSCP) Index, which we also utilize in the stock performance graph required by Item 201(e) of Regulation S-K included in our Annual Report for the year ended December 31, 2025. The comparison assumes $100 was invested for the period starting December 31, 2020, through the end of the listed year in the Company and in the DJUSCP Index, respectively. Historical stock performance is not necessarily indicative of future stock performance.</w:t>
      </w:r>
    </w:p>
    <w:p>
      <w:pPr>
        <w:spacing w:after="0" w:line="31" w:lineRule="exact"/>
        <w:rPr>
          <w:rFonts w:ascii="Times New Roman" w:cs="Times New Roman" w:eastAsia="Times New Roman" w:hAnsi="Times New Roman"/>
          <w:sz w:val="20"/>
          <w:szCs w:val="20"/>
          <w:color w:val="auto"/>
        </w:rPr>
      </w:pPr>
    </w:p>
    <w:p>
      <w:pPr>
        <w:jc w:val="both"/>
        <w:ind w:firstLine="8"/>
        <w:spacing w:after="0" w:line="249" w:lineRule="auto"/>
        <w:tabs>
          <w:tab w:leader="none" w:pos="320"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We determined ROIC to be the “Company-Selected Measure,” which represents the Company’s assessment of the most important financial performance measure used to link Company performance to Compensation Actually Paid to our PEO and Non-PEO NEOs in 2025. This performance measure may not have been the most important financial performance measure for one or more of the prior years reported in this section. We may determine a different financial performance measure to be the Company-Selected Measure in future years.</w:t>
      </w:r>
    </w:p>
    <w:p>
      <w:pPr>
        <w:spacing w:after="0" w:line="6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color w:val="auto"/>
        </w:rPr>
        <w:t>65</w:t>
      </w:r>
    </w:p>
    <w:p>
      <w:pPr>
        <w:sectPr>
          <w:pgSz w:w="11900" w:h="16838" w:orient="portrait"/>
          <w:cols w:equalWidth="0" w:num="1">
            <w:col w:w="11240"/>
          </w:cols>
          <w:pgMar w:left="320" w:top="576" w:right="339" w:bottom="1440" w:gutter="0" w:footer="0" w:header="0"/>
        </w:sectPr>
      </w:pPr>
    </w:p>
    <w:bookmarkStart w:id="68" w:name="page69"/>
    <w:bookmarkEnd w:id="68"/>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Description of Relationship Between PEO and Other NEO Compensation</w:t>
      </w:r>
    </w:p>
    <w:p>
      <w:pPr>
        <w:spacing w:after="0" w:line="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Actually Paid, Company Total Shareholder Return (“TSR”) and DJUSCP Index TSR</w:t>
      </w:r>
    </w:p>
    <w:p>
      <w:pPr>
        <w:spacing w:after="0" w:line="317" w:lineRule="exact"/>
        <w:rPr>
          <w:sz w:val="20"/>
          <w:szCs w:val="20"/>
          <w:color w:val="auto"/>
        </w:rPr>
      </w:pPr>
    </w:p>
    <w:p>
      <w:pPr>
        <w:spacing w:after="0" w:line="244" w:lineRule="auto"/>
        <w:rPr>
          <w:sz w:val="20"/>
          <w:szCs w:val="20"/>
          <w:color w:val="auto"/>
        </w:rPr>
      </w:pPr>
      <w:r>
        <w:rPr>
          <w:rFonts w:ascii="Times New Roman" w:cs="Times New Roman" w:eastAsia="Times New Roman" w:hAnsi="Times New Roman"/>
          <w:sz w:val="22"/>
          <w:szCs w:val="22"/>
          <w:color w:val="auto"/>
        </w:rPr>
        <w:t>The following chart sets forth the relationship between Compensation Actually Paid to our PEO, the average of Compensation Actually Paid to our other NEOs, the Company’s cumulative TSR over the five most recently completed fiscal years, and the DJUSCP Index TSR over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333375</wp:posOffset>
            </wp:positionV>
            <wp:extent cx="6129655" cy="41573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29655" cy="4157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*Note the TSR above is indexed to an initial $100 investment on December 31, 2020.</w:t>
      </w:r>
    </w:p>
    <w:p>
      <w:pPr>
        <w:spacing w:after="0" w:line="200" w:lineRule="exact"/>
        <w:rPr>
          <w:sz w:val="20"/>
          <w:szCs w:val="20"/>
          <w:color w:val="auto"/>
        </w:rPr>
      </w:pPr>
    </w:p>
    <w:p>
      <w:pPr>
        <w:spacing w:after="0" w:line="38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66</w:t>
      </w:r>
    </w:p>
    <w:p>
      <w:pPr>
        <w:sectPr>
          <w:pgSz w:w="11900" w:h="16838" w:orient="portrait"/>
          <w:cols w:equalWidth="0" w:num="1">
            <w:col w:w="10920"/>
          </w:cols>
          <w:pgMar w:left="320" w:top="567" w:right="659" w:bottom="1440" w:gutter="0" w:footer="0" w:header="0"/>
        </w:sectPr>
      </w:pPr>
    </w:p>
    <w:bookmarkStart w:id="69" w:name="page70"/>
    <w:bookmarkEnd w:id="69"/>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Description of Relationship Between PEO and Other NEO</w:t>
      </w:r>
    </w:p>
    <w:p>
      <w:pPr>
        <w:spacing w:after="0" w:line="1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Compensation Actually Paid and Net Income</w:t>
      </w:r>
    </w:p>
    <w:p>
      <w:pPr>
        <w:spacing w:after="0" w:line="20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The following chart sets forth the relationship between Compensation Actually Paid to our PEO, the average of Compensation Actually Paid to our other NEOs, and our net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323850</wp:posOffset>
            </wp:positionV>
            <wp:extent cx="6163310" cy="42691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63310" cy="4269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color w:val="auto"/>
        </w:rPr>
        <w:t>67</w:t>
      </w:r>
    </w:p>
    <w:p>
      <w:pPr>
        <w:sectPr>
          <w:pgSz w:w="11900" w:h="16838" w:orient="portrait"/>
          <w:cols w:equalWidth="0" w:num="1">
            <w:col w:w="10920"/>
          </w:cols>
          <w:pgMar w:left="320" w:top="567" w:right="659" w:bottom="1440" w:gutter="0" w:footer="0" w:header="0"/>
        </w:sectPr>
      </w:pPr>
    </w:p>
    <w:bookmarkStart w:id="70" w:name="page71"/>
    <w:bookmarkEnd w:id="70"/>
    <w:p>
      <w:pPr>
        <w:jc w:val="center"/>
        <w:spacing w:after="0"/>
        <w:rPr>
          <w:sz w:val="20"/>
          <w:szCs w:val="20"/>
          <w:color w:val="auto"/>
        </w:rPr>
      </w:pPr>
      <w:r>
        <w:rPr>
          <w:rFonts w:ascii="Times New Roman" w:cs="Times New Roman" w:eastAsia="Times New Roman" w:hAnsi="Times New Roman"/>
          <w:sz w:val="22"/>
          <w:szCs w:val="22"/>
          <w:b w:val="1"/>
          <w:bCs w:val="1"/>
          <w:color w:val="auto"/>
        </w:rPr>
        <w:t>Description of Relationship Between PEO and Other NEO</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Compensation Actually Paid and ROIC</w:t>
      </w:r>
    </w:p>
    <w:p>
      <w:pPr>
        <w:spacing w:after="0" w:line="200" w:lineRule="exact"/>
        <w:rPr>
          <w:sz w:val="20"/>
          <w:szCs w:val="20"/>
          <w:color w:val="auto"/>
        </w:rPr>
      </w:pPr>
    </w:p>
    <w:p>
      <w:pPr>
        <w:spacing w:after="0" w:line="225"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following chart sets forth the relationship between Compensation Actually Paid to our PEO, the average of Compensation Actually Paid to our other NEOs, and our ROIC during the five most recently completed fiscal years. See the Compensation Discussion and Analysis – Calculation of ROIC (page 46) for more information on the ROIC calculation.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264795</wp:posOffset>
            </wp:positionV>
            <wp:extent cx="6180455" cy="355727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180455" cy="3557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Tabular List of Most Important Financial Performance Measures</w:t>
      </w:r>
    </w:p>
    <w:p>
      <w:pPr>
        <w:spacing w:after="0" w:line="200" w:lineRule="exact"/>
        <w:rPr>
          <w:sz w:val="20"/>
          <w:szCs w:val="20"/>
          <w:color w:val="auto"/>
        </w:rPr>
      </w:pPr>
    </w:p>
    <w:p>
      <w:pPr>
        <w:spacing w:after="0" w:line="253"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2"/>
          <w:szCs w:val="22"/>
          <w:color w:val="auto"/>
        </w:rPr>
        <w:t>The following presents the financial performance measures that the Company considers to have been the most important in linking Compensation Actually Paid to our PEO and other NEOs for 2025 to Company performance. The measures in this list are not ranked.</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Modified Operating Cash Flow</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Economic Profit</w:t>
      </w:r>
    </w:p>
    <w:p>
      <w:pPr>
        <w:jc w:val="center"/>
        <w:spacing w:after="0" w:line="230" w:lineRule="auto"/>
        <w:rPr>
          <w:sz w:val="20"/>
          <w:szCs w:val="20"/>
          <w:color w:val="auto"/>
        </w:rPr>
      </w:pPr>
      <w:r>
        <w:rPr>
          <w:rFonts w:ascii="Times New Roman" w:cs="Times New Roman" w:eastAsia="Times New Roman" w:hAnsi="Times New Roman"/>
          <w:sz w:val="22"/>
          <w:szCs w:val="22"/>
          <w:color w:val="auto"/>
        </w:rPr>
        <w:t>Total Shareholder Return vs Peers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Return on Invested Capital</w:t>
      </w:r>
    </w:p>
    <w:p>
      <w:pPr>
        <w:spacing w:after="0" w:line="200" w:lineRule="exact"/>
        <w:rPr>
          <w:sz w:val="20"/>
          <w:szCs w:val="20"/>
          <w:color w:val="auto"/>
        </w:rPr>
      </w:pPr>
    </w:p>
    <w:p>
      <w:pPr>
        <w:spacing w:after="0" w:line="36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68</w:t>
      </w:r>
    </w:p>
    <w:p>
      <w:pPr>
        <w:sectPr>
          <w:pgSz w:w="11900" w:h="16838" w:orient="portrait"/>
          <w:cols w:equalWidth="0" w:num="1">
            <w:col w:w="11240"/>
          </w:cols>
          <w:pgMar w:left="320" w:top="567" w:right="339" w:bottom="1440" w:gutter="0" w:footer="0" w:header="0"/>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i w:val="1"/>
          <w:iCs w:val="1"/>
          <w:color w:val="auto"/>
        </w:rPr>
        <w:t>(This Page Intentionally Left Blank)</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22"/>
          <w:szCs w:val="22"/>
          <w:color w:val="auto"/>
        </w:rPr>
        <w:t>69</w:t>
      </w:r>
    </w:p>
    <w:p>
      <w:pPr>
        <w:sectPr>
          <w:pgSz w:w="11900" w:h="16838" w:orient="portrait"/>
          <w:cols w:equalWidth="0" w:num="1">
            <w:col w:w="9019"/>
          </w:cols>
          <w:pgMar w:left="1440" w:top="1440" w:right="1440" w:bottom="1440" w:gutter="0" w:footer="0" w:header="0"/>
          <w:type w:val="continuous"/>
        </w:sectPr>
      </w:pPr>
    </w:p>
    <w:bookmarkStart w:id="72" w:name="page73"/>
    <w:bookmarkEnd w:id="72"/>
    <w:p>
      <w:pPr>
        <w:spacing w:after="0"/>
        <w:rPr>
          <w:sz w:val="20"/>
          <w:szCs w:val="20"/>
          <w:color w:val="auto"/>
        </w:rPr>
      </w:pPr>
      <w:r>
        <w:rPr>
          <w:rFonts w:ascii="Times New Roman" w:cs="Times New Roman" w:eastAsia="Times New Roman" w:hAnsi="Times New Roman"/>
          <w:sz w:val="32"/>
          <w:szCs w:val="32"/>
          <w:b w:val="1"/>
          <w:bCs w:val="1"/>
          <w:color w:val="29650B"/>
        </w:rPr>
        <w:t>PRINCIPAL ACCOUNTANT FEES AND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9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firm of PricewaterhouseCoopers LLP, an independent registered public accounting firm, were the independent auditors for the most recently completed fiscal year. The Audit Committee has appointed PricewaterhouseCoopers as independent auditors to audit and report on the Company’s financial statements for 2026. A representative or representatives of PricewaterhouseCoopers are expected to be present at the Annual Meeting. Such representatives also are expected to be available to respond to questions raised orally at the Annual Meeting or submitted in writing to the Office of the Corporate Secretary of the Company before the Annual Meeting.</w:t>
      </w:r>
    </w:p>
    <w:p>
      <w:pPr>
        <w:spacing w:after="0" w:line="3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The Audit Committee reviewed the fees of PricewaterhouseCoopers for the fiscal years ended December 31, 2025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December 31, 2024. The Company paid fees in the following categories:</w:t>
      </w:r>
    </w:p>
    <w:p>
      <w:pPr>
        <w:spacing w:after="0" w:line="43" w:lineRule="exact"/>
        <w:rPr>
          <w:sz w:val="20"/>
          <w:szCs w:val="20"/>
          <w:color w:val="auto"/>
        </w:rPr>
      </w:pPr>
    </w:p>
    <w:p>
      <w:pPr>
        <w:jc w:val="both"/>
        <w:ind w:firstLine="656"/>
        <w:spacing w:after="0" w:line="241" w:lineRule="auto"/>
        <w:tabs>
          <w:tab w:leader="none" w:pos="95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Audit Fees </w:t>
      </w:r>
      <w:r>
        <w:rPr>
          <w:rFonts w:ascii="Times New Roman" w:cs="Times New Roman" w:eastAsia="Times New Roman" w:hAnsi="Times New Roman"/>
          <w:sz w:val="22"/>
          <w:szCs w:val="22"/>
          <w:color w:val="auto"/>
        </w:rPr>
        <w:t>were for professional services rendered for the audits of effectiveness of the internal control over financial</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reporting and consolidated financial statements of the Company, including the U.S. integrated financial statement and internal controls audit, statutory audits, issuance of comfort letters, consents and assistance with and review of documents filed with the SEC.</w:t>
      </w:r>
    </w:p>
    <w:p>
      <w:pPr>
        <w:spacing w:after="0" w:line="23" w:lineRule="exact"/>
        <w:rPr>
          <w:rFonts w:ascii="Times New Roman" w:cs="Times New Roman" w:eastAsia="Times New Roman" w:hAnsi="Times New Roman"/>
          <w:sz w:val="22"/>
          <w:szCs w:val="22"/>
          <w:color w:val="auto"/>
        </w:rPr>
      </w:pPr>
    </w:p>
    <w:p>
      <w:pPr>
        <w:ind w:right="20" w:firstLine="656"/>
        <w:spacing w:after="0" w:line="262" w:lineRule="auto"/>
        <w:tabs>
          <w:tab w:leader="none" w:pos="95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Audit-Related Fees </w:t>
      </w:r>
      <w:r>
        <w:rPr>
          <w:rFonts w:ascii="Times New Roman" w:cs="Times New Roman" w:eastAsia="Times New Roman" w:hAnsi="Times New Roman"/>
          <w:sz w:val="22"/>
          <w:szCs w:val="22"/>
          <w:color w:val="auto"/>
        </w:rPr>
        <w:t>were for fees for due diligence in connection with mergers, acquisitions and divestitures and other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assurance-related services performed in connection with statutory requirements in various countries.</w:t>
      </w:r>
    </w:p>
    <w:p>
      <w:pPr>
        <w:spacing w:after="0" w:line="1" w:lineRule="exact"/>
        <w:rPr>
          <w:rFonts w:ascii="Times New Roman" w:cs="Times New Roman" w:eastAsia="Times New Roman" w:hAnsi="Times New Roman"/>
          <w:sz w:val="22"/>
          <w:szCs w:val="22"/>
          <w:color w:val="auto"/>
        </w:rPr>
      </w:pPr>
    </w:p>
    <w:p>
      <w:pPr>
        <w:ind w:firstLine="656"/>
        <w:spacing w:after="0" w:line="262" w:lineRule="auto"/>
        <w:tabs>
          <w:tab w:leader="none" w:pos="954"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Tax-Related Fees </w:t>
      </w:r>
      <w:r>
        <w:rPr>
          <w:rFonts w:ascii="Times New Roman" w:cs="Times New Roman" w:eastAsia="Times New Roman" w:hAnsi="Times New Roman"/>
          <w:sz w:val="22"/>
          <w:szCs w:val="22"/>
          <w:color w:val="auto"/>
        </w:rPr>
        <w:t>were for services rendered for (a) tax compliance, including the preparation of tax returns and claims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for refunds, and (b) tax planning and advice.</w:t>
      </w:r>
    </w:p>
    <w:p>
      <w:pPr>
        <w:spacing w:after="0" w:line="14" w:lineRule="exact"/>
        <w:rPr>
          <w:rFonts w:ascii="Times New Roman" w:cs="Times New Roman" w:eastAsia="Times New Roman" w:hAnsi="Times New Roman"/>
          <w:sz w:val="22"/>
          <w:szCs w:val="22"/>
          <w:color w:val="auto"/>
        </w:rPr>
      </w:pPr>
    </w:p>
    <w:p>
      <w:pPr>
        <w:ind w:left="960" w:hanging="304"/>
        <w:spacing w:after="0"/>
        <w:tabs>
          <w:tab w:leader="none" w:pos="960"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All Other Fees </w:t>
      </w:r>
      <w:r>
        <w:rPr>
          <w:rFonts w:ascii="Times New Roman" w:cs="Times New Roman" w:eastAsia="Times New Roman" w:hAnsi="Times New Roman"/>
          <w:sz w:val="22"/>
          <w:szCs w:val="22"/>
          <w:color w:val="auto"/>
        </w:rPr>
        <w:t>were for services rendered for assistance provided primarily to non-U.S. subsidiaries.</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amount of fees for each category in 2025 and 2024 are set forth below.</w:t>
      </w:r>
    </w:p>
    <w:p>
      <w:pPr>
        <w:spacing w:after="0" w:line="308" w:lineRule="exact"/>
        <w:rPr>
          <w:sz w:val="20"/>
          <w:szCs w:val="20"/>
          <w:color w:val="auto"/>
        </w:rPr>
      </w:pPr>
    </w:p>
    <w:tbl>
      <w:tblPr>
        <w:tblLayout w:type="fixed"/>
        <w:tblInd w:w="1430" w:type="dxa"/>
        <w:tblCellMar>
          <w:top w:w="0" w:type="dxa"/>
          <w:left w:w="0" w:type="dxa"/>
          <w:bottom w:w="0" w:type="dxa"/>
          <w:right w:w="0" w:type="dxa"/>
        </w:tblCellMar>
      </w:tblPr>
      <w:tr>
        <w:trPr>
          <w:trHeight w:val="376"/>
        </w:trPr>
        <w:tc>
          <w:tcPr>
            <w:tcW w:w="3460" w:type="dxa"/>
            <w:vAlign w:val="bottom"/>
            <w:tcBorders>
              <w:top w:val="single" w:sz="8" w:color="auto"/>
              <w:left w:val="single" w:sz="8" w:color="auto"/>
              <w:right w:val="single" w:sz="8" w:color="auto"/>
            </w:tcBorders>
            <w:shd w:val="clear" w:color="auto" w:fill="29650B"/>
          </w:tcPr>
          <w:p>
            <w:pPr>
              <w:spacing w:after="0"/>
              <w:rPr>
                <w:sz w:val="24"/>
                <w:szCs w:val="24"/>
                <w:color w:val="auto"/>
              </w:rPr>
            </w:pPr>
          </w:p>
        </w:tc>
        <w:tc>
          <w:tcPr>
            <w:tcW w:w="2540" w:type="dxa"/>
            <w:vAlign w:val="bottom"/>
            <w:tcBorders>
              <w:top w:val="single" w:sz="8" w:color="auto"/>
              <w:right w:val="single" w:sz="8" w:color="auto"/>
            </w:tcBorders>
            <w:shd w:val="clear" w:color="auto" w:fill="29650B"/>
          </w:tcPr>
          <w:p>
            <w:pPr>
              <w:jc w:val="right"/>
              <w:ind w:right="952"/>
              <w:spacing w:after="0"/>
              <w:rPr>
                <w:sz w:val="20"/>
                <w:szCs w:val="20"/>
                <w:color w:val="auto"/>
              </w:rPr>
            </w:pPr>
            <w:r>
              <w:rPr>
                <w:rFonts w:ascii="Times New Roman" w:cs="Times New Roman" w:eastAsia="Times New Roman" w:hAnsi="Times New Roman"/>
                <w:sz w:val="22"/>
                <w:szCs w:val="22"/>
                <w:b w:val="1"/>
                <w:bCs w:val="1"/>
                <w:color w:val="FFFFFF"/>
              </w:rPr>
              <w:t>2025</w:t>
            </w:r>
          </w:p>
        </w:tc>
        <w:tc>
          <w:tcPr>
            <w:tcW w:w="2420" w:type="dxa"/>
            <w:vAlign w:val="bottom"/>
            <w:tcBorders>
              <w:top w:val="single" w:sz="8" w:color="auto"/>
              <w:right w:val="single" w:sz="8" w:color="auto"/>
            </w:tcBorders>
            <w:shd w:val="clear" w:color="auto" w:fill="29650B"/>
          </w:tcPr>
          <w:p>
            <w:pPr>
              <w:jc w:val="right"/>
              <w:ind w:right="892"/>
              <w:spacing w:after="0"/>
              <w:rPr>
                <w:sz w:val="20"/>
                <w:szCs w:val="20"/>
                <w:color w:val="auto"/>
              </w:rPr>
            </w:pPr>
            <w:r>
              <w:rPr>
                <w:rFonts w:ascii="Times New Roman" w:cs="Times New Roman" w:eastAsia="Times New Roman" w:hAnsi="Times New Roman"/>
                <w:sz w:val="22"/>
                <w:szCs w:val="22"/>
                <w:b w:val="1"/>
                <w:bCs w:val="1"/>
                <w:color w:val="FFFFFF"/>
              </w:rPr>
              <w:t>2024</w:t>
            </w:r>
          </w:p>
        </w:tc>
      </w:tr>
      <w:tr>
        <w:trPr>
          <w:trHeight w:val="96"/>
        </w:trPr>
        <w:tc>
          <w:tcPr>
            <w:tcW w:w="3460" w:type="dxa"/>
            <w:vAlign w:val="bottom"/>
            <w:tcBorders>
              <w:left w:val="single" w:sz="8" w:color="auto"/>
              <w:bottom w:val="single" w:sz="8" w:color="auto"/>
              <w:right w:val="single" w:sz="8" w:color="auto"/>
            </w:tcBorders>
            <w:shd w:val="clear" w:color="auto" w:fill="29650B"/>
          </w:tcPr>
          <w:p>
            <w:pPr>
              <w:spacing w:after="0"/>
              <w:rPr>
                <w:sz w:val="8"/>
                <w:szCs w:val="8"/>
                <w:color w:val="auto"/>
              </w:rPr>
            </w:pPr>
          </w:p>
        </w:tc>
        <w:tc>
          <w:tcPr>
            <w:tcW w:w="2540" w:type="dxa"/>
            <w:vAlign w:val="bottom"/>
            <w:tcBorders>
              <w:bottom w:val="single" w:sz="8" w:color="auto"/>
              <w:right w:val="single" w:sz="8" w:color="auto"/>
            </w:tcBorders>
            <w:shd w:val="clear" w:color="auto" w:fill="29650B"/>
          </w:tcPr>
          <w:p>
            <w:pPr>
              <w:spacing w:after="0"/>
              <w:rPr>
                <w:sz w:val="8"/>
                <w:szCs w:val="8"/>
                <w:color w:val="auto"/>
              </w:rPr>
            </w:pPr>
          </w:p>
        </w:tc>
        <w:tc>
          <w:tcPr>
            <w:tcW w:w="2420" w:type="dxa"/>
            <w:vAlign w:val="bottom"/>
            <w:tcBorders>
              <w:bottom w:val="single" w:sz="8" w:color="auto"/>
              <w:right w:val="single" w:sz="8" w:color="auto"/>
            </w:tcBorders>
            <w:shd w:val="clear" w:color="auto" w:fill="29650B"/>
          </w:tcPr>
          <w:p>
            <w:pPr>
              <w:spacing w:after="0"/>
              <w:rPr>
                <w:sz w:val="8"/>
                <w:szCs w:val="8"/>
                <w:color w:val="auto"/>
              </w:rPr>
            </w:pPr>
          </w:p>
        </w:tc>
      </w:tr>
      <w:tr>
        <w:trPr>
          <w:trHeight w:val="237"/>
        </w:trPr>
        <w:tc>
          <w:tcPr>
            <w:tcW w:w="3460" w:type="dxa"/>
            <w:vAlign w:val="bottom"/>
            <w:tcBorders>
              <w:left w:val="single" w:sz="8" w:color="auto"/>
              <w:right w:val="single" w:sz="8" w:color="auto"/>
            </w:tcBorders>
          </w:tcPr>
          <w:p>
            <w:pPr>
              <w:ind w:left="100"/>
              <w:spacing w:after="0" w:line="237" w:lineRule="exact"/>
              <w:rPr>
                <w:sz w:val="20"/>
                <w:szCs w:val="20"/>
                <w:color w:val="auto"/>
              </w:rPr>
            </w:pPr>
            <w:r>
              <w:rPr>
                <w:rFonts w:ascii="Times New Roman" w:cs="Times New Roman" w:eastAsia="Times New Roman" w:hAnsi="Times New Roman"/>
                <w:sz w:val="22"/>
                <w:szCs w:val="22"/>
                <w:color w:val="auto"/>
              </w:rPr>
              <w:t>Audit Fees</w:t>
            </w:r>
          </w:p>
        </w:tc>
        <w:tc>
          <w:tcPr>
            <w:tcW w:w="2540" w:type="dxa"/>
            <w:vAlign w:val="bottom"/>
            <w:tcBorders>
              <w:right w:val="single" w:sz="8" w:color="auto"/>
            </w:tcBorders>
          </w:tcPr>
          <w:p>
            <w:pPr>
              <w:jc w:val="right"/>
              <w:ind w:right="232"/>
              <w:spacing w:after="0" w:line="237" w:lineRule="exact"/>
              <w:rPr>
                <w:sz w:val="20"/>
                <w:szCs w:val="20"/>
                <w:color w:val="auto"/>
              </w:rPr>
            </w:pPr>
            <w:r>
              <w:rPr>
                <w:rFonts w:ascii="Times New Roman" w:cs="Times New Roman" w:eastAsia="Times New Roman" w:hAnsi="Times New Roman"/>
                <w:sz w:val="22"/>
                <w:szCs w:val="22"/>
                <w:color w:val="auto"/>
              </w:rPr>
              <w:t>$9,168,000</w:t>
            </w:r>
          </w:p>
        </w:tc>
        <w:tc>
          <w:tcPr>
            <w:tcW w:w="2420" w:type="dxa"/>
            <w:vAlign w:val="bottom"/>
            <w:tcBorders>
              <w:right w:val="single" w:sz="8" w:color="auto"/>
            </w:tcBorders>
          </w:tcPr>
          <w:p>
            <w:pPr>
              <w:jc w:val="right"/>
              <w:ind w:right="212"/>
              <w:spacing w:after="0" w:line="237" w:lineRule="exact"/>
              <w:rPr>
                <w:sz w:val="20"/>
                <w:szCs w:val="20"/>
                <w:color w:val="auto"/>
              </w:rPr>
            </w:pPr>
            <w:r>
              <w:rPr>
                <w:rFonts w:ascii="Times New Roman" w:cs="Times New Roman" w:eastAsia="Times New Roman" w:hAnsi="Times New Roman"/>
                <w:sz w:val="22"/>
                <w:szCs w:val="22"/>
                <w:color w:val="auto"/>
              </w:rPr>
              <w:t>$9,279,000</w:t>
            </w:r>
          </w:p>
        </w:tc>
      </w:tr>
      <w:tr>
        <w:trPr>
          <w:trHeight w:val="243"/>
        </w:trPr>
        <w:tc>
          <w:tcPr>
            <w:tcW w:w="3460" w:type="dxa"/>
            <w:vAlign w:val="bottom"/>
            <w:tcBorders>
              <w:left w:val="single" w:sz="8" w:color="auto"/>
              <w:right w:val="single" w:sz="8" w:color="auto"/>
            </w:tcBorders>
            <w:shd w:val="clear" w:color="auto" w:fill="D9D9D9"/>
          </w:tcPr>
          <w:p>
            <w:pPr>
              <w:ind w:left="100"/>
              <w:spacing w:after="0" w:line="243" w:lineRule="exact"/>
              <w:rPr>
                <w:sz w:val="20"/>
                <w:szCs w:val="20"/>
                <w:color w:val="auto"/>
              </w:rPr>
            </w:pPr>
            <w:r>
              <w:rPr>
                <w:rFonts w:ascii="Times New Roman" w:cs="Times New Roman" w:eastAsia="Times New Roman" w:hAnsi="Times New Roman"/>
                <w:sz w:val="22"/>
                <w:szCs w:val="22"/>
                <w:color w:val="auto"/>
              </w:rPr>
              <w:t>Audit-Related Fees</w:t>
            </w:r>
          </w:p>
        </w:tc>
        <w:tc>
          <w:tcPr>
            <w:tcW w:w="2540" w:type="dxa"/>
            <w:vAlign w:val="bottom"/>
            <w:tcBorders>
              <w:right w:val="single" w:sz="8" w:color="auto"/>
            </w:tcBorders>
            <w:shd w:val="clear" w:color="auto" w:fill="D9D9D9"/>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430,000</w:t>
            </w:r>
          </w:p>
        </w:tc>
        <w:tc>
          <w:tcPr>
            <w:tcW w:w="2420" w:type="dxa"/>
            <w:vAlign w:val="bottom"/>
            <w:tcBorders>
              <w:right w:val="single" w:sz="8" w:color="auto"/>
            </w:tcBorders>
            <w:shd w:val="clear" w:color="auto" w:fill="D9D9D9"/>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254,000</w:t>
            </w:r>
          </w:p>
        </w:tc>
      </w:tr>
      <w:tr>
        <w:trPr>
          <w:trHeight w:val="297"/>
        </w:trPr>
        <w:tc>
          <w:tcPr>
            <w:tcW w:w="3460" w:type="dxa"/>
            <w:vAlign w:val="bottom"/>
            <w:tcBorders>
              <w:left w:val="single" w:sz="8" w:color="auto"/>
              <w:right w:val="single" w:sz="8" w:color="auto"/>
            </w:tcBorders>
          </w:tcPr>
          <w:p>
            <w:pPr>
              <w:ind w:left="100"/>
              <w:spacing w:after="0" w:line="297" w:lineRule="exact"/>
              <w:rPr>
                <w:sz w:val="20"/>
                <w:szCs w:val="20"/>
                <w:color w:val="auto"/>
              </w:rPr>
            </w:pPr>
            <w:r>
              <w:rPr>
                <w:rFonts w:ascii="Times New Roman" w:cs="Times New Roman" w:eastAsia="Times New Roman" w:hAnsi="Times New Roman"/>
                <w:sz w:val="21"/>
                <w:szCs w:val="21"/>
                <w:color w:val="auto"/>
              </w:rPr>
              <w:t>Tax-Related Fees</w:t>
            </w:r>
            <w:r>
              <w:rPr>
                <w:rFonts w:ascii="Times New Roman" w:cs="Times New Roman" w:eastAsia="Times New Roman" w:hAnsi="Times New Roman"/>
                <w:sz w:val="34"/>
                <w:szCs w:val="34"/>
                <w:color w:val="auto"/>
                <w:vertAlign w:val="superscript"/>
              </w:rPr>
              <w:t>1</w:t>
            </w:r>
          </w:p>
        </w:tc>
        <w:tc>
          <w:tcPr>
            <w:tcW w:w="2540" w:type="dxa"/>
            <w:vAlign w:val="bottom"/>
            <w:tcBorders>
              <w:right w:val="single" w:sz="8" w:color="auto"/>
            </w:tcBorders>
          </w:tcPr>
          <w:p>
            <w:pPr>
              <w:jc w:val="right"/>
              <w:ind w:right="232"/>
              <w:spacing w:after="0"/>
              <w:rPr>
                <w:sz w:val="20"/>
                <w:szCs w:val="20"/>
                <w:color w:val="auto"/>
              </w:rPr>
            </w:pPr>
            <w:r>
              <w:rPr>
                <w:rFonts w:ascii="Times New Roman" w:cs="Times New Roman" w:eastAsia="Times New Roman" w:hAnsi="Times New Roman"/>
                <w:sz w:val="22"/>
                <w:szCs w:val="22"/>
                <w:color w:val="auto"/>
              </w:rPr>
              <w:t>1,010,000</w:t>
            </w:r>
          </w:p>
        </w:tc>
        <w:tc>
          <w:tcPr>
            <w:tcW w:w="2420" w:type="dxa"/>
            <w:vAlign w:val="bottom"/>
            <w:tcBorders>
              <w:right w:val="single" w:sz="8" w:color="auto"/>
            </w:tcBorders>
          </w:tcPr>
          <w:p>
            <w:pPr>
              <w:jc w:val="right"/>
              <w:ind w:right="212"/>
              <w:spacing w:after="0"/>
              <w:rPr>
                <w:sz w:val="20"/>
                <w:szCs w:val="20"/>
                <w:color w:val="auto"/>
              </w:rPr>
            </w:pPr>
            <w:r>
              <w:rPr>
                <w:rFonts w:ascii="Times New Roman" w:cs="Times New Roman" w:eastAsia="Times New Roman" w:hAnsi="Times New Roman"/>
                <w:sz w:val="22"/>
                <w:szCs w:val="22"/>
                <w:color w:val="auto"/>
              </w:rPr>
              <w:t>2,778,000</w:t>
            </w:r>
          </w:p>
        </w:tc>
      </w:tr>
      <w:tr>
        <w:trPr>
          <w:trHeight w:val="243"/>
        </w:trPr>
        <w:tc>
          <w:tcPr>
            <w:tcW w:w="3460" w:type="dxa"/>
            <w:vAlign w:val="bottom"/>
            <w:tcBorders>
              <w:left w:val="single" w:sz="8" w:color="auto"/>
              <w:bottom w:val="single" w:sz="8" w:color="auto"/>
              <w:right w:val="single" w:sz="8" w:color="auto"/>
            </w:tcBorders>
            <w:shd w:val="clear" w:color="auto" w:fill="D9D9D9"/>
          </w:tcPr>
          <w:p>
            <w:pPr>
              <w:ind w:left="100"/>
              <w:spacing w:after="0" w:line="243" w:lineRule="exact"/>
              <w:rPr>
                <w:sz w:val="20"/>
                <w:szCs w:val="20"/>
                <w:color w:val="auto"/>
              </w:rPr>
            </w:pPr>
            <w:r>
              <w:rPr>
                <w:rFonts w:ascii="Times New Roman" w:cs="Times New Roman" w:eastAsia="Times New Roman" w:hAnsi="Times New Roman"/>
                <w:sz w:val="22"/>
                <w:szCs w:val="22"/>
                <w:color w:val="auto"/>
              </w:rPr>
              <w:t>All Other Fees</w:t>
            </w:r>
          </w:p>
        </w:tc>
        <w:tc>
          <w:tcPr>
            <w:tcW w:w="2540" w:type="dxa"/>
            <w:vAlign w:val="bottom"/>
            <w:tcBorders>
              <w:bottom w:val="single" w:sz="8" w:color="auto"/>
              <w:right w:val="single" w:sz="8" w:color="auto"/>
            </w:tcBorders>
            <w:shd w:val="clear" w:color="auto" w:fill="D9D9D9"/>
          </w:tcPr>
          <w:p>
            <w:pPr>
              <w:jc w:val="right"/>
              <w:ind w:right="232"/>
              <w:spacing w:after="0" w:line="243" w:lineRule="exact"/>
              <w:rPr>
                <w:sz w:val="20"/>
                <w:szCs w:val="20"/>
                <w:color w:val="auto"/>
              </w:rPr>
            </w:pPr>
            <w:r>
              <w:rPr>
                <w:rFonts w:ascii="Times New Roman" w:cs="Times New Roman" w:eastAsia="Times New Roman" w:hAnsi="Times New Roman"/>
                <w:sz w:val="22"/>
                <w:szCs w:val="22"/>
                <w:color w:val="auto"/>
              </w:rPr>
              <w:t>15,000</w:t>
            </w:r>
          </w:p>
        </w:tc>
        <w:tc>
          <w:tcPr>
            <w:tcW w:w="2420" w:type="dxa"/>
            <w:vAlign w:val="bottom"/>
            <w:tcBorders>
              <w:bottom w:val="single" w:sz="8" w:color="auto"/>
              <w:right w:val="single" w:sz="8" w:color="auto"/>
            </w:tcBorders>
            <w:shd w:val="clear" w:color="auto" w:fill="D9D9D9"/>
          </w:tcPr>
          <w:p>
            <w:pPr>
              <w:jc w:val="right"/>
              <w:ind w:right="212"/>
              <w:spacing w:after="0" w:line="243" w:lineRule="exact"/>
              <w:rPr>
                <w:sz w:val="20"/>
                <w:szCs w:val="20"/>
                <w:color w:val="auto"/>
              </w:rPr>
            </w:pPr>
            <w:r>
              <w:rPr>
                <w:rFonts w:ascii="Times New Roman" w:cs="Times New Roman" w:eastAsia="Times New Roman" w:hAnsi="Times New Roman"/>
                <w:sz w:val="22"/>
                <w:szCs w:val="22"/>
                <w:color w:val="auto"/>
              </w:rPr>
              <w:t>14,000</w:t>
            </w:r>
          </w:p>
        </w:tc>
      </w:tr>
    </w:tbl>
    <w:p>
      <w:pPr>
        <w:spacing w:after="0" w:line="29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1"/>
          <w:szCs w:val="21"/>
          <w:color w:val="auto"/>
        </w:rPr>
        <w:t>All of the services described above were approved by the Audit Committee. The Audit Committee also evaluated whether the non-audit fees paid to PricewaterhouseCoopers are compatible with maintaining their independence as auditors. The Audit Committee reviews each year the level of Audit and Audit-Related Fees in relation to all other fees paid to the independent auditors. In carrying out this responsibility, the Audit Committee may obtain input from Company management on the general level of fees. The Audit Committee pre-approves all audit and permitted non-audit services, and related fees, to be performed by the Company’s independent auditors. In addition to the Audit Committee’s annual pre-approval, under the Audit Committee Charter the Chair of the Audit Committee has the authority to review and approve other services that may arise during the year with proposed fees up to $250,000 per transaction and reports back any such approvals to the full Audit Committee. Pursuant to this authority, during 2025 the Chair reviewed and approved services with fees totaling approximately $4,146.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17830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53" w:lineRule="exact"/>
        <w:rPr>
          <w:sz w:val="20"/>
          <w:szCs w:val="20"/>
          <w:color w:val="auto"/>
        </w:rPr>
      </w:pPr>
    </w:p>
    <w:p>
      <w:pPr>
        <w:ind w:left="160" w:hanging="152"/>
        <w:spacing w:after="0"/>
        <w:tabs>
          <w:tab w:leader="none" w:pos="160" w:val="left"/>
        </w:tabs>
        <w:numPr>
          <w:ilvl w:val="0"/>
          <w:numId w:val="68"/>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22"/>
          <w:szCs w:val="22"/>
          <w:color w:val="auto"/>
        </w:rPr>
        <w:t>Includes tax compliance fees and tax advisory service fees.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70</w:t>
      </w:r>
    </w:p>
    <w:p>
      <w:pPr>
        <w:sectPr>
          <w:pgSz w:w="11900" w:h="16838" w:orient="portrait"/>
          <w:cols w:equalWidth="0" w:num="1">
            <w:col w:w="11240"/>
          </w:cols>
          <w:pgMar w:left="320" w:top="55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32"/>
          <w:szCs w:val="32"/>
          <w:b w:val="1"/>
          <w:bCs w:val="1"/>
          <w:color w:val="29650B"/>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The Audit Committee provides assistance to the Board of Directors by its oversight of the financial accounting practices and the internal controls of the Company and represents the Board in connection with the services rendered by the Company’s independent auditors, who report directly to the Audit Committee.</w:t>
      </w:r>
    </w:p>
    <w:p>
      <w:pPr>
        <w:spacing w:after="0" w:line="200"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In fulfilling its responsibilities, the Audit Committee has reviewed and discussed with the Company’s management and its independent auditors the audited financial statements for the fiscal year ended December 31, 2025 and the Company’s system of internal controls and its effectiveness. Management is responsible for the financial statements and the reporting process, including the system of internal controls, and has represented to the Audit Committee that such financial statements were prepared in accordance with generally accepted accounting principles. The Company’s independent auditors, PricewaterhouseCoopers LLP, are responsible for expressing an opinion as to whether the financial statements fairly present in all material respects the financial position, results of operations and cash flows of the Company in accordance with generally accepted accounting principles in the United States. PricewaterhouseCoopers have informed the Audit Committee that they have given such an opinion with respect to the audited financial statements for the fiscal year ended December 31, 2025.</w:t>
      </w:r>
    </w:p>
    <w:p>
      <w:pPr>
        <w:spacing w:after="0" w:line="18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The Audit Committee discussed with the independent auditors the matters required to be discussed under the rules adopted by the Public Company Accounting Oversight Board (“PCAOB”). In addition, the Audit Committee discussed with the independent auditors the auditors’ independence from the Company and its management, including the matters in the written disclosures and letter which were received by the Audit Committee from the independent auditors as required by applicable requirements of the PCAOB regarding the independent auditors’ communications with the Audit Committee regarding independence.</w:t>
      </w:r>
    </w:p>
    <w:p>
      <w:pPr>
        <w:spacing w:after="0" w:line="181"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Based on the reviews and discussions referred to above, the Audit Committee recommended to the Board of Directors that the audited financial statements be included in the Company’s Annual Report on Form 10-K for the fiscal year ended December 31, 2025.</w:t>
      </w:r>
    </w:p>
    <w:p>
      <w:pPr>
        <w:spacing w:after="0" w:line="17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report is respectfully submitted on February 25, 2026 by the members of the Audit Committee.</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 xml:space="preserve">B. Craig Owens, </w:t>
      </w:r>
      <w:r>
        <w:rPr>
          <w:rFonts w:ascii="Times New Roman" w:cs="Times New Roman" w:eastAsia="Times New Roman" w:hAnsi="Times New Roman"/>
          <w:sz w:val="22"/>
          <w:szCs w:val="22"/>
          <w:i w:val="1"/>
          <w:iCs w:val="1"/>
          <w:color w:val="auto"/>
        </w:rPr>
        <w:t>Chair</w:t>
      </w:r>
    </w:p>
    <w:p>
      <w:pPr>
        <w:spacing w:after="0" w:line="8"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Richard Fearon</w:t>
      </w:r>
    </w:p>
    <w:p>
      <w:pPr>
        <w:ind w:left="5460"/>
        <w:spacing w:after="0" w:line="230" w:lineRule="auto"/>
        <w:rPr>
          <w:sz w:val="20"/>
          <w:szCs w:val="20"/>
          <w:color w:val="auto"/>
        </w:rPr>
      </w:pPr>
      <w:r>
        <w:rPr>
          <w:rFonts w:ascii="Times New Roman" w:cs="Times New Roman" w:eastAsia="Times New Roman" w:hAnsi="Times New Roman"/>
          <w:sz w:val="22"/>
          <w:szCs w:val="22"/>
          <w:color w:val="auto"/>
        </w:rPr>
        <w:t>Andrea Funk</w:t>
      </w:r>
    </w:p>
    <w:p>
      <w:pPr>
        <w:ind w:left="5460"/>
        <w:spacing w:after="0" w:line="231" w:lineRule="auto"/>
        <w:rPr>
          <w:sz w:val="20"/>
          <w:szCs w:val="20"/>
          <w:color w:val="auto"/>
        </w:rPr>
      </w:pPr>
      <w:r>
        <w:rPr>
          <w:rFonts w:ascii="Times New Roman" w:cs="Times New Roman" w:eastAsia="Times New Roman" w:hAnsi="Times New Roman"/>
          <w:sz w:val="22"/>
          <w:szCs w:val="22"/>
          <w:color w:val="auto"/>
        </w:rPr>
        <w:t>Angela Snyder</w:t>
      </w:r>
    </w:p>
    <w:p>
      <w:pPr>
        <w:ind w:left="5460"/>
        <w:spacing w:after="0" w:line="230" w:lineRule="auto"/>
        <w:rPr>
          <w:sz w:val="20"/>
          <w:szCs w:val="20"/>
          <w:color w:val="auto"/>
        </w:rPr>
      </w:pPr>
      <w:r>
        <w:rPr>
          <w:rFonts w:ascii="Times New Roman" w:cs="Times New Roman" w:eastAsia="Times New Roman" w:hAnsi="Times New Roman"/>
          <w:sz w:val="22"/>
          <w:szCs w:val="22"/>
          <w:color w:val="auto"/>
        </w:rPr>
        <w:t>Caesar Sweitzer</w:t>
      </w:r>
    </w:p>
    <w:p>
      <w:pPr>
        <w:spacing w:after="0" w:line="1"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22"/>
          <w:szCs w:val="22"/>
          <w:color w:val="auto"/>
        </w:rPr>
        <w:t>Dwayne Wilson</w:t>
      </w:r>
    </w:p>
    <w:p>
      <w:pPr>
        <w:spacing w:after="0" w:line="31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71</w:t>
      </w:r>
    </w:p>
    <w:p>
      <w:pPr>
        <w:sectPr>
          <w:pgSz w:w="11900" w:h="16838" w:orient="portrait"/>
          <w:cols w:equalWidth="0" w:num="1">
            <w:col w:w="11240"/>
          </w:cols>
          <w:pgMar w:left="320" w:top="551" w:right="339" w:bottom="1440" w:gutter="0" w:footer="0" w:header="0"/>
        </w:sectPr>
      </w:pPr>
    </w:p>
    <w:bookmarkStart w:id="74" w:name="page75"/>
    <w:bookmarkEnd w:id="74"/>
    <w:p>
      <w:pPr>
        <w:ind w:right="960"/>
        <w:spacing w:after="0" w:line="287" w:lineRule="auto"/>
        <w:rPr>
          <w:sz w:val="20"/>
          <w:szCs w:val="20"/>
          <w:color w:val="auto"/>
        </w:rPr>
      </w:pPr>
      <w:r>
        <w:rPr>
          <w:rFonts w:ascii="Times New Roman" w:cs="Times New Roman" w:eastAsia="Times New Roman" w:hAnsi="Times New Roman"/>
          <w:sz w:val="31"/>
          <w:szCs w:val="31"/>
          <w:b w:val="1"/>
          <w:bCs w:val="1"/>
          <w:color w:val="29650B"/>
        </w:rPr>
        <w:t>PROPOSAL 2: RATIFICATION OF APPOINTMENT OF INDEPENDENT AUDITORS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342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The Audit Committee has appointed the firm of PricewaterhouseCoopers LLP, an independent registered public accounting firm, as independent auditors to audit and report on the Company’s financial statements for 2026.</w:t>
      </w:r>
    </w:p>
    <w:p>
      <w:pPr>
        <w:spacing w:after="0" w:line="18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Although the submission to Shareholders of the appointment of PricewaterhouseCoopers is not required by law or the Company’s By-Laws, the Audit Committee believes it is appropriate to submit this matter to Shareholders to allow a forum for Shareholders to express their views with regard to the Audit Committee’s selection. In the event Shareholders do not ratify the appointment, the Audit Committee may reconsider the appointment of PricewaterhouseCoopers.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2714625</wp:posOffset>
            </wp:positionV>
            <wp:extent cx="7110730" cy="4495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10730" cy="4495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760"/>
        <w:spacing w:after="0"/>
        <w:rPr>
          <w:sz w:val="20"/>
          <w:szCs w:val="20"/>
          <w:color w:val="auto"/>
        </w:rPr>
      </w:pPr>
      <w:r>
        <w:rPr>
          <w:rFonts w:ascii="Times New Roman" w:cs="Times New Roman" w:eastAsia="Times New Roman" w:hAnsi="Times New Roman"/>
          <w:sz w:val="25"/>
          <w:szCs w:val="25"/>
          <w:b w:val="1"/>
          <w:bCs w:val="1"/>
          <w:color w:val="auto"/>
        </w:rPr>
        <w:t>The Board of Directors Recommends a Vote FOR the Ratification of the</w:t>
      </w:r>
    </w:p>
    <w:p>
      <w:pPr>
        <w:spacing w:after="0" w:line="44" w:lineRule="exact"/>
        <w:rPr>
          <w:sz w:val="20"/>
          <w:szCs w:val="20"/>
          <w:color w:val="auto"/>
        </w:rPr>
      </w:pPr>
    </w:p>
    <w:p>
      <w:pPr>
        <w:ind w:left="1740"/>
        <w:spacing w:after="0"/>
        <w:rPr>
          <w:sz w:val="20"/>
          <w:szCs w:val="20"/>
          <w:color w:val="auto"/>
        </w:rPr>
      </w:pPr>
      <w:r>
        <w:rPr>
          <w:rFonts w:ascii="Times New Roman" w:cs="Times New Roman" w:eastAsia="Times New Roman" w:hAnsi="Times New Roman"/>
          <w:sz w:val="25"/>
          <w:szCs w:val="25"/>
          <w:b w:val="1"/>
          <w:bCs w:val="1"/>
          <w:color w:val="auto"/>
        </w:rPr>
        <w:t>Appointment of PricewaterhouseCoopers LLP as Independent Auditors.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72</w:t>
      </w:r>
    </w:p>
    <w:p>
      <w:pPr>
        <w:sectPr>
          <w:pgSz w:w="11900" w:h="16838" w:orient="portrait"/>
          <w:cols w:equalWidth="0" w:num="1">
            <w:col w:w="11240"/>
          </w:cols>
          <w:pgMar w:left="320" w:top="559" w:right="339" w:bottom="1440" w:gutter="0" w:footer="0" w:header="0"/>
        </w:sectPr>
      </w:pPr>
    </w:p>
    <w:bookmarkStart w:id="75" w:name="page76"/>
    <w:bookmarkEnd w:id="75"/>
    <w:p>
      <w:pPr>
        <w:ind w:right="2400"/>
        <w:spacing w:after="0" w:line="287" w:lineRule="auto"/>
        <w:rPr>
          <w:sz w:val="20"/>
          <w:szCs w:val="20"/>
          <w:color w:val="auto"/>
        </w:rPr>
      </w:pPr>
      <w:r>
        <w:rPr>
          <w:rFonts w:ascii="Times New Roman" w:cs="Times New Roman" w:eastAsia="Times New Roman" w:hAnsi="Times New Roman"/>
          <w:sz w:val="31"/>
          <w:szCs w:val="31"/>
          <w:b w:val="1"/>
          <w:bCs w:val="1"/>
          <w:color w:val="29650B"/>
        </w:rPr>
        <w:t>PROPOSAL 3: 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342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At the Annual Meeting, the Company will conduct a Shareholder vote on an advisory resolution to approve executive compensation, commonly referred to as a “Say-on-Pay” vote. The Company currently conducts Say-on-Pay votes on an annual basis, and it expects to conduct the next Say-on-Pay vote at the Company’s 2027 Annual Meeting of Shareholders.</w:t>
      </w:r>
    </w:p>
    <w:p>
      <w:pPr>
        <w:spacing w:after="0" w:line="200"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Board of Directors encourages Shareholders, in deciding whether to vote in favor of the advisory resolution below, to review the compensation-related elements of this Proxy Statement, including those in the Proxy Statement Summary, the CD&amp;A and the tables and related narrative in the Executive Compensation section, for details regarding the Company’s executive compensation program and 2025 compensation of Named Executive Officers.</w:t>
      </w:r>
    </w:p>
    <w:p>
      <w:pPr>
        <w:spacing w:after="0" w:line="207"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Board of Directors believes that the executive compensation program aligns the compensation of the Company’s executive management with the long-term interests of Shareholders. To align these interests, the Company compensates executive management with time-based and performance-based restricted stock and also ties a significant portion of executive cash compensation to performance-based metrics that drive shareholder value.</w:t>
      </w:r>
    </w:p>
    <w:p>
      <w:pPr>
        <w:spacing w:after="0" w:line="203"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RESOLVED, that the Shareholders approve, on an advisory basis, the compensation of the Company’s Named Executive Officers, as disclosed in the Compensation Discussion &amp; Analysis, the compensation tables and the related disclosure contained in the Company’s Proxy Statement for its 2026 Annual Meeting.</w:t>
      </w:r>
    </w:p>
    <w:p>
      <w:pPr>
        <w:spacing w:after="0" w:line="19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2"/>
          <w:szCs w:val="22"/>
          <w:color w:val="auto"/>
        </w:rPr>
        <w:t>Although the vote is non-binding, the Board of Directors and the Compensation Committee expect to take into account the outcome of the vote when considering future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300355</wp:posOffset>
            </wp:positionV>
            <wp:extent cx="7110730" cy="4495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10730" cy="4495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Board of Directors Recommends a Vote FOR the</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Approval of this Advisory Resolution on 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73</w:t>
      </w:r>
    </w:p>
    <w:p>
      <w:pPr>
        <w:sectPr>
          <w:pgSz w:w="11900" w:h="16838" w:orient="portrait"/>
          <w:cols w:equalWidth="0" w:num="1">
            <w:col w:w="11240"/>
          </w:cols>
          <w:pgMar w:left="320" w:top="559" w:right="339" w:bottom="1440" w:gutter="0" w:footer="0" w:header="0"/>
        </w:sectPr>
      </w:pPr>
    </w:p>
    <w:bookmarkStart w:id="76" w:name="page77"/>
    <w:bookmarkEnd w:id="76"/>
    <w:p>
      <w:pPr>
        <w:ind w:right="620"/>
        <w:spacing w:after="0" w:line="287" w:lineRule="auto"/>
        <w:rPr>
          <w:sz w:val="20"/>
          <w:szCs w:val="20"/>
          <w:color w:val="auto"/>
        </w:rPr>
      </w:pPr>
      <w:r>
        <w:rPr>
          <w:rFonts w:ascii="Times New Roman" w:cs="Times New Roman" w:eastAsia="Times New Roman" w:hAnsi="Times New Roman"/>
          <w:sz w:val="31"/>
          <w:szCs w:val="31"/>
          <w:b w:val="1"/>
          <w:bCs w:val="1"/>
          <w:color w:val="29650B"/>
        </w:rPr>
        <w:t>PROPOSAL 4: CONSIDERATION OF A SHAREHOLDER PROPOSAL REGARDING SHAREHOLDER RIGHT TO ACT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132320" cy="342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pacing w:after="0" w:line="381"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 xml:space="preserve">The Company has been advised that John Chevedden, 2215 Nelson Avenue, No. 205, Redondo Beach, CA 90278, who has indicated that he holds at least 100 shares of stock in the Company, intends to submit the following proposal at the Annual Meeting. The text of the shareholder proposal and supporting statement set forth below in the gray text box appear exactly as it was received by the Company unless otherwise noted. All statements contained in the shareholder proposal and supporting statement are the sole responsibility of the proponent. The Company is not responsible for the contents of this proposal. If the following proposal is properly presented at the Annual Meeting, </w:t>
      </w:r>
      <w:r>
        <w:rPr>
          <w:rFonts w:ascii="Times New Roman" w:cs="Times New Roman" w:eastAsia="Times New Roman" w:hAnsi="Times New Roman"/>
          <w:sz w:val="22"/>
          <w:szCs w:val="22"/>
          <w:b w:val="1"/>
          <w:bCs w:val="1"/>
          <w:color w:val="auto"/>
        </w:rPr>
        <w:t>the Board of Directors unanimously recommends a vote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AGAINST the proposal</w:t>
      </w:r>
      <w:r>
        <w:rPr>
          <w:rFonts w:ascii="Times New Roman" w:cs="Times New Roman" w:eastAsia="Times New Roman" w:hAnsi="Times New Roman"/>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305435</wp:posOffset>
            </wp:positionV>
            <wp:extent cx="7132320" cy="46374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4637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SHAREHOLDER RESOLUTION</w:t>
      </w: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Proposal 4 — Shareholder Right to Act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Shareholders request that the board of directors take the necessary steps to permit written consent by the shareholders entitled to cast the minimum number of votes that would be necessary to authorize an action at a meeting at which all shareholders entitled to vote thereon were present and voting (without any unnecessary restriction based on length of stock ownership or the method by which CCK shareholders hold their CCK shares). This includes shareholder ability to initiate any appropriate topic for written consent.</w:t>
      </w:r>
    </w:p>
    <w:p>
      <w:pPr>
        <w:spacing w:after="0" w:line="20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It is more important to enable Crown Holdings shareholders to have the right to act by written consent at CCK because CCK is incorporated in Pennsylvania which has an outrageously high requirement of assembling at least 25% of shares in order to call for a special meeting.</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Shareholders know that 25% is too high because hundreds of non Pennsylvania companies permit 10% of shares to call for a special shareholder meeting and special shareholder meetings are almost never called for at the companies that have the much lower 10% figure.</w:t>
      </w:r>
    </w:p>
    <w:p>
      <w:pPr>
        <w:spacing w:after="0" w:line="20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Now is a good time for this proposal due to the long-term underperformance of CCK stock. CCK stock was at $130 in 2022 and at only $96 in late 2025 despite a robust stock market. If CCK directors and management know that CCK shareholders can act by written consent they will have a greater incentive to perform better.</w:t>
      </w:r>
    </w:p>
    <w:p>
      <w:pPr>
        <w:spacing w:after="0" w:line="20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Shareholder proposals obtain good support at CCK yet is unclear how CCK responds to these impressive votes. For instance the Political Spending Disclosure proposal received 52% support at the 2025 CCK annual meeting.</w:t>
      </w:r>
    </w:p>
    <w:p>
      <w:pPr>
        <w:spacing w:after="0" w:line="293"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74</w:t>
      </w:r>
    </w:p>
    <w:p>
      <w:pPr>
        <w:sectPr>
          <w:pgSz w:w="11900" w:h="16838" w:orient="portrait"/>
          <w:cols w:equalWidth="0" w:num="1">
            <w:col w:w="11240"/>
          </w:cols>
          <w:pgMar w:left="320" w:top="559" w:right="339" w:bottom="1440" w:gutter="0" w:footer="0" w:header="0"/>
        </w:sectPr>
      </w:pPr>
    </w:p>
    <w:bookmarkStart w:id="77" w:name="page78"/>
    <w:bookmarkEnd w:id="77"/>
    <w:p>
      <w:pPr>
        <w:jc w:val="both"/>
        <w:spacing w:after="0" w:line="244" w:lineRule="auto"/>
        <w:rPr>
          <w:sz w:val="20"/>
          <w:szCs w:val="20"/>
          <w:color w:val="auto"/>
        </w:rPr>
      </w:pPr>
      <w:r>
        <w:rPr>
          <w:rFonts w:ascii="Times New Roman" w:cs="Times New Roman" w:eastAsia="Times New Roman" w:hAnsi="Times New Roman"/>
          <w:sz w:val="22"/>
          <w:szCs w:val="22"/>
          <w:color w:val="auto"/>
        </w:rPr>
        <w:t>The 2024 CCK shareholder proposal for a Shareholder Vote on Excessive Golden Parachutes received 44% support. As of late 2025 CCK has not notified the proponent of these proposals whether CCK will take any action in response to these impressive CCK shareholder votes.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-471805</wp:posOffset>
            </wp:positionV>
            <wp:extent cx="7132320" cy="12344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234440"/>
                    </a:xfrm>
                    <a:prstGeom prst="rect">
                      <a:avLst/>
                    </a:prstGeom>
                    <a:noFill/>
                  </pic:spPr>
                </pic:pic>
              </a:graphicData>
            </a:graphic>
          </wp:anchor>
        </w:drawing>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Please vote yes:</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Shareholder Right to Act by Written Consent – Proposal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THE COMPANY’S STATEMENT IN OPPOSITION TO PROPOSAL 4:</w:t>
      </w:r>
    </w:p>
    <w:p>
      <w:pPr>
        <w:spacing w:after="0" w:line="212"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color w:val="auto"/>
        </w:rPr>
        <w:t>The Board believes that all Shareholders should have the opportunity to consider and vote on matters that require Shareholder approval. Actions taken through a meeting, whether at an annual or special meeting of Shareholders, meet this objective. All Shareholders are provided an opportunity to participate in an open, transparent, and equitable decision-making process. No such guarantee exists when Shareholders can act by written consent, because a narrow majority can act for all Shareholders without even consulting them. That does not serve the interests of all Shareholders. The Company’s By-Laws currently prohibit Shareholder action by written consent, requiring that all Shareholder actions be taken at duly called and noticed meetings of Shareholders. The Board believes this change, which would require the Company to amend its organizational documents, is unnecessary and not in the best interests of all Shareholders. The Company’s existing governance practices provide Shareholders with meaningful rights and the ability to participate in the governance of the Company and the Company has been very responsive to Shareholder input. Accordingly, the Board recommends a vote AGAINST Proposal 4.</w:t>
      </w:r>
    </w:p>
    <w:p>
      <w:pPr>
        <w:spacing w:after="0" w:line="175"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Shareholder meetings provide the most transparent, informed, and equitable process for all Shareholders to exercise their rights.</w:t>
      </w:r>
    </w:p>
    <w:p>
      <w:pPr>
        <w:spacing w:after="0" w:line="15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For a special or annual meeting of Shareholders, all Shareholders receive advance notice of the meeting and have clearly established times during which they can evaluate the issues, engage with the Company and other Shareholders, communicate their views, and vote. Accurate and complete information about the proposed action is included in a proxy statement, which is widely distributed to Shareholders before the meeting. All Shareholders have a chance to engage meaningfully in the process, voice their concerns, offer their perspectives, and cast their votes. The Board is able to analyze and provide a recommendation to Shareholders on actions proposed to be taken. At an annual or special Shareholder meeting, Shareholders can hear from management and the Board and can ask questions. Different viewpoints can be aired.</w:t>
      </w:r>
    </w:p>
    <w:p>
      <w:pPr>
        <w:spacing w:after="0" w:line="183"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This informed and collective process does not occur in an action taken by written consent, which only requires a majority of Shareholders to participate in the process. In contrast to the transparent meeting process, a Shareholder seeking action by written consent may attempt to solicit the fewest possible Shareholders to take action, rather than seeking input from all Shareholders, effectively leaving other Shareholders out of the process. This approach disenfranchises Shareholders who are not given the opportunity to participate in major decisions affecting the Company and their interests. Further, the action-by-written-consent process could create confusion. Different Shareholder groups could solicit multiple written consents simultaneously, some of which may be duplicative or contradictory, imposing significant administrative and financial burdens on the Company with no corresponding benefit to Shareholders.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75</w:t>
      </w:r>
    </w:p>
    <w:p>
      <w:pPr>
        <w:sectPr>
          <w:pgSz w:w="11900" w:h="16838" w:orient="portrait"/>
          <w:cols w:equalWidth="0" w:num="1">
            <w:col w:w="11240"/>
          </w:cols>
          <w:pgMar w:left="320" w:top="571" w:right="339" w:bottom="1440" w:gutter="0" w:footer="0" w:header="0"/>
        </w:sectPr>
      </w:pPr>
    </w:p>
    <w:bookmarkStart w:id="78" w:name="page79"/>
    <w:bookmarkEnd w:id="78"/>
    <w:p>
      <w:pPr>
        <w:ind w:left="660"/>
        <w:spacing w:after="0"/>
        <w:rPr>
          <w:sz w:val="20"/>
          <w:szCs w:val="20"/>
          <w:color w:val="auto"/>
        </w:rPr>
      </w:pPr>
      <w:r>
        <w:rPr>
          <w:rFonts w:ascii="Times New Roman" w:cs="Times New Roman" w:eastAsia="Times New Roman" w:hAnsi="Times New Roman"/>
          <w:sz w:val="22"/>
          <w:szCs w:val="22"/>
          <w:b w:val="1"/>
          <w:bCs w:val="1"/>
          <w:color w:val="auto"/>
        </w:rPr>
        <w:t>Existing special meeting rights provide adequate Shareholder access.</w:t>
      </w:r>
    </w:p>
    <w:p>
      <w:pPr>
        <w:spacing w:after="0" w:line="21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22"/>
          <w:szCs w:val="22"/>
          <w:color w:val="auto"/>
        </w:rPr>
        <w:t>The Company’s By-Laws provide that Shareholders holding 25% of the Company’s outstanding shares are entitled to call a special meeting. The Board believes that the threshold of 25% of the Company’s outstanding shares needed to call a special meeting (which is the minimum percentage permitted under Pennsylvania law) gives Shareholders a meaningful ability to raise important matters. This right, along with the other governance practices described below, provides Shareholders with an avenue to raise concerns while protecting against possible misuse of these rights.</w:t>
      </w:r>
    </w:p>
    <w:p>
      <w:pPr>
        <w:spacing w:after="0" w:line="173" w:lineRule="exact"/>
        <w:rPr>
          <w:sz w:val="20"/>
          <w:szCs w:val="20"/>
          <w:color w:val="auto"/>
        </w:rPr>
      </w:pPr>
    </w:p>
    <w:p>
      <w:pPr>
        <w:jc w:val="both"/>
        <w:ind w:right="2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The Company’s corporate governance practices give our Shareholders effective access to the Board and management and the Company has a history of responsiveness to Shareholder input.</w:t>
      </w:r>
    </w:p>
    <w:p>
      <w:pPr>
        <w:spacing w:after="0" w:line="154" w:lineRule="exact"/>
        <w:rPr>
          <w:sz w:val="20"/>
          <w:szCs w:val="20"/>
          <w:color w:val="auto"/>
        </w:rPr>
      </w:pPr>
    </w:p>
    <w:p>
      <w:pPr>
        <w:jc w:val="both"/>
        <w:ind w:firstLine="648"/>
        <w:spacing w:after="0" w:line="235" w:lineRule="auto"/>
        <w:rPr>
          <w:sz w:val="20"/>
          <w:szCs w:val="20"/>
          <w:color w:val="auto"/>
        </w:rPr>
      </w:pPr>
      <w:r>
        <w:rPr>
          <w:rFonts w:ascii="Times New Roman" w:cs="Times New Roman" w:eastAsia="Times New Roman" w:hAnsi="Times New Roman"/>
          <w:sz w:val="22"/>
          <w:szCs w:val="22"/>
          <w:color w:val="auto"/>
        </w:rPr>
        <w:t>The Company’s corporate governance practices provide meaningful opportunities for Shareholders to communicate their priorities and concerns with the Board, management, and other Shareholders. These practices include annual election of all directors, an annual say-on-pay vote, active Shareholder outreach and engagement, an Independent Lead Director, no supermajority voting requirement to amend the Company’s By-Laws, no shareholder rights plan or poison pill, and a resignation policy for Directors who do not receive a majority of votes cast in uncontested elections. The Company also has a strong track record of Board refreshment. The addition of new directors ensures that Shareholders continue to have the ability to evaluate and elect directors who are responsive to Shareholder priorities and concerns.</w:t>
      </w:r>
    </w:p>
    <w:p>
      <w:pPr>
        <w:spacing w:after="0" w:line="18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22"/>
          <w:szCs w:val="22"/>
          <w:color w:val="auto"/>
        </w:rPr>
        <w:t>It is irrefutably true that the Company has been responsive to clear Shareholder input. Last year, our Shareholders approved a proposal regarding transparency in political spending. Later that year, in response to that vote, we adopted a Political Engagement and Contribution Policy that includes a disclosure policy for candidate campaign contributions (</w:t>
      </w:r>
      <w:r>
        <w:rPr>
          <w:rFonts w:ascii="Times New Roman" w:cs="Times New Roman" w:eastAsia="Times New Roman" w:hAnsi="Times New Roman"/>
          <w:sz w:val="22"/>
          <w:szCs w:val="22"/>
          <w:b w:val="1"/>
          <w:bCs w:val="1"/>
          <w:u w:val="single" w:color="auto"/>
          <w:color w:val="29650B"/>
        </w:rPr>
        <w:t>www.crowncork.com/investors/policies</w:t>
      </w:r>
      <w:r>
        <w:rPr>
          <w:rFonts w:ascii="Times New Roman" w:cs="Times New Roman" w:eastAsia="Times New Roman" w:hAnsi="Times New Roman"/>
          <w:sz w:val="22"/>
          <w:szCs w:val="22"/>
          <w:color w:val="auto"/>
        </w:rPr>
        <w:t>). In 2023, our Shareholders approved a proposal seeking Shareholder ratification of termination pay. In 2024, the Company adopted a responsive policy. In 2022, our Shareholders approved a proposal requesting the Board to adopt Shareholder special meeting rights. We amended our Bylaws later that year to create special meeting rights.</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22"/>
          <w:szCs w:val="22"/>
          <w:color w:val="auto"/>
        </w:rPr>
        <w:t>For these reasons, among others, we believe that written consent procedures would not provide any additional benefit to our Shareholders. After careful consideration, the Board concluded that this proposal is not in the best interest of the Company and its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309880</wp:posOffset>
            </wp:positionV>
            <wp:extent cx="7110730" cy="4495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10730" cy="44958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The Board of Directors Recommends a Vote AGAINST the Shareholder</w:t>
      </w:r>
    </w:p>
    <w:p>
      <w:pPr>
        <w:spacing w:after="0" w:line="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Proposal Regarding Shareholder Right to Act by Written Consent.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76</w:t>
      </w:r>
    </w:p>
    <w:p>
      <w:pPr>
        <w:sectPr>
          <w:pgSz w:w="11900" w:h="16838" w:orient="portrait"/>
          <w:cols w:equalWidth="0" w:num="1">
            <w:col w:w="11240"/>
          </w:cols>
          <w:pgMar w:left="320" w:top="675"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32"/>
          <w:szCs w:val="32"/>
          <w:b w:val="1"/>
          <w:bCs w:val="1"/>
          <w:color w:val="29650B"/>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27940</wp:posOffset>
            </wp:positionV>
            <wp:extent cx="7132320" cy="342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551" w:right="33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22"/>
          <w:szCs w:val="22"/>
          <w:color w:val="auto"/>
        </w:rPr>
        <w:t>The Board of Directors knows of no other matter that may be presented for Shareholder action at the Annual Meeting, but if other matters do properly come before the Annual Meeting, or if any of the persons named above to serve as Directors are unable or decline to serve, it is intended that the persons named in the Proxy or their substitutes will vote on such matters and for other nominees in accordance with their best judgment.</w:t>
      </w:r>
    </w:p>
    <w:p>
      <w:pPr>
        <w:spacing w:after="0" w:line="200" w:lineRule="exact"/>
        <w:rPr>
          <w:sz w:val="20"/>
          <w:szCs w:val="20"/>
          <w:color w:val="auto"/>
        </w:rPr>
      </w:pPr>
    </w:p>
    <w:p>
      <w:pPr>
        <w:spacing w:after="0" w:line="304"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2"/>
          <w:szCs w:val="22"/>
          <w:color w:val="auto"/>
        </w:rPr>
        <w:t>ADAM J. DICKSTEIN</w:t>
      </w:r>
    </w:p>
    <w:p>
      <w:pPr>
        <w:spacing w:after="0" w:line="14"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2"/>
          <w:szCs w:val="22"/>
          <w:color w:val="auto"/>
        </w:rPr>
        <w:t>Corporate Secretary</w:t>
      </w:r>
    </w:p>
    <w:p>
      <w:pPr>
        <w:spacing w:after="0" w:line="200" w:lineRule="exact"/>
        <w:rPr>
          <w:sz w:val="20"/>
          <w:szCs w:val="20"/>
          <w:color w:val="auto"/>
        </w:rPr>
      </w:pPr>
    </w:p>
    <w:p>
      <w:pPr>
        <w:spacing w:after="0" w:line="252"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2"/>
          <w:szCs w:val="22"/>
          <w:color w:val="auto"/>
        </w:rPr>
        <w:t>Tampa, Florida 33637</w:t>
      </w:r>
    </w:p>
    <w:p>
      <w:pPr>
        <w:spacing w:after="0" w:line="14" w:lineRule="exact"/>
        <w:rPr>
          <w:sz w:val="20"/>
          <w:szCs w:val="20"/>
          <w:color w:val="auto"/>
        </w:rPr>
      </w:pPr>
    </w:p>
    <w:p>
      <w:pPr>
        <w:jc w:val="center"/>
        <w:ind w:left="5600"/>
        <w:spacing w:after="0"/>
        <w:rPr>
          <w:sz w:val="20"/>
          <w:szCs w:val="20"/>
          <w:color w:val="auto"/>
        </w:rPr>
      </w:pPr>
      <w:r>
        <w:rPr>
          <w:rFonts w:ascii="Times New Roman" w:cs="Times New Roman" w:eastAsia="Times New Roman" w:hAnsi="Times New Roman"/>
          <w:sz w:val="22"/>
          <w:szCs w:val="22"/>
          <w:color w:val="auto"/>
        </w:rPr>
        <w:t>March 23,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77</w:t>
      </w:r>
    </w:p>
    <w:p>
      <w:pPr>
        <w:sectPr>
          <w:pgSz w:w="11900" w:h="16838" w:orient="portrait"/>
          <w:cols w:equalWidth="0" w:num="1">
            <w:col w:w="11240"/>
          </w:cols>
          <w:pgMar w:left="320" w:top="551" w:right="339" w:bottom="1440" w:gutter="0" w:footer="0" w:header="0"/>
          <w:type w:val="continuous"/>
        </w:sectPr>
      </w:pPr>
    </w:p>
    <w:bookmarkStart w:id="80" w:name="page81"/>
    <w:bookmarkEnd w:id="80"/>
    <w:p>
      <w:pPr>
        <w:ind w:left="2700"/>
        <w:spacing w:after="0"/>
        <w:rPr>
          <w:sz w:val="20"/>
          <w:szCs w:val="20"/>
          <w:color w:val="auto"/>
        </w:rPr>
      </w:pPr>
      <w:r>
        <w:rPr>
          <w:rFonts w:ascii="Arial" w:cs="Arial" w:eastAsia="Arial" w:hAnsi="Arial"/>
          <w:sz w:val="15"/>
          <w:szCs w:val="15"/>
          <w:color w:val="231F20"/>
        </w:rPr>
        <w:t>Shareowner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-106680</wp:posOffset>
            </wp:positionV>
            <wp:extent cx="1191260" cy="3943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191260" cy="394335"/>
                    </a:xfrm>
                    <a:prstGeom prst="rect">
                      <a:avLst/>
                    </a:prstGeom>
                    <a:noFill/>
                  </pic:spPr>
                </pic:pic>
              </a:graphicData>
            </a:graphic>
          </wp:anchor>
        </w:drawing>
      </w:r>
    </w:p>
    <w:p>
      <w:pPr>
        <w:ind w:left="2700"/>
        <w:spacing w:after="0"/>
        <w:rPr>
          <w:sz w:val="20"/>
          <w:szCs w:val="20"/>
          <w:color w:val="auto"/>
        </w:rPr>
      </w:pPr>
      <w:r>
        <w:rPr>
          <w:rFonts w:ascii="Arial" w:cs="Arial" w:eastAsia="Arial" w:hAnsi="Arial"/>
          <w:sz w:val="15"/>
          <w:szCs w:val="15"/>
          <w:color w:val="231F20"/>
        </w:rPr>
        <w:t>P.O. Box 64945</w:t>
      </w:r>
    </w:p>
    <w:p>
      <w:pPr>
        <w:jc w:val="right"/>
        <w:ind w:right="3080"/>
        <w:spacing w:after="0"/>
        <w:rPr>
          <w:sz w:val="20"/>
          <w:szCs w:val="20"/>
          <w:color w:val="auto"/>
        </w:rPr>
      </w:pPr>
      <w:r>
        <w:rPr>
          <w:rFonts w:ascii="Arial" w:cs="Arial" w:eastAsia="Arial" w:hAnsi="Arial"/>
          <w:sz w:val="15"/>
          <w:szCs w:val="15"/>
          <w:color w:val="231F20"/>
        </w:rPr>
        <w:t>St. Paul, MN 55164-0945</w:t>
      </w:r>
    </w:p>
    <w:p>
      <w:pPr>
        <w:spacing w:after="0" w:line="240" w:lineRule="exact"/>
        <w:rPr>
          <w:sz w:val="20"/>
          <w:szCs w:val="20"/>
          <w:color w:val="auto"/>
        </w:rPr>
      </w:pPr>
    </w:p>
    <w:p>
      <w:pPr>
        <w:ind w:left="100"/>
        <w:spacing w:after="0"/>
        <w:rPr>
          <w:sz w:val="20"/>
          <w:szCs w:val="20"/>
          <w:color w:val="auto"/>
        </w:rPr>
      </w:pPr>
      <w:r>
        <w:rPr>
          <w:rFonts w:ascii="Arial" w:cs="Arial" w:eastAsia="Arial" w:hAnsi="Arial"/>
          <w:sz w:val="14"/>
          <w:szCs w:val="14"/>
          <w:color w:val="231F20"/>
        </w:rPr>
        <w:t>Address Change? Mark box, sign, and indicate changes below:</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4"/>
          <w:szCs w:val="14"/>
          <w:color w:val="231F20"/>
        </w:rPr>
        <w:t>TO VOTE BY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wp:posOffset>
            </wp:positionH>
            <wp:positionV relativeFrom="paragraph">
              <wp:posOffset>-542290</wp:posOffset>
            </wp:positionV>
            <wp:extent cx="1997075" cy="4546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97075" cy="454660"/>
                    </a:xfrm>
                    <a:prstGeom prst="rect">
                      <a:avLst/>
                    </a:prstGeom>
                    <a:noFill/>
                  </pic:spPr>
                </pic:pic>
              </a:graphicData>
            </a:graphic>
          </wp:anchor>
        </w:drawing>
      </w:r>
    </w:p>
    <w:p>
      <w:pPr>
        <w:spacing w:after="0" w:line="221" w:lineRule="auto"/>
        <w:rPr>
          <w:sz w:val="20"/>
          <w:szCs w:val="20"/>
          <w:color w:val="auto"/>
        </w:rPr>
      </w:pPr>
      <w:r>
        <w:rPr>
          <w:rFonts w:ascii="Arial" w:cs="Arial" w:eastAsia="Arial" w:hAnsi="Arial"/>
          <w:sz w:val="14"/>
          <w:szCs w:val="14"/>
          <w:color w:val="231F20"/>
        </w:rPr>
        <w:t>SEE REVERSE SIDE OF THIS PROXY</w:t>
      </w:r>
    </w:p>
    <w:p>
      <w:pPr>
        <w:spacing w:after="0"/>
        <w:rPr>
          <w:sz w:val="20"/>
          <w:szCs w:val="20"/>
          <w:color w:val="auto"/>
        </w:rPr>
      </w:pPr>
      <w:r>
        <w:rPr>
          <w:rFonts w:ascii="Arial" w:cs="Arial" w:eastAsia="Arial" w:hAnsi="Arial"/>
          <w:sz w:val="14"/>
          <w:szCs w:val="14"/>
          <w:color w:val="231F20"/>
        </w:rPr>
        <w:t>CARD.</w:t>
      </w:r>
    </w:p>
    <w:p>
      <w:pPr>
        <w:spacing w:after="0" w:line="200" w:lineRule="exact"/>
        <w:rPr>
          <w:sz w:val="20"/>
          <w:szCs w:val="20"/>
          <w:color w:val="auto"/>
        </w:rPr>
      </w:pPr>
    </w:p>
    <w:p>
      <w:pPr>
        <w:sectPr>
          <w:pgSz w:w="11900" w:h="16838" w:orient="portrait"/>
          <w:cols w:equalWidth="0" w:num="2">
            <w:col w:w="7480" w:space="720"/>
            <w:col w:w="2760"/>
          </w:cols>
          <w:pgMar w:left="320" w:top="1162" w:right="6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i w:val="1"/>
          <w:iCs w:val="1"/>
          <w:color w:val="231F20"/>
        </w:rPr>
        <w:t>TO VOTE BY MAIL AS THE BOARD OF DIRECTORS RECOMMENDS ON ALL ITEMS BELOW, SIMPLY SIGN, DATE,</w:t>
      </w:r>
    </w:p>
    <w:p>
      <w:pPr>
        <w:jc w:val="center"/>
        <w:ind w:right="40"/>
        <w:spacing w:after="0"/>
        <w:rPr>
          <w:sz w:val="20"/>
          <w:szCs w:val="20"/>
          <w:color w:val="auto"/>
        </w:rPr>
      </w:pPr>
      <w:r>
        <w:rPr>
          <w:rFonts w:ascii="Arial" w:cs="Arial" w:eastAsia="Arial" w:hAnsi="Arial"/>
          <w:sz w:val="16"/>
          <w:szCs w:val="16"/>
          <w:b w:val="1"/>
          <w:bCs w:val="1"/>
          <w:i w:val="1"/>
          <w:iCs w:val="1"/>
          <w:color w:val="231F20"/>
        </w:rPr>
        <w:t>AND RETURN THIS PROXY CARD.</w:t>
      </w:r>
    </w:p>
    <w:p>
      <w:pPr>
        <w:spacing w:after="0" w:line="57"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231F20"/>
        </w:rPr>
        <w:t>THIS PROXY IS SOLICITED ON BEHALF OF THE BOARD OF DIRECTORS</w:t>
      </w:r>
    </w:p>
    <w:p>
      <w:pPr>
        <w:spacing w:after="0" w:line="8"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31F20"/>
        </w:rPr>
        <w:t>The Board of Directors Recommends a Vote FOR the Election of all Nominees.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020" w:type="dxa"/>
            <w:vAlign w:val="bottom"/>
          </w:tcPr>
          <w:p>
            <w:pPr>
              <w:jc w:val="center"/>
              <w:ind w:right="128"/>
              <w:spacing w:after="0"/>
              <w:rPr>
                <w:sz w:val="20"/>
                <w:szCs w:val="20"/>
                <w:color w:val="auto"/>
              </w:rPr>
            </w:pPr>
            <w:r>
              <w:rPr>
                <w:rFonts w:ascii="Arial" w:cs="Arial" w:eastAsia="Arial" w:hAnsi="Arial"/>
                <w:sz w:val="14"/>
                <w:szCs w:val="14"/>
                <w:b w:val="1"/>
                <w:bCs w:val="1"/>
                <w:color w:val="231F20"/>
              </w:rPr>
              <w:t xml:space="preserve">1. </w:t>
            </w:r>
            <w:r>
              <w:rPr>
                <w:rFonts w:ascii="Arial" w:cs="Arial" w:eastAsia="Arial" w:hAnsi="Arial"/>
                <w:sz w:val="14"/>
                <w:szCs w:val="14"/>
                <w:color w:val="231F20"/>
              </w:rPr>
              <w:t>Election of</w:t>
            </w:r>
          </w:p>
        </w:tc>
        <w:tc>
          <w:tcPr>
            <w:tcW w:w="1940" w:type="dxa"/>
            <w:vAlign w:val="bottom"/>
            <w:gridSpan w:val="2"/>
          </w:tcPr>
          <w:p>
            <w:pPr>
              <w:ind w:left="180"/>
              <w:spacing w:after="0"/>
              <w:rPr>
                <w:sz w:val="20"/>
                <w:szCs w:val="20"/>
                <w:color w:val="auto"/>
              </w:rPr>
            </w:pPr>
            <w:r>
              <w:rPr>
                <w:rFonts w:ascii="Arial" w:cs="Arial" w:eastAsia="Arial" w:hAnsi="Arial"/>
                <w:sz w:val="14"/>
                <w:szCs w:val="14"/>
                <w:color w:val="231F20"/>
              </w:rPr>
              <w:t>01 Timothy J. Donahue</w:t>
            </w:r>
          </w:p>
        </w:tc>
        <w:tc>
          <w:tcPr>
            <w:tcW w:w="480" w:type="dxa"/>
            <w:vAlign w:val="bottom"/>
          </w:tcPr>
          <w:p>
            <w:pPr>
              <w:jc w:val="right"/>
              <w:spacing w:after="0"/>
              <w:rPr>
                <w:sz w:val="20"/>
                <w:szCs w:val="20"/>
                <w:color w:val="auto"/>
              </w:rPr>
            </w:pPr>
            <w:r>
              <w:rPr>
                <w:rFonts w:ascii="Arial" w:cs="Arial" w:eastAsia="Arial" w:hAnsi="Arial"/>
                <w:sz w:val="14"/>
                <w:szCs w:val="14"/>
                <w:color w:val="231F20"/>
              </w:rPr>
              <w:t>06</w:t>
            </w:r>
          </w:p>
        </w:tc>
        <w:tc>
          <w:tcPr>
            <w:tcW w:w="2320" w:type="dxa"/>
            <w:vAlign w:val="bottom"/>
          </w:tcPr>
          <w:p>
            <w:pPr>
              <w:ind w:left="20"/>
              <w:spacing w:after="0"/>
              <w:rPr>
                <w:sz w:val="20"/>
                <w:szCs w:val="20"/>
                <w:color w:val="auto"/>
              </w:rPr>
            </w:pPr>
            <w:r>
              <w:rPr>
                <w:rFonts w:ascii="Arial" w:cs="Arial" w:eastAsia="Arial" w:hAnsi="Arial"/>
                <w:sz w:val="14"/>
                <w:szCs w:val="14"/>
                <w:color w:val="231F20"/>
              </w:rPr>
              <w:t>B. Craig Owens</w:t>
            </w:r>
          </w:p>
        </w:tc>
        <w:tc>
          <w:tcPr>
            <w:tcW w:w="1320" w:type="dxa"/>
            <w:vAlign w:val="bottom"/>
          </w:tcPr>
          <w:p>
            <w:pPr>
              <w:ind w:left="1060"/>
              <w:spacing w:after="0" w:line="141" w:lineRule="exact"/>
              <w:rPr>
                <w:sz w:val="20"/>
                <w:szCs w:val="20"/>
                <w:color w:val="auto"/>
              </w:rPr>
            </w:pPr>
            <w:r>
              <w:rPr>
                <w:rFonts w:ascii="MS PGothic" w:cs="MS PGothic" w:eastAsia="MS PGothic" w:hAnsi="MS PGothic"/>
                <w:sz w:val="14"/>
                <w:szCs w:val="14"/>
                <w:color w:val="auto"/>
              </w:rPr>
              <w:t>☐</w:t>
            </w:r>
          </w:p>
        </w:tc>
        <w:tc>
          <w:tcPr>
            <w:tcW w:w="1760" w:type="dxa"/>
            <w:vAlign w:val="bottom"/>
          </w:tcPr>
          <w:p>
            <w:pPr>
              <w:ind w:left="140"/>
              <w:spacing w:after="0"/>
              <w:rPr>
                <w:sz w:val="20"/>
                <w:szCs w:val="20"/>
                <w:color w:val="auto"/>
              </w:rPr>
            </w:pPr>
            <w:r>
              <w:rPr>
                <w:rFonts w:ascii="Arial" w:cs="Arial" w:eastAsia="Arial" w:hAnsi="Arial"/>
                <w:sz w:val="14"/>
                <w:szCs w:val="14"/>
                <w:color w:val="231F20"/>
              </w:rPr>
              <w:t>Vote FOR</w:t>
            </w:r>
          </w:p>
        </w:tc>
        <w:tc>
          <w:tcPr>
            <w:tcW w:w="660" w:type="dxa"/>
            <w:vAlign w:val="bottom"/>
          </w:tcPr>
          <w:p>
            <w:pPr>
              <w:ind w:left="400"/>
              <w:spacing w:after="0" w:line="141" w:lineRule="exact"/>
              <w:rPr>
                <w:sz w:val="20"/>
                <w:szCs w:val="20"/>
                <w:color w:val="auto"/>
              </w:rPr>
            </w:pPr>
            <w:r>
              <w:rPr>
                <w:rFonts w:ascii="MS PGothic" w:cs="MS PGothic" w:eastAsia="MS PGothic" w:hAnsi="MS PGothic"/>
                <w:sz w:val="14"/>
                <w:szCs w:val="14"/>
                <w:color w:val="auto"/>
              </w:rPr>
              <w:t>☐</w:t>
            </w:r>
          </w:p>
        </w:tc>
        <w:tc>
          <w:tcPr>
            <w:tcW w:w="1260" w:type="dxa"/>
            <w:vAlign w:val="bottom"/>
          </w:tcPr>
          <w:p>
            <w:pPr>
              <w:ind w:left="120"/>
              <w:spacing w:after="0"/>
              <w:rPr>
                <w:sz w:val="20"/>
                <w:szCs w:val="20"/>
                <w:color w:val="auto"/>
              </w:rPr>
            </w:pPr>
            <w:r>
              <w:rPr>
                <w:rFonts w:ascii="Arial" w:cs="Arial" w:eastAsia="Arial" w:hAnsi="Arial"/>
                <w:sz w:val="14"/>
                <w:szCs w:val="14"/>
                <w:color w:val="231F20"/>
              </w:rPr>
              <w:t>WITHHOLD Vote</w:t>
            </w:r>
          </w:p>
        </w:tc>
      </w:tr>
      <w:tr>
        <w:trPr>
          <w:trHeight w:val="190"/>
        </w:trPr>
        <w:tc>
          <w:tcPr>
            <w:tcW w:w="1020" w:type="dxa"/>
            <w:vAlign w:val="bottom"/>
          </w:tcPr>
          <w:p>
            <w:pPr>
              <w:jc w:val="center"/>
              <w:ind w:right="88"/>
              <w:spacing w:after="0"/>
              <w:rPr>
                <w:sz w:val="20"/>
                <w:szCs w:val="20"/>
                <w:color w:val="auto"/>
              </w:rPr>
            </w:pPr>
            <w:r>
              <w:rPr>
                <w:rFonts w:ascii="Arial" w:cs="Arial" w:eastAsia="Arial" w:hAnsi="Arial"/>
                <w:sz w:val="14"/>
                <w:szCs w:val="14"/>
                <w:color w:val="231F20"/>
              </w:rPr>
              <w:t>directors</w:t>
            </w:r>
          </w:p>
        </w:tc>
        <w:tc>
          <w:tcPr>
            <w:tcW w:w="360" w:type="dxa"/>
            <w:vAlign w:val="bottom"/>
          </w:tcPr>
          <w:p>
            <w:pPr>
              <w:ind w:left="180"/>
              <w:spacing w:after="0"/>
              <w:rPr>
                <w:sz w:val="20"/>
                <w:szCs w:val="20"/>
                <w:color w:val="auto"/>
              </w:rPr>
            </w:pPr>
            <w:r>
              <w:rPr>
                <w:rFonts w:ascii="Arial" w:cs="Arial" w:eastAsia="Arial" w:hAnsi="Arial"/>
                <w:sz w:val="14"/>
                <w:szCs w:val="14"/>
                <w:color w:val="231F20"/>
              </w:rPr>
              <w:t>02</w:t>
            </w:r>
          </w:p>
        </w:tc>
        <w:tc>
          <w:tcPr>
            <w:tcW w:w="1580" w:type="dxa"/>
            <w:vAlign w:val="bottom"/>
          </w:tcPr>
          <w:p>
            <w:pPr>
              <w:ind w:left="20"/>
              <w:spacing w:after="0"/>
              <w:rPr>
                <w:sz w:val="20"/>
                <w:szCs w:val="20"/>
                <w:color w:val="auto"/>
              </w:rPr>
            </w:pPr>
            <w:r>
              <w:rPr>
                <w:rFonts w:ascii="Arial" w:cs="Arial" w:eastAsia="Arial" w:hAnsi="Arial"/>
                <w:sz w:val="14"/>
                <w:szCs w:val="14"/>
                <w:color w:val="231F20"/>
              </w:rPr>
              <w:t>Michael P. Doss</w:t>
            </w:r>
          </w:p>
        </w:tc>
        <w:tc>
          <w:tcPr>
            <w:tcW w:w="480" w:type="dxa"/>
            <w:vAlign w:val="bottom"/>
          </w:tcPr>
          <w:p>
            <w:pPr>
              <w:jc w:val="right"/>
              <w:spacing w:after="0"/>
              <w:rPr>
                <w:sz w:val="20"/>
                <w:szCs w:val="20"/>
                <w:color w:val="auto"/>
              </w:rPr>
            </w:pPr>
            <w:r>
              <w:rPr>
                <w:rFonts w:ascii="Arial" w:cs="Arial" w:eastAsia="Arial" w:hAnsi="Arial"/>
                <w:sz w:val="14"/>
                <w:szCs w:val="14"/>
                <w:color w:val="231F20"/>
              </w:rPr>
              <w:t>07</w:t>
            </w:r>
          </w:p>
        </w:tc>
        <w:tc>
          <w:tcPr>
            <w:tcW w:w="2320" w:type="dxa"/>
            <w:vAlign w:val="bottom"/>
          </w:tcPr>
          <w:p>
            <w:pPr>
              <w:ind w:left="20"/>
              <w:spacing w:after="0"/>
              <w:rPr>
                <w:sz w:val="20"/>
                <w:szCs w:val="20"/>
                <w:color w:val="auto"/>
              </w:rPr>
            </w:pPr>
            <w:r>
              <w:rPr>
                <w:rFonts w:ascii="Arial" w:cs="Arial" w:eastAsia="Arial" w:hAnsi="Arial"/>
                <w:sz w:val="14"/>
                <w:szCs w:val="14"/>
                <w:color w:val="231F20"/>
              </w:rPr>
              <w:t>Angela M. Snyder</w:t>
            </w:r>
          </w:p>
        </w:tc>
        <w:tc>
          <w:tcPr>
            <w:tcW w:w="1320" w:type="dxa"/>
            <w:vAlign w:val="bottom"/>
          </w:tcPr>
          <w:p>
            <w:pPr>
              <w:spacing w:after="0"/>
              <w:rPr>
                <w:sz w:val="16"/>
                <w:szCs w:val="16"/>
                <w:color w:val="auto"/>
              </w:rPr>
            </w:pPr>
          </w:p>
        </w:tc>
        <w:tc>
          <w:tcPr>
            <w:tcW w:w="1760" w:type="dxa"/>
            <w:vAlign w:val="bottom"/>
          </w:tcPr>
          <w:p>
            <w:pPr>
              <w:ind w:left="140"/>
              <w:spacing w:after="0"/>
              <w:rPr>
                <w:sz w:val="20"/>
                <w:szCs w:val="20"/>
                <w:color w:val="auto"/>
              </w:rPr>
            </w:pPr>
            <w:r>
              <w:rPr>
                <w:rFonts w:ascii="Arial" w:cs="Arial" w:eastAsia="Arial" w:hAnsi="Arial"/>
                <w:sz w:val="14"/>
                <w:szCs w:val="14"/>
                <w:color w:val="231F20"/>
              </w:rPr>
              <w:t>all nominees</w:t>
            </w:r>
          </w:p>
        </w:tc>
        <w:tc>
          <w:tcPr>
            <w:tcW w:w="660" w:type="dxa"/>
            <w:vAlign w:val="bottom"/>
          </w:tcPr>
          <w:p>
            <w:pPr>
              <w:spacing w:after="0"/>
              <w:rPr>
                <w:sz w:val="16"/>
                <w:szCs w:val="16"/>
                <w:color w:val="auto"/>
              </w:rPr>
            </w:pPr>
          </w:p>
        </w:tc>
        <w:tc>
          <w:tcPr>
            <w:tcW w:w="1260" w:type="dxa"/>
            <w:vAlign w:val="bottom"/>
          </w:tcPr>
          <w:p>
            <w:pPr>
              <w:ind w:left="120"/>
              <w:spacing w:after="0"/>
              <w:rPr>
                <w:sz w:val="20"/>
                <w:szCs w:val="20"/>
                <w:color w:val="auto"/>
              </w:rPr>
            </w:pPr>
            <w:r>
              <w:rPr>
                <w:rFonts w:ascii="Arial" w:cs="Arial" w:eastAsia="Arial" w:hAnsi="Arial"/>
                <w:sz w:val="14"/>
                <w:szCs w:val="14"/>
                <w:color w:val="231F20"/>
              </w:rPr>
              <w:t>from all nominees</w:t>
            </w:r>
          </w:p>
        </w:tc>
      </w:tr>
      <w:tr>
        <w:trPr>
          <w:trHeight w:val="216"/>
        </w:trPr>
        <w:tc>
          <w:tcPr>
            <w:tcW w:w="10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4"/>
                <w:szCs w:val="14"/>
                <w:color w:val="231F20"/>
              </w:rPr>
              <w:t>03</w:t>
            </w:r>
          </w:p>
        </w:tc>
        <w:tc>
          <w:tcPr>
            <w:tcW w:w="1580" w:type="dxa"/>
            <w:vAlign w:val="bottom"/>
          </w:tcPr>
          <w:p>
            <w:pPr>
              <w:ind w:left="20"/>
              <w:spacing w:after="0"/>
              <w:rPr>
                <w:sz w:val="20"/>
                <w:szCs w:val="20"/>
                <w:color w:val="auto"/>
              </w:rPr>
            </w:pPr>
            <w:r>
              <w:rPr>
                <w:rFonts w:ascii="Arial" w:cs="Arial" w:eastAsia="Arial" w:hAnsi="Arial"/>
                <w:sz w:val="14"/>
                <w:szCs w:val="14"/>
                <w:color w:val="231F20"/>
              </w:rPr>
              <w:t>Richard H. Fearon</w:t>
            </w:r>
          </w:p>
        </w:tc>
        <w:tc>
          <w:tcPr>
            <w:tcW w:w="480" w:type="dxa"/>
            <w:vAlign w:val="bottom"/>
          </w:tcPr>
          <w:p>
            <w:pPr>
              <w:jc w:val="right"/>
              <w:spacing w:after="0"/>
              <w:rPr>
                <w:sz w:val="20"/>
                <w:szCs w:val="20"/>
                <w:color w:val="auto"/>
              </w:rPr>
            </w:pPr>
            <w:r>
              <w:rPr>
                <w:rFonts w:ascii="Arial" w:cs="Arial" w:eastAsia="Arial" w:hAnsi="Arial"/>
                <w:sz w:val="14"/>
                <w:szCs w:val="14"/>
                <w:color w:val="231F20"/>
              </w:rPr>
              <w:t>08</w:t>
            </w:r>
          </w:p>
        </w:tc>
        <w:tc>
          <w:tcPr>
            <w:tcW w:w="2320" w:type="dxa"/>
            <w:vAlign w:val="bottom"/>
          </w:tcPr>
          <w:p>
            <w:pPr>
              <w:ind w:left="20"/>
              <w:spacing w:after="0"/>
              <w:rPr>
                <w:sz w:val="20"/>
                <w:szCs w:val="20"/>
                <w:color w:val="auto"/>
              </w:rPr>
            </w:pPr>
            <w:r>
              <w:rPr>
                <w:rFonts w:ascii="Arial" w:cs="Arial" w:eastAsia="Arial" w:hAnsi="Arial"/>
                <w:sz w:val="14"/>
                <w:szCs w:val="14"/>
                <w:color w:val="231F20"/>
              </w:rPr>
              <w:t>Caesar F. Sweitzer</w:t>
            </w:r>
          </w:p>
        </w:tc>
        <w:tc>
          <w:tcPr>
            <w:tcW w:w="1320" w:type="dxa"/>
            <w:vAlign w:val="bottom"/>
          </w:tcPr>
          <w:p>
            <w:pPr>
              <w:spacing w:after="0"/>
              <w:rPr>
                <w:sz w:val="18"/>
                <w:szCs w:val="18"/>
                <w:color w:val="auto"/>
              </w:rPr>
            </w:pPr>
          </w:p>
        </w:tc>
        <w:tc>
          <w:tcPr>
            <w:tcW w:w="1760" w:type="dxa"/>
            <w:vAlign w:val="bottom"/>
          </w:tcPr>
          <w:p>
            <w:pPr>
              <w:ind w:left="140"/>
              <w:spacing w:after="0"/>
              <w:rPr>
                <w:sz w:val="20"/>
                <w:szCs w:val="20"/>
                <w:color w:val="auto"/>
              </w:rPr>
            </w:pPr>
            <w:r>
              <w:rPr>
                <w:rFonts w:ascii="Arial" w:cs="Arial" w:eastAsia="Arial" w:hAnsi="Arial"/>
                <w:sz w:val="14"/>
                <w:szCs w:val="14"/>
                <w:color w:val="231F20"/>
              </w:rPr>
              <w:t>(except as marked)</w:t>
            </w: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4"/>
                <w:szCs w:val="14"/>
                <w:color w:val="231F20"/>
              </w:rPr>
              <w:t>04</w:t>
            </w:r>
          </w:p>
        </w:tc>
        <w:tc>
          <w:tcPr>
            <w:tcW w:w="1580" w:type="dxa"/>
            <w:vAlign w:val="bottom"/>
          </w:tcPr>
          <w:p>
            <w:pPr>
              <w:ind w:left="20"/>
              <w:spacing w:after="0"/>
              <w:rPr>
                <w:sz w:val="20"/>
                <w:szCs w:val="20"/>
                <w:color w:val="auto"/>
              </w:rPr>
            </w:pPr>
            <w:r>
              <w:rPr>
                <w:rFonts w:ascii="Arial" w:cs="Arial" w:eastAsia="Arial" w:hAnsi="Arial"/>
                <w:sz w:val="14"/>
                <w:szCs w:val="14"/>
                <w:color w:val="231F20"/>
              </w:rPr>
              <w:t>Andrea J. Funk</w:t>
            </w:r>
          </w:p>
        </w:tc>
        <w:tc>
          <w:tcPr>
            <w:tcW w:w="480" w:type="dxa"/>
            <w:vAlign w:val="bottom"/>
          </w:tcPr>
          <w:p>
            <w:pPr>
              <w:jc w:val="right"/>
              <w:spacing w:after="0"/>
              <w:rPr>
                <w:sz w:val="20"/>
                <w:szCs w:val="20"/>
                <w:color w:val="auto"/>
              </w:rPr>
            </w:pPr>
            <w:r>
              <w:rPr>
                <w:rFonts w:ascii="Arial" w:cs="Arial" w:eastAsia="Arial" w:hAnsi="Arial"/>
                <w:sz w:val="14"/>
                <w:szCs w:val="14"/>
                <w:color w:val="231F20"/>
              </w:rPr>
              <w:t>09</w:t>
            </w:r>
          </w:p>
        </w:tc>
        <w:tc>
          <w:tcPr>
            <w:tcW w:w="2320" w:type="dxa"/>
            <w:vAlign w:val="bottom"/>
          </w:tcPr>
          <w:p>
            <w:pPr>
              <w:ind w:left="20"/>
              <w:spacing w:after="0"/>
              <w:rPr>
                <w:sz w:val="20"/>
                <w:szCs w:val="20"/>
                <w:color w:val="auto"/>
              </w:rPr>
            </w:pPr>
            <w:r>
              <w:rPr>
                <w:rFonts w:ascii="Arial" w:cs="Arial" w:eastAsia="Arial" w:hAnsi="Arial"/>
                <w:sz w:val="14"/>
                <w:szCs w:val="14"/>
                <w:color w:val="231F20"/>
              </w:rPr>
              <w:t>Marsha C. Williams</w:t>
            </w:r>
          </w:p>
        </w:tc>
        <w:tc>
          <w:tcPr>
            <w:tcW w:w="1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360" w:type="dxa"/>
            <w:vAlign w:val="bottom"/>
          </w:tcPr>
          <w:p>
            <w:pPr>
              <w:ind w:left="180"/>
              <w:spacing w:after="0"/>
              <w:rPr>
                <w:sz w:val="20"/>
                <w:szCs w:val="20"/>
                <w:color w:val="auto"/>
              </w:rPr>
            </w:pPr>
            <w:r>
              <w:rPr>
                <w:rFonts w:ascii="Arial" w:cs="Arial" w:eastAsia="Arial" w:hAnsi="Arial"/>
                <w:sz w:val="14"/>
                <w:szCs w:val="14"/>
                <w:color w:val="231F20"/>
              </w:rPr>
              <w:t>05</w:t>
            </w:r>
          </w:p>
        </w:tc>
        <w:tc>
          <w:tcPr>
            <w:tcW w:w="1580" w:type="dxa"/>
            <w:vAlign w:val="bottom"/>
          </w:tcPr>
          <w:p>
            <w:pPr>
              <w:ind w:left="20"/>
              <w:spacing w:after="0"/>
              <w:rPr>
                <w:sz w:val="20"/>
                <w:szCs w:val="20"/>
                <w:color w:val="auto"/>
              </w:rPr>
            </w:pPr>
            <w:r>
              <w:rPr>
                <w:rFonts w:ascii="Arial" w:cs="Arial" w:eastAsia="Arial" w:hAnsi="Arial"/>
                <w:sz w:val="14"/>
                <w:szCs w:val="14"/>
                <w:color w:val="231F20"/>
              </w:rPr>
              <w:t>Stephen J. Hagge</w:t>
            </w:r>
          </w:p>
        </w:tc>
        <w:tc>
          <w:tcPr>
            <w:tcW w:w="480" w:type="dxa"/>
            <w:vAlign w:val="bottom"/>
          </w:tcPr>
          <w:p>
            <w:pPr>
              <w:jc w:val="right"/>
              <w:spacing w:after="0"/>
              <w:rPr>
                <w:sz w:val="20"/>
                <w:szCs w:val="20"/>
                <w:color w:val="auto"/>
              </w:rPr>
            </w:pPr>
            <w:r>
              <w:rPr>
                <w:rFonts w:ascii="Arial" w:cs="Arial" w:eastAsia="Arial" w:hAnsi="Arial"/>
                <w:sz w:val="14"/>
                <w:szCs w:val="14"/>
                <w:color w:val="231F20"/>
              </w:rPr>
              <w:t>10</w:t>
            </w:r>
          </w:p>
        </w:tc>
        <w:tc>
          <w:tcPr>
            <w:tcW w:w="2320" w:type="dxa"/>
            <w:vAlign w:val="bottom"/>
          </w:tcPr>
          <w:p>
            <w:pPr>
              <w:ind w:left="20"/>
              <w:spacing w:after="0"/>
              <w:rPr>
                <w:sz w:val="20"/>
                <w:szCs w:val="20"/>
                <w:color w:val="auto"/>
              </w:rPr>
            </w:pPr>
            <w:r>
              <w:rPr>
                <w:rFonts w:ascii="Arial" w:cs="Arial" w:eastAsia="Arial" w:hAnsi="Arial"/>
                <w:sz w:val="14"/>
                <w:szCs w:val="14"/>
                <w:color w:val="231F20"/>
              </w:rPr>
              <w:t>Dwayne A. Wilson</w:t>
            </w:r>
          </w:p>
        </w:tc>
        <w:tc>
          <w:tcPr>
            <w:tcW w:w="13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60" w:type="dxa"/>
            <w:vAlign w:val="bottom"/>
          </w:tcPr>
          <w:p>
            <w:pPr>
              <w:spacing w:after="0"/>
              <w:rPr>
                <w:sz w:val="18"/>
                <w:szCs w:val="18"/>
                <w:color w:val="auto"/>
              </w:rPr>
            </w:pPr>
          </w:p>
        </w:tc>
      </w:tr>
    </w:tbl>
    <w:p>
      <w:pPr>
        <w:spacing w:after="0" w:line="237" w:lineRule="exact"/>
        <w:rPr>
          <w:sz w:val="20"/>
          <w:szCs w:val="20"/>
          <w:color w:val="auto"/>
        </w:rPr>
      </w:pPr>
    </w:p>
    <w:p>
      <w:pPr>
        <w:ind w:left="3780"/>
        <w:spacing w:after="0"/>
        <w:rPr>
          <w:sz w:val="20"/>
          <w:szCs w:val="20"/>
          <w:color w:val="auto"/>
        </w:rPr>
      </w:pPr>
      <w:r>
        <w:rPr>
          <w:sz w:val="1"/>
          <w:szCs w:val="1"/>
          <w:color w:val="auto"/>
        </w:rPr>
        <w:drawing>
          <wp:inline distT="0" distB="0" distL="0" distR="0">
            <wp:extent cx="257175" cy="120015"/>
            <wp:effectExtent l="0" t="0" r="0" b="0"/>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7175" cy="120015"/>
                    </a:xfrm>
                    <a:prstGeom prst="rect">
                      <a:avLst/>
                    </a:prstGeom>
                    <a:noFill/>
                    <a:ln>
                      <a:noFill/>
                    </a:ln>
                  </pic:spPr>
                </pic:pic>
              </a:graphicData>
            </a:graphic>
          </wp:inline>
        </w:drawing>
      </w:r>
      <w:r>
        <w:rPr>
          <w:rFonts w:ascii="Arial" w:cs="Arial" w:eastAsia="Arial" w:hAnsi="Arial"/>
          <w:sz w:val="16"/>
          <w:szCs w:val="16"/>
          <w:i w:val="1"/>
          <w:iCs w:val="1"/>
          <w:color w:val="231F20"/>
        </w:rPr>
        <w:t xml:space="preserve"> Please fold here – Do not separate </w:t>
      </w:r>
      <w:r>
        <w:rPr>
          <w:sz w:val="1"/>
          <w:szCs w:val="1"/>
          <w:color w:val="auto"/>
        </w:rPr>
        <w:drawing>
          <wp:inline distT="0" distB="0" distL="0" distR="0">
            <wp:extent cx="257175" cy="120015"/>
            <wp:effectExtent l="0" t="0" r="0" b="0"/>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7175" cy="120015"/>
                    </a:xfrm>
                    <a:prstGeom prst="rect">
                      <a:avLst/>
                    </a:prstGeom>
                    <a:noFill/>
                    <a:ln>
                      <a:noFill/>
                    </a:ln>
                  </pic:spPr>
                </pic:pic>
              </a:graphicData>
            </a:graphic>
          </wp:inline>
        </w:drawing>
      </w:r>
    </w:p>
    <w:p>
      <w:pPr>
        <w:spacing w:after="0" w:line="186" w:lineRule="exact"/>
        <w:rPr>
          <w:sz w:val="20"/>
          <w:szCs w:val="20"/>
          <w:color w:val="auto"/>
        </w:rPr>
      </w:pPr>
    </w:p>
    <w:p>
      <w:pPr>
        <w:ind w:left="100" w:right="4080"/>
        <w:spacing w:after="0" w:line="294" w:lineRule="auto"/>
        <w:rPr>
          <w:sz w:val="20"/>
          <w:szCs w:val="20"/>
          <w:color w:val="auto"/>
        </w:rPr>
      </w:pPr>
      <w:r>
        <w:rPr>
          <w:rFonts w:ascii="Arial" w:cs="Arial" w:eastAsia="Arial" w:hAnsi="Arial"/>
          <w:sz w:val="14"/>
          <w:szCs w:val="14"/>
          <w:b w:val="1"/>
          <w:bCs w:val="1"/>
          <w:color w:val="231F20"/>
        </w:rPr>
        <w:t>(Instructions: To withhold authority to vote for any indicated nominee(s), write the number(s) of the nominee(s) in the box provided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-243840</wp:posOffset>
            </wp:positionV>
            <wp:extent cx="2494280" cy="2482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494280" cy="248285"/>
                    </a:xfrm>
                    <a:prstGeom prst="rect">
                      <a:avLst/>
                    </a:prstGeom>
                    <a:noFill/>
                  </pic:spPr>
                </pic:pic>
              </a:graphicData>
            </a:graphic>
          </wp:anchor>
        </w:drawing>
      </w:r>
    </w:p>
    <w:p>
      <w:pPr>
        <w:spacing w:after="0" w:line="323"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231F20"/>
        </w:rPr>
        <w:t>The Board of Directors Recommends a Vote FOR Items 2 and 3 and AGAINST Item 4.</w:t>
      </w:r>
    </w:p>
    <w:p>
      <w:pPr>
        <w:spacing w:after="0" w:line="168" w:lineRule="exact"/>
        <w:rPr>
          <w:sz w:val="20"/>
          <w:szCs w:val="20"/>
          <w:color w:val="auto"/>
        </w:rPr>
      </w:pPr>
    </w:p>
    <w:tbl>
      <w:tblPr>
        <w:tblLayout w:type="fixed"/>
        <w:tblInd w:w="120" w:type="dxa"/>
        <w:tblCellMar>
          <w:top w:w="0" w:type="dxa"/>
          <w:left w:w="0" w:type="dxa"/>
          <w:bottom w:w="0" w:type="dxa"/>
          <w:right w:w="0" w:type="dxa"/>
        </w:tblCellMar>
      </w:tblPr>
      <w:tr>
        <w:trPr>
          <w:trHeight w:val="193"/>
        </w:trPr>
        <w:tc>
          <w:tcPr>
            <w:tcW w:w="160" w:type="dxa"/>
            <w:vAlign w:val="bottom"/>
          </w:tcPr>
          <w:p>
            <w:pPr>
              <w:jc w:val="right"/>
              <w:spacing w:after="0"/>
              <w:rPr>
                <w:sz w:val="20"/>
                <w:szCs w:val="20"/>
                <w:color w:val="auto"/>
              </w:rPr>
            </w:pPr>
            <w:r>
              <w:rPr>
                <w:rFonts w:ascii="Arial" w:cs="Arial" w:eastAsia="Arial" w:hAnsi="Arial"/>
                <w:sz w:val="14"/>
                <w:szCs w:val="14"/>
                <w:b w:val="1"/>
                <w:bCs w:val="1"/>
                <w:color w:val="231F20"/>
                <w:w w:val="85"/>
              </w:rPr>
              <w:t>2.</w:t>
            </w:r>
          </w:p>
        </w:tc>
        <w:tc>
          <w:tcPr>
            <w:tcW w:w="6580" w:type="dxa"/>
            <w:vAlign w:val="bottom"/>
          </w:tcPr>
          <w:p>
            <w:pPr>
              <w:ind w:left="60"/>
              <w:spacing w:after="0"/>
              <w:rPr>
                <w:sz w:val="20"/>
                <w:szCs w:val="20"/>
                <w:color w:val="auto"/>
              </w:rPr>
            </w:pPr>
            <w:r>
              <w:rPr>
                <w:rFonts w:ascii="Arial" w:cs="Arial" w:eastAsia="Arial" w:hAnsi="Arial"/>
                <w:sz w:val="14"/>
                <w:szCs w:val="14"/>
                <w:color w:val="231F20"/>
              </w:rPr>
              <w:t>Ratification of the appointment of independent auditors for the fiscal year ending December 31,</w:t>
            </w:r>
          </w:p>
        </w:tc>
        <w:tc>
          <w:tcPr>
            <w:tcW w:w="1240" w:type="dxa"/>
            <w:vAlign w:val="bottom"/>
          </w:tcPr>
          <w:p>
            <w:pPr>
              <w:jc w:val="center"/>
              <w:spacing w:after="0" w:line="161" w:lineRule="exact"/>
              <w:rPr>
                <w:sz w:val="20"/>
                <w:szCs w:val="20"/>
                <w:color w:val="auto"/>
              </w:rPr>
            </w:pPr>
            <w:r>
              <w:rPr>
                <w:rFonts w:ascii="MS PGothic" w:cs="MS PGothic" w:eastAsia="MS PGothic" w:hAnsi="MS PGothic"/>
                <w:sz w:val="14"/>
                <w:szCs w:val="14"/>
                <w:color w:val="231F20"/>
              </w:rPr>
              <w:t>☐</w:t>
            </w:r>
            <w:r>
              <w:rPr>
                <w:rFonts w:ascii="Arial" w:cs="Arial" w:eastAsia="Arial" w:hAnsi="Arial"/>
                <w:sz w:val="14"/>
                <w:szCs w:val="14"/>
                <w:color w:val="231F20"/>
              </w:rPr>
              <w:t xml:space="preserve"> For</w:t>
            </w:r>
          </w:p>
        </w:tc>
        <w:tc>
          <w:tcPr>
            <w:tcW w:w="1500" w:type="dxa"/>
            <w:vAlign w:val="bottom"/>
          </w:tcPr>
          <w:p>
            <w:pPr>
              <w:ind w:left="440"/>
              <w:spacing w:after="0" w:line="161" w:lineRule="exact"/>
              <w:rPr>
                <w:sz w:val="20"/>
                <w:szCs w:val="20"/>
                <w:color w:val="auto"/>
              </w:rPr>
            </w:pPr>
            <w:r>
              <w:rPr>
                <w:rFonts w:ascii="MS PGothic" w:cs="MS PGothic" w:eastAsia="MS PGothic" w:hAnsi="MS PGothic"/>
                <w:sz w:val="14"/>
                <w:szCs w:val="14"/>
                <w:color w:val="231F20"/>
              </w:rPr>
              <w:t>☐</w:t>
            </w:r>
            <w:r>
              <w:rPr>
                <w:rFonts w:ascii="Arial" w:cs="Arial" w:eastAsia="Arial" w:hAnsi="Arial"/>
                <w:sz w:val="14"/>
                <w:szCs w:val="14"/>
                <w:color w:val="231F20"/>
              </w:rPr>
              <w:t xml:space="preserve"> Against</w:t>
            </w:r>
          </w:p>
        </w:tc>
        <w:tc>
          <w:tcPr>
            <w:tcW w:w="1080" w:type="dxa"/>
            <w:vAlign w:val="bottom"/>
          </w:tcPr>
          <w:p>
            <w:pPr>
              <w:ind w:left="420"/>
              <w:spacing w:after="0" w:line="161" w:lineRule="exact"/>
              <w:rPr>
                <w:sz w:val="20"/>
                <w:szCs w:val="20"/>
                <w:color w:val="auto"/>
              </w:rPr>
            </w:pPr>
            <w:r>
              <w:rPr>
                <w:rFonts w:ascii="MS PGothic" w:cs="MS PGothic" w:eastAsia="MS PGothic" w:hAnsi="MS PGothic"/>
                <w:sz w:val="14"/>
                <w:szCs w:val="14"/>
                <w:color w:val="231F20"/>
                <w:w w:val="99"/>
              </w:rPr>
              <w:t>☐</w:t>
            </w:r>
            <w:r>
              <w:rPr>
                <w:rFonts w:ascii="Arial" w:cs="Arial" w:eastAsia="Arial" w:hAnsi="Arial"/>
                <w:sz w:val="14"/>
                <w:szCs w:val="14"/>
                <w:color w:val="231F20"/>
                <w:w w:val="99"/>
              </w:rPr>
              <w:t xml:space="preserve"> Abstain</w:t>
            </w:r>
          </w:p>
        </w:tc>
      </w:tr>
      <w:tr>
        <w:trPr>
          <w:trHeight w:val="190"/>
        </w:trPr>
        <w:tc>
          <w:tcPr>
            <w:tcW w:w="160" w:type="dxa"/>
            <w:vAlign w:val="bottom"/>
          </w:tcPr>
          <w:p>
            <w:pPr>
              <w:spacing w:after="0"/>
              <w:rPr>
                <w:sz w:val="16"/>
                <w:szCs w:val="16"/>
                <w:color w:val="auto"/>
              </w:rPr>
            </w:pPr>
          </w:p>
        </w:tc>
        <w:tc>
          <w:tcPr>
            <w:tcW w:w="6580" w:type="dxa"/>
            <w:vAlign w:val="bottom"/>
          </w:tcPr>
          <w:p>
            <w:pPr>
              <w:ind w:left="60"/>
              <w:spacing w:after="0"/>
              <w:rPr>
                <w:sz w:val="20"/>
                <w:szCs w:val="20"/>
                <w:color w:val="auto"/>
              </w:rPr>
            </w:pPr>
            <w:r>
              <w:rPr>
                <w:rFonts w:ascii="Arial" w:cs="Arial" w:eastAsia="Arial" w:hAnsi="Arial"/>
                <w:sz w:val="14"/>
                <w:szCs w:val="14"/>
                <w:color w:val="231F20"/>
              </w:rPr>
              <w:t>2026.</w:t>
            </w:r>
          </w:p>
        </w:tc>
        <w:tc>
          <w:tcPr>
            <w:tcW w:w="1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96"/>
        </w:trPr>
        <w:tc>
          <w:tcPr>
            <w:tcW w:w="160" w:type="dxa"/>
            <w:vAlign w:val="bottom"/>
          </w:tcPr>
          <w:p>
            <w:pPr>
              <w:jc w:val="right"/>
              <w:spacing w:after="0"/>
              <w:rPr>
                <w:sz w:val="20"/>
                <w:szCs w:val="20"/>
                <w:color w:val="auto"/>
              </w:rPr>
            </w:pPr>
            <w:r>
              <w:rPr>
                <w:rFonts w:ascii="Arial" w:cs="Arial" w:eastAsia="Arial" w:hAnsi="Arial"/>
                <w:sz w:val="14"/>
                <w:szCs w:val="14"/>
                <w:b w:val="1"/>
                <w:bCs w:val="1"/>
                <w:color w:val="231F20"/>
                <w:w w:val="85"/>
              </w:rPr>
              <w:t>3.</w:t>
            </w:r>
          </w:p>
        </w:tc>
        <w:tc>
          <w:tcPr>
            <w:tcW w:w="6580" w:type="dxa"/>
            <w:vAlign w:val="bottom"/>
          </w:tcPr>
          <w:p>
            <w:pPr>
              <w:ind w:left="60"/>
              <w:spacing w:after="0"/>
              <w:rPr>
                <w:sz w:val="20"/>
                <w:szCs w:val="20"/>
                <w:color w:val="auto"/>
              </w:rPr>
            </w:pPr>
            <w:r>
              <w:rPr>
                <w:rFonts w:ascii="Arial" w:cs="Arial" w:eastAsia="Arial" w:hAnsi="Arial"/>
                <w:sz w:val="14"/>
                <w:szCs w:val="14"/>
                <w:color w:val="231F20"/>
              </w:rPr>
              <w:t>Approval by advisory vote of the resolution on executive compensation as described in the Proxy</w:t>
            </w:r>
          </w:p>
        </w:tc>
        <w:tc>
          <w:tcPr>
            <w:tcW w:w="1240" w:type="dxa"/>
            <w:vAlign w:val="bottom"/>
          </w:tcPr>
          <w:p>
            <w:pPr>
              <w:jc w:val="center"/>
              <w:spacing w:after="0" w:line="161" w:lineRule="exact"/>
              <w:rPr>
                <w:sz w:val="20"/>
                <w:szCs w:val="20"/>
                <w:color w:val="auto"/>
              </w:rPr>
            </w:pPr>
            <w:r>
              <w:rPr>
                <w:rFonts w:ascii="MS PGothic" w:cs="MS PGothic" w:eastAsia="MS PGothic" w:hAnsi="MS PGothic"/>
                <w:sz w:val="14"/>
                <w:szCs w:val="14"/>
                <w:color w:val="231F20"/>
              </w:rPr>
              <w:t>☐</w:t>
            </w:r>
            <w:r>
              <w:rPr>
                <w:rFonts w:ascii="Arial" w:cs="Arial" w:eastAsia="Arial" w:hAnsi="Arial"/>
                <w:sz w:val="14"/>
                <w:szCs w:val="14"/>
                <w:color w:val="231F20"/>
              </w:rPr>
              <w:t xml:space="preserve"> For</w:t>
            </w:r>
          </w:p>
        </w:tc>
        <w:tc>
          <w:tcPr>
            <w:tcW w:w="1500" w:type="dxa"/>
            <w:vAlign w:val="bottom"/>
          </w:tcPr>
          <w:p>
            <w:pPr>
              <w:ind w:left="440"/>
              <w:spacing w:after="0" w:line="161" w:lineRule="exact"/>
              <w:rPr>
                <w:sz w:val="20"/>
                <w:szCs w:val="20"/>
                <w:color w:val="auto"/>
              </w:rPr>
            </w:pPr>
            <w:r>
              <w:rPr>
                <w:rFonts w:ascii="MS PGothic" w:cs="MS PGothic" w:eastAsia="MS PGothic" w:hAnsi="MS PGothic"/>
                <w:sz w:val="14"/>
                <w:szCs w:val="14"/>
                <w:color w:val="231F20"/>
              </w:rPr>
              <w:t>☐</w:t>
            </w:r>
            <w:r>
              <w:rPr>
                <w:rFonts w:ascii="Arial" w:cs="Arial" w:eastAsia="Arial" w:hAnsi="Arial"/>
                <w:sz w:val="14"/>
                <w:szCs w:val="14"/>
                <w:color w:val="231F20"/>
              </w:rPr>
              <w:t xml:space="preserve"> Against</w:t>
            </w:r>
          </w:p>
        </w:tc>
        <w:tc>
          <w:tcPr>
            <w:tcW w:w="1080" w:type="dxa"/>
            <w:vAlign w:val="bottom"/>
          </w:tcPr>
          <w:p>
            <w:pPr>
              <w:ind w:left="420"/>
              <w:spacing w:after="0" w:line="161" w:lineRule="exact"/>
              <w:rPr>
                <w:sz w:val="20"/>
                <w:szCs w:val="20"/>
                <w:color w:val="auto"/>
              </w:rPr>
            </w:pPr>
            <w:r>
              <w:rPr>
                <w:rFonts w:ascii="MS PGothic" w:cs="MS PGothic" w:eastAsia="MS PGothic" w:hAnsi="MS PGothic"/>
                <w:sz w:val="14"/>
                <w:szCs w:val="14"/>
                <w:color w:val="231F20"/>
                <w:w w:val="99"/>
              </w:rPr>
              <w:t>☐</w:t>
            </w:r>
            <w:r>
              <w:rPr>
                <w:rFonts w:ascii="Arial" w:cs="Arial" w:eastAsia="Arial" w:hAnsi="Arial"/>
                <w:sz w:val="14"/>
                <w:szCs w:val="14"/>
                <w:color w:val="231F20"/>
                <w:w w:val="99"/>
              </w:rPr>
              <w:t xml:space="preserve"> Abstain</w:t>
            </w:r>
          </w:p>
        </w:tc>
      </w:tr>
      <w:tr>
        <w:trPr>
          <w:trHeight w:val="190"/>
        </w:trPr>
        <w:tc>
          <w:tcPr>
            <w:tcW w:w="160" w:type="dxa"/>
            <w:vAlign w:val="bottom"/>
          </w:tcPr>
          <w:p>
            <w:pPr>
              <w:spacing w:after="0"/>
              <w:rPr>
                <w:sz w:val="16"/>
                <w:szCs w:val="16"/>
                <w:color w:val="auto"/>
              </w:rPr>
            </w:pPr>
          </w:p>
        </w:tc>
        <w:tc>
          <w:tcPr>
            <w:tcW w:w="6580" w:type="dxa"/>
            <w:vAlign w:val="bottom"/>
          </w:tcPr>
          <w:p>
            <w:pPr>
              <w:ind w:left="60"/>
              <w:spacing w:after="0"/>
              <w:rPr>
                <w:sz w:val="20"/>
                <w:szCs w:val="20"/>
                <w:color w:val="auto"/>
              </w:rPr>
            </w:pPr>
            <w:r>
              <w:rPr>
                <w:rFonts w:ascii="Arial" w:cs="Arial" w:eastAsia="Arial" w:hAnsi="Arial"/>
                <w:sz w:val="14"/>
                <w:szCs w:val="14"/>
                <w:color w:val="231F20"/>
              </w:rPr>
              <w:t>Statement.</w:t>
            </w:r>
          </w:p>
        </w:tc>
        <w:tc>
          <w:tcPr>
            <w:tcW w:w="124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344"/>
        </w:trPr>
        <w:tc>
          <w:tcPr>
            <w:tcW w:w="160" w:type="dxa"/>
            <w:vAlign w:val="bottom"/>
          </w:tcPr>
          <w:p>
            <w:pPr>
              <w:jc w:val="right"/>
              <w:spacing w:after="0"/>
              <w:rPr>
                <w:sz w:val="20"/>
                <w:szCs w:val="20"/>
                <w:color w:val="auto"/>
              </w:rPr>
            </w:pPr>
            <w:r>
              <w:rPr>
                <w:rFonts w:ascii="Arial" w:cs="Arial" w:eastAsia="Arial" w:hAnsi="Arial"/>
                <w:sz w:val="14"/>
                <w:szCs w:val="14"/>
                <w:b w:val="1"/>
                <w:bCs w:val="1"/>
                <w:color w:val="231F20"/>
                <w:w w:val="85"/>
              </w:rPr>
              <w:t>4.</w:t>
            </w:r>
          </w:p>
        </w:tc>
        <w:tc>
          <w:tcPr>
            <w:tcW w:w="6580" w:type="dxa"/>
            <w:vAlign w:val="bottom"/>
          </w:tcPr>
          <w:p>
            <w:pPr>
              <w:ind w:left="60"/>
              <w:spacing w:after="0"/>
              <w:rPr>
                <w:sz w:val="20"/>
                <w:szCs w:val="20"/>
                <w:color w:val="auto"/>
              </w:rPr>
            </w:pPr>
            <w:r>
              <w:rPr>
                <w:rFonts w:ascii="Arial" w:cs="Arial" w:eastAsia="Arial" w:hAnsi="Arial"/>
                <w:sz w:val="14"/>
                <w:szCs w:val="14"/>
                <w:color w:val="231F20"/>
              </w:rPr>
              <w:t>Consideration of a Shareholder proposal regarding Shareholder right to act by written consent.</w:t>
            </w:r>
          </w:p>
        </w:tc>
        <w:tc>
          <w:tcPr>
            <w:tcW w:w="1240" w:type="dxa"/>
            <w:vAlign w:val="bottom"/>
          </w:tcPr>
          <w:p>
            <w:pPr>
              <w:jc w:val="center"/>
              <w:spacing w:after="0" w:line="161" w:lineRule="exact"/>
              <w:rPr>
                <w:sz w:val="20"/>
                <w:szCs w:val="20"/>
                <w:color w:val="auto"/>
              </w:rPr>
            </w:pPr>
            <w:r>
              <w:rPr>
                <w:rFonts w:ascii="MS PGothic" w:cs="MS PGothic" w:eastAsia="MS PGothic" w:hAnsi="MS PGothic"/>
                <w:sz w:val="14"/>
                <w:szCs w:val="14"/>
                <w:color w:val="231F20"/>
              </w:rPr>
              <w:t>☐</w:t>
            </w:r>
            <w:r>
              <w:rPr>
                <w:rFonts w:ascii="Arial" w:cs="Arial" w:eastAsia="Arial" w:hAnsi="Arial"/>
                <w:sz w:val="14"/>
                <w:szCs w:val="14"/>
                <w:color w:val="231F20"/>
              </w:rPr>
              <w:t xml:space="preserve"> For</w:t>
            </w:r>
          </w:p>
        </w:tc>
        <w:tc>
          <w:tcPr>
            <w:tcW w:w="1500" w:type="dxa"/>
            <w:vAlign w:val="bottom"/>
          </w:tcPr>
          <w:p>
            <w:pPr>
              <w:ind w:left="440"/>
              <w:spacing w:after="0" w:line="161" w:lineRule="exact"/>
              <w:rPr>
                <w:sz w:val="20"/>
                <w:szCs w:val="20"/>
                <w:color w:val="auto"/>
              </w:rPr>
            </w:pPr>
            <w:r>
              <w:rPr>
                <w:rFonts w:ascii="MS PGothic" w:cs="MS PGothic" w:eastAsia="MS PGothic" w:hAnsi="MS PGothic"/>
                <w:sz w:val="14"/>
                <w:szCs w:val="14"/>
                <w:color w:val="231F20"/>
              </w:rPr>
              <w:t>☐</w:t>
            </w:r>
            <w:r>
              <w:rPr>
                <w:rFonts w:ascii="Arial" w:cs="Arial" w:eastAsia="Arial" w:hAnsi="Arial"/>
                <w:sz w:val="14"/>
                <w:szCs w:val="14"/>
                <w:color w:val="231F20"/>
              </w:rPr>
              <w:t xml:space="preserve"> Against</w:t>
            </w:r>
          </w:p>
        </w:tc>
        <w:tc>
          <w:tcPr>
            <w:tcW w:w="1080" w:type="dxa"/>
            <w:vAlign w:val="bottom"/>
          </w:tcPr>
          <w:p>
            <w:pPr>
              <w:ind w:left="420"/>
              <w:spacing w:after="0" w:line="161" w:lineRule="exact"/>
              <w:rPr>
                <w:sz w:val="20"/>
                <w:szCs w:val="20"/>
                <w:color w:val="auto"/>
              </w:rPr>
            </w:pPr>
            <w:r>
              <w:rPr>
                <w:rFonts w:ascii="MS PGothic" w:cs="MS PGothic" w:eastAsia="MS PGothic" w:hAnsi="MS PGothic"/>
                <w:sz w:val="14"/>
                <w:szCs w:val="14"/>
                <w:color w:val="231F20"/>
                <w:w w:val="99"/>
              </w:rPr>
              <w:t>☐</w:t>
            </w:r>
            <w:r>
              <w:rPr>
                <w:rFonts w:ascii="Arial" w:cs="Arial" w:eastAsia="Arial" w:hAnsi="Arial"/>
                <w:sz w:val="14"/>
                <w:szCs w:val="14"/>
                <w:color w:val="231F20"/>
                <w:w w:val="99"/>
              </w:rPr>
              <w:t xml:space="preserve"> Abstain</w:t>
            </w:r>
          </w:p>
        </w:tc>
      </w:tr>
    </w:tbl>
    <w:p>
      <w:pPr>
        <w:spacing w:after="0" w:line="343" w:lineRule="exact"/>
        <w:rPr>
          <w:sz w:val="20"/>
          <w:szCs w:val="20"/>
          <w:color w:val="auto"/>
        </w:rPr>
      </w:pPr>
    </w:p>
    <w:p>
      <w:pPr>
        <w:ind w:left="120" w:right="360"/>
        <w:spacing w:after="0" w:line="273" w:lineRule="auto"/>
        <w:rPr>
          <w:sz w:val="20"/>
          <w:szCs w:val="20"/>
          <w:color w:val="auto"/>
        </w:rPr>
      </w:pPr>
      <w:r>
        <w:rPr>
          <w:rFonts w:ascii="Arial" w:cs="Arial" w:eastAsia="Arial" w:hAnsi="Arial"/>
          <w:sz w:val="14"/>
          <w:szCs w:val="14"/>
          <w:b w:val="1"/>
          <w:bCs w:val="1"/>
          <w:color w:val="231F20"/>
        </w:rPr>
        <w:t xml:space="preserve">THIS PROXY, WHEN PROPERLY EXECUTED, WILL BE VOTED AS DIRECTED OR, IF NO DIRECTION IS GIVEN, WILL BE VOTED </w:t>
      </w:r>
      <w:r>
        <w:rPr>
          <w:rFonts w:ascii="Arial" w:cs="Arial" w:eastAsia="Arial" w:hAnsi="Arial"/>
          <w:sz w:val="14"/>
          <w:szCs w:val="14"/>
          <w:b w:val="1"/>
          <w:bCs w:val="1"/>
          <w:u w:val="single" w:color="auto"/>
          <w:color w:val="231F20"/>
        </w:rPr>
        <w:t>FOR</w:t>
      </w:r>
      <w:r>
        <w:rPr>
          <w:rFonts w:ascii="Arial" w:cs="Arial" w:eastAsia="Arial" w:hAnsi="Arial"/>
          <w:sz w:val="14"/>
          <w:szCs w:val="14"/>
          <w:b w:val="1"/>
          <w:bCs w:val="1"/>
          <w:color w:val="231F20"/>
        </w:rPr>
        <w:t xml:space="preserve"> ITEMS 1 THROUGH 3 AND </w:t>
      </w:r>
      <w:r>
        <w:rPr>
          <w:rFonts w:ascii="Arial" w:cs="Arial" w:eastAsia="Arial" w:hAnsi="Arial"/>
          <w:sz w:val="14"/>
          <w:szCs w:val="14"/>
          <w:b w:val="1"/>
          <w:bCs w:val="1"/>
          <w:u w:val="single" w:color="auto"/>
          <w:color w:val="231F20"/>
        </w:rPr>
        <w:t>AGAINST</w:t>
      </w:r>
      <w:r>
        <w:rPr>
          <w:rFonts w:ascii="Arial" w:cs="Arial" w:eastAsia="Arial" w:hAnsi="Arial"/>
          <w:sz w:val="14"/>
          <w:szCs w:val="14"/>
          <w:b w:val="1"/>
          <w:bCs w:val="1"/>
          <w:color w:val="231F20"/>
        </w:rPr>
        <w:t xml:space="preserve"> ITEM 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color w:val="231F20"/>
        </w:rPr>
        <w:t xml:space="preserve">Date </w:t>
      </w:r>
      <w:r>
        <w:rPr>
          <w:rFonts w:ascii="Arial" w:cs="Arial" w:eastAsia="Arial" w:hAnsi="Arial"/>
          <w:sz w:val="14"/>
          <w:szCs w:val="14"/>
          <w:u w:val="single" w:color="auto"/>
          <w:color w:val="231F20"/>
        </w:rPr>
        <w:t>___________________________________________</w:t>
      </w:r>
    </w:p>
    <w:p>
      <w:pPr>
        <w:spacing w:after="0" w:line="195" w:lineRule="exact"/>
        <w:rPr>
          <w:sz w:val="20"/>
          <w:szCs w:val="20"/>
          <w:color w:val="auto"/>
        </w:rPr>
      </w:pPr>
    </w:p>
    <w:p>
      <w:pPr>
        <w:ind w:left="6740"/>
        <w:spacing w:after="0"/>
        <w:rPr>
          <w:sz w:val="20"/>
          <w:szCs w:val="20"/>
          <w:color w:val="auto"/>
        </w:rPr>
      </w:pPr>
      <w:r>
        <w:rPr>
          <w:rFonts w:ascii="Arial" w:cs="Arial" w:eastAsia="Arial" w:hAnsi="Arial"/>
          <w:sz w:val="13"/>
          <w:szCs w:val="13"/>
          <w:color w:val="231F20"/>
        </w:rPr>
        <w:t>Signature(s) in Box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3934460"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934460" cy="377190"/>
                    </a:xfrm>
                    <a:prstGeom prst="rect">
                      <a:avLst/>
                    </a:prstGeom>
                    <a:noFill/>
                  </pic:spPr>
                </pic:pic>
              </a:graphicData>
            </a:graphic>
          </wp:anchor>
        </w:drawing>
      </w:r>
    </w:p>
    <w:p>
      <w:pPr>
        <w:ind w:left="6740"/>
        <w:spacing w:after="0" w:line="191" w:lineRule="auto"/>
        <w:rPr>
          <w:sz w:val="20"/>
          <w:szCs w:val="20"/>
          <w:color w:val="auto"/>
        </w:rPr>
      </w:pPr>
      <w:r>
        <w:rPr>
          <w:rFonts w:ascii="Arial" w:cs="Arial" w:eastAsia="Arial" w:hAnsi="Arial"/>
          <w:sz w:val="13"/>
          <w:szCs w:val="13"/>
          <w:color w:val="231F20"/>
        </w:rPr>
        <w:t>Please sign exactly as your name(s) appears on Proxy. If held in joint</w:t>
      </w:r>
    </w:p>
    <w:p>
      <w:pPr>
        <w:ind w:left="6740"/>
        <w:spacing w:after="0" w:line="187" w:lineRule="auto"/>
        <w:rPr>
          <w:sz w:val="20"/>
          <w:szCs w:val="20"/>
          <w:color w:val="auto"/>
        </w:rPr>
      </w:pPr>
      <w:r>
        <w:rPr>
          <w:rFonts w:ascii="Arial" w:cs="Arial" w:eastAsia="Arial" w:hAnsi="Arial"/>
          <w:sz w:val="12"/>
          <w:szCs w:val="12"/>
          <w:color w:val="231F20"/>
        </w:rPr>
        <w:t>tenancy, all persons should sign. Trustees, administrators, etc., should</w:t>
      </w:r>
    </w:p>
    <w:p>
      <w:pPr>
        <w:ind w:left="6740"/>
        <w:spacing w:after="0" w:line="198" w:lineRule="auto"/>
        <w:rPr>
          <w:sz w:val="20"/>
          <w:szCs w:val="20"/>
          <w:color w:val="auto"/>
        </w:rPr>
      </w:pPr>
      <w:r>
        <w:rPr>
          <w:rFonts w:ascii="Arial" w:cs="Arial" w:eastAsia="Arial" w:hAnsi="Arial"/>
          <w:sz w:val="10"/>
          <w:szCs w:val="10"/>
          <w:color w:val="231F20"/>
        </w:rPr>
        <w:t>include title and authority. Corporations should provide full name of</w:t>
      </w:r>
    </w:p>
    <w:p>
      <w:pPr>
        <w:ind w:left="6740"/>
        <w:spacing w:after="0"/>
        <w:rPr>
          <w:sz w:val="20"/>
          <w:szCs w:val="20"/>
          <w:color w:val="auto"/>
        </w:rPr>
      </w:pPr>
      <w:r>
        <w:rPr>
          <w:rFonts w:ascii="Arial" w:cs="Arial" w:eastAsia="Arial" w:hAnsi="Arial"/>
          <w:sz w:val="13"/>
          <w:szCs w:val="13"/>
          <w:color w:val="231F20"/>
        </w:rPr>
        <w:t>corporation and title of authorized officer signing the Proxy.</w:t>
      </w:r>
    </w:p>
    <w:p>
      <w:pPr>
        <w:spacing w:after="0" w:line="275"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22"/>
          <w:szCs w:val="22"/>
          <w:color w:val="auto"/>
        </w:rPr>
        <w:t>78</w:t>
      </w:r>
    </w:p>
    <w:p>
      <w:pPr>
        <w:sectPr>
          <w:pgSz w:w="11900" w:h="16838" w:orient="portrait"/>
          <w:cols w:equalWidth="0" w:num="1">
            <w:col w:w="10960"/>
          </w:cols>
          <w:pgMar w:left="320" w:top="1162" w:right="619" w:bottom="1440" w:gutter="0" w:footer="0" w:header="0"/>
          <w:type w:val="continuous"/>
        </w:sectPr>
      </w:pPr>
    </w:p>
    <w:bookmarkStart w:id="81" w:name="page82"/>
    <w:bookmarkEnd w:id="81"/>
    <w:p>
      <w:pPr>
        <w:jc w:val="center"/>
        <w:ind w:right="220"/>
        <w:spacing w:after="0"/>
        <w:rPr>
          <w:sz w:val="20"/>
          <w:szCs w:val="20"/>
          <w:color w:val="auto"/>
        </w:rPr>
      </w:pPr>
      <w:r>
        <w:rPr>
          <w:rFonts w:ascii="Arial" w:cs="Arial" w:eastAsia="Arial" w:hAnsi="Arial"/>
          <w:sz w:val="22"/>
          <w:szCs w:val="22"/>
          <w:b w:val="1"/>
          <w:bCs w:val="1"/>
          <w:color w:val="231F20"/>
        </w:rPr>
        <w:t>CROWN HOLDINGS, INC.</w:t>
      </w:r>
    </w:p>
    <w:p>
      <w:pPr>
        <w:spacing w:after="0" w:line="108"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231F20"/>
        </w:rPr>
        <w:t>The 2026 Annual Meeting of Shareholders will be held on April 30, 2026 at</w:t>
      </w:r>
    </w:p>
    <w:p>
      <w:pPr>
        <w:spacing w:after="0" w:line="12" w:lineRule="exact"/>
        <w:rPr>
          <w:sz w:val="20"/>
          <w:szCs w:val="20"/>
          <w:color w:val="auto"/>
        </w:rPr>
      </w:pPr>
    </w:p>
    <w:p>
      <w:pPr>
        <w:jc w:val="center"/>
        <w:ind w:right="220"/>
        <w:spacing w:after="0"/>
        <w:rPr>
          <w:sz w:val="20"/>
          <w:szCs w:val="20"/>
          <w:color w:val="auto"/>
        </w:rPr>
      </w:pPr>
      <w:r>
        <w:rPr>
          <w:rFonts w:ascii="Arial" w:cs="Arial" w:eastAsia="Arial" w:hAnsi="Arial"/>
          <w:sz w:val="18"/>
          <w:szCs w:val="18"/>
          <w:b w:val="1"/>
          <w:bCs w:val="1"/>
          <w:color w:val="231F20"/>
        </w:rPr>
        <w:t>9:30 a.m. at:</w:t>
      </w:r>
    </w:p>
    <w:p>
      <w:pPr>
        <w:spacing w:after="0" w:line="14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231F20"/>
        </w:rPr>
        <w:t>Tampa Marriott Water Street</w:t>
      </w:r>
    </w:p>
    <w:p>
      <w:pPr>
        <w:jc w:val="center"/>
        <w:ind w:right="-99"/>
        <w:spacing w:after="0" w:line="219" w:lineRule="auto"/>
        <w:rPr>
          <w:sz w:val="20"/>
          <w:szCs w:val="20"/>
          <w:color w:val="auto"/>
        </w:rPr>
      </w:pPr>
      <w:r>
        <w:rPr>
          <w:rFonts w:ascii="Arial" w:cs="Arial" w:eastAsia="Arial" w:hAnsi="Arial"/>
          <w:sz w:val="18"/>
          <w:szCs w:val="18"/>
          <w:b w:val="1"/>
          <w:bCs w:val="1"/>
          <w:color w:val="231F20"/>
        </w:rPr>
        <w:t>505 Water Street</w:t>
      </w:r>
    </w:p>
    <w:p>
      <w:pPr>
        <w:jc w:val="center"/>
        <w:ind w:right="-99"/>
        <w:spacing w:after="0"/>
        <w:rPr>
          <w:sz w:val="20"/>
          <w:szCs w:val="20"/>
          <w:color w:val="auto"/>
        </w:rPr>
      </w:pPr>
      <w:r>
        <w:rPr>
          <w:rFonts w:ascii="Arial" w:cs="Arial" w:eastAsia="Arial" w:hAnsi="Arial"/>
          <w:sz w:val="18"/>
          <w:szCs w:val="18"/>
          <w:b w:val="1"/>
          <w:bCs w:val="1"/>
          <w:color w:val="231F20"/>
        </w:rPr>
        <w:t>Tampa, Florida</w:t>
      </w:r>
    </w:p>
    <w:p>
      <w:pPr>
        <w:sectPr>
          <w:pgSz w:w="11900" w:h="16838" w:orient="portrait"/>
          <w:cols w:equalWidth="0" w:num="1">
            <w:col w:w="11140"/>
          </w:cols>
          <w:pgMar w:left="320" w:top="570" w:right="439" w:bottom="1440" w:gutter="0" w:footer="0" w:header="0"/>
        </w:sectPr>
      </w:pPr>
    </w:p>
    <w:p>
      <w:pPr>
        <w:spacing w:after="0" w:line="383" w:lineRule="exact"/>
        <w:rPr>
          <w:sz w:val="20"/>
          <w:szCs w:val="20"/>
          <w:color w:val="auto"/>
        </w:rPr>
      </w:pPr>
    </w:p>
    <w:p>
      <w:pPr>
        <w:jc w:val="center"/>
        <w:ind w:left="1640"/>
        <w:spacing w:after="0"/>
        <w:rPr>
          <w:sz w:val="20"/>
          <w:szCs w:val="20"/>
          <w:color w:val="auto"/>
        </w:rPr>
      </w:pPr>
      <w:r>
        <w:rPr>
          <w:rFonts w:ascii="Arial" w:cs="Arial" w:eastAsia="Arial" w:hAnsi="Arial"/>
          <w:sz w:val="18"/>
          <w:szCs w:val="18"/>
          <w:color w:val="231F20"/>
        </w:rPr>
        <w:t>Copies of the following materials are available at</w:t>
      </w:r>
    </w:p>
    <w:p>
      <w:pPr>
        <w:spacing w:after="0" w:line="144" w:lineRule="exact"/>
        <w:rPr>
          <w:sz w:val="20"/>
          <w:szCs w:val="20"/>
          <w:color w:val="auto"/>
        </w:rPr>
      </w:pPr>
    </w:p>
    <w:p>
      <w:pPr>
        <w:jc w:val="center"/>
        <w:ind w:left="1640"/>
        <w:spacing w:after="0"/>
        <w:rPr>
          <w:sz w:val="20"/>
          <w:szCs w:val="20"/>
          <w:color w:val="auto"/>
        </w:rPr>
      </w:pPr>
      <w:r>
        <w:rPr>
          <w:rFonts w:ascii="Arial" w:cs="Arial" w:eastAsia="Arial" w:hAnsi="Arial"/>
          <w:sz w:val="17"/>
          <w:szCs w:val="17"/>
          <w:b w:val="1"/>
          <w:bCs w:val="1"/>
          <w:u w:val="single" w:color="auto"/>
          <w:color w:val="231F20"/>
        </w:rPr>
        <w:t>www.crowncork.com/investors/governance/proxy-online</w:t>
      </w:r>
    </w:p>
    <w:p>
      <w:pPr>
        <w:spacing w:after="0" w:line="156" w:lineRule="exact"/>
        <w:rPr>
          <w:sz w:val="20"/>
          <w:szCs w:val="20"/>
          <w:color w:val="auto"/>
        </w:rPr>
      </w:pPr>
    </w:p>
    <w:p>
      <w:pPr>
        <w:ind w:left="1820" w:hanging="192"/>
        <w:spacing w:after="0"/>
        <w:tabs>
          <w:tab w:leader="none" w:pos="182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the Proxy Statement relating to the Annual Meeting of Shareholders</w:t>
      </w:r>
    </w:p>
    <w:p>
      <w:pPr>
        <w:spacing w:after="0" w:line="49" w:lineRule="exact"/>
        <w:rPr>
          <w:rFonts w:ascii="Arial" w:cs="Arial" w:eastAsia="Arial" w:hAnsi="Arial"/>
          <w:sz w:val="18"/>
          <w:szCs w:val="18"/>
          <w:color w:val="231F20"/>
        </w:rPr>
      </w:pPr>
    </w:p>
    <w:p>
      <w:pPr>
        <w:ind w:left="1820" w:hanging="192"/>
        <w:spacing w:after="0"/>
        <w:tabs>
          <w:tab w:leader="none" w:pos="182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this Proxy Card</w:t>
      </w:r>
    </w:p>
    <w:p>
      <w:pPr>
        <w:spacing w:after="0" w:line="36" w:lineRule="exact"/>
        <w:rPr>
          <w:rFonts w:ascii="Arial" w:cs="Arial" w:eastAsia="Arial" w:hAnsi="Arial"/>
          <w:sz w:val="18"/>
          <w:szCs w:val="18"/>
          <w:color w:val="231F20"/>
        </w:rPr>
      </w:pPr>
    </w:p>
    <w:p>
      <w:pPr>
        <w:ind w:left="1820" w:hanging="192"/>
        <w:spacing w:after="0"/>
        <w:tabs>
          <w:tab w:leader="none" w:pos="1820" w:val="left"/>
        </w:tabs>
        <w:numPr>
          <w:ilvl w:val="0"/>
          <w:numId w:val="69"/>
        </w:numPr>
        <w:rPr>
          <w:rFonts w:ascii="Arial" w:cs="Arial" w:eastAsia="Arial" w:hAnsi="Arial"/>
          <w:sz w:val="18"/>
          <w:szCs w:val="18"/>
          <w:color w:val="231F20"/>
        </w:rPr>
      </w:pPr>
      <w:r>
        <w:rPr>
          <w:rFonts w:ascii="Arial" w:cs="Arial" w:eastAsia="Arial" w:hAnsi="Arial"/>
          <w:sz w:val="18"/>
          <w:szCs w:val="18"/>
          <w:color w:val="231F20"/>
        </w:rPr>
        <w:t>the Annual Report to Shareholders</w:t>
      </w:r>
    </w:p>
    <w:p>
      <w:pPr>
        <w:spacing w:after="0" w:line="198"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231F20"/>
        </w:rPr>
        <w:t>Crown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-33020</wp:posOffset>
            </wp:positionV>
            <wp:extent cx="1585595" cy="5054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585595" cy="505460"/>
                    </a:xfrm>
                    <a:prstGeom prst="rect">
                      <a:avLst/>
                    </a:prstGeom>
                    <a:noFill/>
                  </pic:spPr>
                </pic:pic>
              </a:graphicData>
            </a:graphic>
          </wp:anchor>
        </w:drawing>
      </w:r>
    </w:p>
    <w:p>
      <w:pPr>
        <w:ind w:left="4220"/>
        <w:spacing w:after="0" w:line="234" w:lineRule="auto"/>
        <w:rPr>
          <w:sz w:val="20"/>
          <w:szCs w:val="20"/>
          <w:color w:val="auto"/>
        </w:rPr>
      </w:pPr>
      <w:r>
        <w:rPr>
          <w:rFonts w:ascii="Arial" w:cs="Arial" w:eastAsia="Arial" w:hAnsi="Arial"/>
          <w:sz w:val="18"/>
          <w:szCs w:val="18"/>
          <w:b w:val="1"/>
          <w:bCs w:val="1"/>
          <w:color w:val="231F20"/>
        </w:rPr>
        <w:t>Hidden River Corporate Center Two</w:t>
      </w:r>
    </w:p>
    <w:p>
      <w:pPr>
        <w:ind w:left="4340"/>
        <w:spacing w:after="0" w:line="219" w:lineRule="auto"/>
        <w:rPr>
          <w:sz w:val="20"/>
          <w:szCs w:val="20"/>
          <w:color w:val="auto"/>
        </w:rPr>
      </w:pPr>
      <w:r>
        <w:rPr>
          <w:rFonts w:ascii="Arial" w:cs="Arial" w:eastAsia="Arial" w:hAnsi="Arial"/>
          <w:sz w:val="18"/>
          <w:szCs w:val="18"/>
          <w:b w:val="1"/>
          <w:bCs w:val="1"/>
          <w:color w:val="231F20"/>
        </w:rPr>
        <w:t>14025 Riveredge Drive, Suite 300</w:t>
      </w:r>
    </w:p>
    <w:p>
      <w:pPr>
        <w:spacing w:after="0" w:line="1"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231F20"/>
        </w:rPr>
        <w:t>Tampa, Florida 33637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31"/>
          <w:szCs w:val="31"/>
          <w:b w:val="1"/>
          <w:bCs w:val="1"/>
          <w:color w:val="231F20"/>
        </w:rPr>
        <w:t>PROXY</w:t>
      </w:r>
    </w:p>
    <w:p>
      <w:pPr>
        <w:spacing w:after="0" w:line="200" w:lineRule="exact"/>
        <w:rPr>
          <w:sz w:val="20"/>
          <w:szCs w:val="20"/>
          <w:color w:val="auto"/>
        </w:rPr>
      </w:pPr>
    </w:p>
    <w:p>
      <w:pPr>
        <w:sectPr>
          <w:pgSz w:w="11900" w:h="16838" w:orient="portrait"/>
          <w:cols w:equalWidth="0" w:num="2">
            <w:col w:w="9300" w:space="720"/>
            <w:col w:w="1120"/>
          </w:cols>
          <w:pgMar w:left="320" w:top="570" w:right="439" w:bottom="1440" w:gutter="0" w:footer="0" w:header="0"/>
          <w:type w:val="continuous"/>
        </w:sectPr>
      </w:pPr>
    </w:p>
    <w:p>
      <w:pPr>
        <w:spacing w:after="0" w:line="76" w:lineRule="exact"/>
        <w:rPr>
          <w:sz w:val="20"/>
          <w:szCs w:val="20"/>
          <w:color w:val="auto"/>
        </w:rPr>
      </w:pPr>
    </w:p>
    <w:p>
      <w:pPr>
        <w:ind w:left="2640"/>
        <w:spacing w:after="0"/>
        <w:rPr>
          <w:sz w:val="20"/>
          <w:szCs w:val="20"/>
          <w:color w:val="auto"/>
        </w:rPr>
      </w:pPr>
      <w:r>
        <w:rPr>
          <w:rFonts w:ascii="Arial" w:cs="Arial" w:eastAsia="Arial" w:hAnsi="Arial"/>
          <w:sz w:val="18"/>
          <w:szCs w:val="18"/>
          <w:b w:val="1"/>
          <w:bCs w:val="1"/>
          <w:color w:val="231F20"/>
        </w:rPr>
        <w:t>Proxy for Annual Meeting of Shareholders to be held on April 30, 2026</w:t>
      </w:r>
    </w:p>
    <w:p>
      <w:pPr>
        <w:spacing w:after="0" w:line="77" w:lineRule="exact"/>
        <w:rPr>
          <w:sz w:val="20"/>
          <w:szCs w:val="20"/>
          <w:color w:val="auto"/>
        </w:rPr>
      </w:pPr>
    </w:p>
    <w:p>
      <w:pPr>
        <w:ind w:left="3140"/>
        <w:spacing w:after="0"/>
        <w:rPr>
          <w:sz w:val="20"/>
          <w:szCs w:val="20"/>
          <w:color w:val="auto"/>
        </w:rPr>
      </w:pPr>
      <w:r>
        <w:rPr>
          <w:rFonts w:ascii="Arial" w:cs="Arial" w:eastAsia="Arial" w:hAnsi="Arial"/>
          <w:sz w:val="18"/>
          <w:szCs w:val="18"/>
          <w:b w:val="1"/>
          <w:bCs w:val="1"/>
          <w:color w:val="231F20"/>
        </w:rPr>
        <w:t>This Proxy is solicited on behalf of the Board of Directors.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231F20"/>
        </w:rPr>
        <w:t>The undersigned hereby appoints Timothy J. Donahue, Kevin C. Clothier and Adam J. Dickstein as Proxy Holders, each with the power</w:t>
      </w:r>
    </w:p>
    <w:p>
      <w:pPr>
        <w:jc w:val="both"/>
        <w:ind w:right="220"/>
        <w:spacing w:after="0" w:line="211" w:lineRule="auto"/>
        <w:rPr>
          <w:sz w:val="20"/>
          <w:szCs w:val="20"/>
          <w:color w:val="auto"/>
        </w:rPr>
      </w:pPr>
      <w:r>
        <w:rPr>
          <w:rFonts w:ascii="Arial" w:cs="Arial" w:eastAsia="Arial" w:hAnsi="Arial"/>
          <w:sz w:val="18"/>
          <w:szCs w:val="18"/>
          <w:color w:val="231F20"/>
        </w:rPr>
        <w:t>to appoint his substitute, and hereby authorizes them to represent and to vote, as designated on the reverse side, all the shares of stock of Crown Holdings, Inc. held of record by the undersigned on March 10, 2026 at the Annual Meeting of Shareholders to be held at Tampa</w:t>
      </w:r>
    </w:p>
    <w:p>
      <w:pPr>
        <w:spacing w:after="0" w:line="219" w:lineRule="auto"/>
        <w:rPr>
          <w:sz w:val="20"/>
          <w:szCs w:val="20"/>
          <w:color w:val="auto"/>
        </w:rPr>
      </w:pPr>
      <w:r>
        <w:rPr>
          <w:rFonts w:ascii="Arial" w:cs="Arial" w:eastAsia="Arial" w:hAnsi="Arial"/>
          <w:sz w:val="18"/>
          <w:szCs w:val="18"/>
          <w:color w:val="231F20"/>
        </w:rPr>
        <w:t>Marriott Water Street, 505 Water Street, Tampa, Florida on April 30, 2026 at 9:30 a.m., or any adjournments thereof, for the items shown</w:t>
      </w:r>
    </w:p>
    <w:p>
      <w:pPr>
        <w:spacing w:after="0" w:line="1" w:lineRule="exact"/>
        <w:rPr>
          <w:sz w:val="20"/>
          <w:szCs w:val="20"/>
          <w:color w:val="auto"/>
        </w:rPr>
      </w:pPr>
    </w:p>
    <w:p>
      <w:pPr>
        <w:jc w:val="both"/>
        <w:ind w:right="220"/>
        <w:spacing w:after="0" w:line="229" w:lineRule="auto"/>
        <w:rPr>
          <w:sz w:val="20"/>
          <w:szCs w:val="20"/>
          <w:color w:val="auto"/>
        </w:rPr>
      </w:pPr>
      <w:r>
        <w:rPr>
          <w:rFonts w:ascii="Arial" w:cs="Arial" w:eastAsia="Arial" w:hAnsi="Arial"/>
          <w:sz w:val="18"/>
          <w:szCs w:val="18"/>
          <w:color w:val="231F20"/>
        </w:rPr>
        <w:t>on the reverse side and, in the discretion of the Proxy Holders, on any other matter that may properly come before the meeting or any adjournments thereof.</w:t>
      </w:r>
    </w:p>
    <w:p>
      <w:pPr>
        <w:spacing w:after="0" w:line="60" w:lineRule="exact"/>
        <w:rPr>
          <w:sz w:val="20"/>
          <w:szCs w:val="20"/>
          <w:color w:val="auto"/>
        </w:rPr>
      </w:pPr>
    </w:p>
    <w:p>
      <w:pPr>
        <w:jc w:val="both"/>
        <w:ind w:right="220"/>
        <w:spacing w:after="0" w:line="238" w:lineRule="auto"/>
        <w:rPr>
          <w:sz w:val="20"/>
          <w:szCs w:val="20"/>
          <w:color w:val="auto"/>
        </w:rPr>
      </w:pPr>
      <w:r>
        <w:rPr>
          <w:rFonts w:ascii="Arial" w:cs="Arial" w:eastAsia="Arial" w:hAnsi="Arial"/>
          <w:sz w:val="18"/>
          <w:szCs w:val="18"/>
          <w:color w:val="231F20"/>
        </w:rPr>
        <w:t>You are encouraged to specify your choices by marking the appropriate boxes (SEE REVERSE SIDE), but you need not mark any boxes if you wish to vote in accordance with the Board of Directors’ recommendations. The Proxy Holders cannot vote your shares unless you sign and return this card or you elect to vote your shares electronically by telephone or via the Internet.</w:t>
      </w:r>
    </w:p>
    <w:p>
      <w:pPr>
        <w:spacing w:after="0" w:line="381" w:lineRule="exact"/>
        <w:rPr>
          <w:sz w:val="20"/>
          <w:szCs w:val="20"/>
          <w:color w:val="auto"/>
        </w:rPr>
      </w:pPr>
    </w:p>
    <w:p>
      <w:pPr>
        <w:jc w:val="center"/>
        <w:ind w:right="200"/>
        <w:spacing w:after="0"/>
        <w:rPr>
          <w:sz w:val="20"/>
          <w:szCs w:val="20"/>
          <w:color w:val="auto"/>
        </w:rPr>
      </w:pPr>
      <w:r>
        <w:rPr>
          <w:rFonts w:ascii="Arial" w:cs="Arial" w:eastAsia="Arial" w:hAnsi="Arial"/>
          <w:sz w:val="29"/>
          <w:szCs w:val="29"/>
          <w:b w:val="1"/>
          <w:bCs w:val="1"/>
          <w:color w:val="231F20"/>
        </w:rPr>
        <w:t>Vote by Internet, Telephone or Mail 24 Hours a</w:t>
      </w:r>
    </w:p>
    <w:p>
      <w:pPr>
        <w:spacing w:after="0" w:line="7" w:lineRule="exact"/>
        <w:rPr>
          <w:sz w:val="20"/>
          <w:szCs w:val="20"/>
          <w:color w:val="auto"/>
        </w:rPr>
      </w:pPr>
    </w:p>
    <w:p>
      <w:pPr>
        <w:jc w:val="center"/>
        <w:ind w:right="200"/>
        <w:spacing w:after="0"/>
        <w:rPr>
          <w:sz w:val="20"/>
          <w:szCs w:val="20"/>
          <w:color w:val="auto"/>
        </w:rPr>
      </w:pPr>
      <w:r>
        <w:rPr>
          <w:rFonts w:ascii="Arial" w:cs="Arial" w:eastAsia="Arial" w:hAnsi="Arial"/>
          <w:sz w:val="29"/>
          <w:szCs w:val="29"/>
          <w:b w:val="1"/>
          <w:bCs w:val="1"/>
          <w:color w:val="231F20"/>
        </w:rPr>
        <w:t>Day, 7 Days a Week</w:t>
      </w:r>
    </w:p>
    <w:p>
      <w:pPr>
        <w:spacing w:after="0" w:line="157" w:lineRule="exact"/>
        <w:rPr>
          <w:sz w:val="20"/>
          <w:szCs w:val="20"/>
          <w:color w:val="auto"/>
        </w:rPr>
      </w:pPr>
    </w:p>
    <w:p>
      <w:pPr>
        <w:jc w:val="center"/>
        <w:ind w:left="340" w:right="440"/>
        <w:spacing w:after="0" w:line="259" w:lineRule="auto"/>
        <w:rPr>
          <w:sz w:val="20"/>
          <w:szCs w:val="20"/>
          <w:color w:val="auto"/>
        </w:rPr>
      </w:pPr>
      <w:r>
        <w:rPr>
          <w:rFonts w:ascii="Arial" w:cs="Arial" w:eastAsia="Arial" w:hAnsi="Arial"/>
          <w:sz w:val="22"/>
          <w:szCs w:val="22"/>
          <w:color w:val="231F20"/>
        </w:rPr>
        <w:t>Your phone or Internet vote authorizes the named Proxy Holders to vote your shares in the same manner as if you marked, signed and returned your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1007745</wp:posOffset>
            </wp:positionH>
            <wp:positionV relativeFrom="paragraph">
              <wp:posOffset>158750</wp:posOffset>
            </wp:positionV>
            <wp:extent cx="325755" cy="2743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5755" cy="274320"/>
                    </a:xfrm>
                    <a:prstGeom prst="rect">
                      <a:avLst/>
                    </a:prstGeom>
                    <a:noFill/>
                  </pic:spPr>
                </pic:pic>
              </a:graphicData>
            </a:graphic>
          </wp:anchor>
        </w:drawing>
        <w:drawing>
          <wp:anchor simplePos="0" relativeHeight="251657728" behindDoc="1" locked="0" layoutInCell="0" allowOverlap="1">
            <wp:simplePos x="0" y="0"/>
            <wp:positionH relativeFrom="column">
              <wp:posOffset>3442335</wp:posOffset>
            </wp:positionH>
            <wp:positionV relativeFrom="paragraph">
              <wp:posOffset>167005</wp:posOffset>
            </wp:positionV>
            <wp:extent cx="334010" cy="2743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4010" cy="274320"/>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184150</wp:posOffset>
            </wp:positionV>
            <wp:extent cx="300355" cy="2654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00355" cy="265430"/>
                    </a:xfrm>
                    <a:prstGeom prst="rect">
                      <a:avLst/>
                    </a:prstGeom>
                    <a:noFill/>
                  </pic:spPr>
                </pic:pic>
              </a:graphicData>
            </a:graphic>
          </wp:anchor>
        </w:drawing>
      </w:r>
    </w:p>
    <w:p>
      <w:pPr>
        <w:sectPr>
          <w:pgSz w:w="11900" w:h="16838" w:orient="portrait"/>
          <w:cols w:equalWidth="0" w:num="1">
            <w:col w:w="11140"/>
          </w:cols>
          <w:pgMar w:left="320" w:top="570" w:right="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640" w:type="dxa"/>
        <w:tblCellMar>
          <w:top w:w="0" w:type="dxa"/>
          <w:left w:w="0" w:type="dxa"/>
          <w:bottom w:w="0" w:type="dxa"/>
          <w:right w:w="0" w:type="dxa"/>
        </w:tblCellMar>
      </w:tblPr>
      <w:tr>
        <w:trPr>
          <w:trHeight w:val="229"/>
        </w:trPr>
        <w:tc>
          <w:tcPr>
            <w:tcW w:w="3020" w:type="dxa"/>
            <w:vAlign w:val="bottom"/>
          </w:tcPr>
          <w:p>
            <w:pPr>
              <w:jc w:val="center"/>
              <w:ind w:right="598"/>
              <w:spacing w:after="0"/>
              <w:rPr>
                <w:sz w:val="20"/>
                <w:szCs w:val="20"/>
                <w:color w:val="auto"/>
              </w:rPr>
            </w:pPr>
            <w:r>
              <w:rPr>
                <w:rFonts w:ascii="Arial" w:cs="Arial" w:eastAsia="Arial" w:hAnsi="Arial"/>
                <w:sz w:val="18"/>
                <w:szCs w:val="18"/>
                <w:b w:val="1"/>
                <w:bCs w:val="1"/>
                <w:color w:val="231F20"/>
                <w:w w:val="98"/>
              </w:rPr>
              <w:t>INTERNET/MOBILE</w:t>
            </w:r>
          </w:p>
        </w:tc>
        <w:tc>
          <w:tcPr>
            <w:tcW w:w="3360" w:type="dxa"/>
            <w:vAlign w:val="bottom"/>
          </w:tcPr>
          <w:p>
            <w:pPr>
              <w:jc w:val="center"/>
              <w:ind w:left="558"/>
              <w:spacing w:after="0"/>
              <w:rPr>
                <w:sz w:val="20"/>
                <w:szCs w:val="20"/>
                <w:color w:val="auto"/>
              </w:rPr>
            </w:pPr>
            <w:r>
              <w:rPr>
                <w:rFonts w:ascii="Arial" w:cs="Arial" w:eastAsia="Arial" w:hAnsi="Arial"/>
                <w:sz w:val="18"/>
                <w:szCs w:val="18"/>
                <w:b w:val="1"/>
                <w:bCs w:val="1"/>
                <w:color w:val="231F20"/>
                <w:w w:val="99"/>
              </w:rPr>
              <w:t>PHONE</w:t>
            </w:r>
          </w:p>
        </w:tc>
      </w:tr>
      <w:tr>
        <w:trPr>
          <w:trHeight w:val="247"/>
        </w:trPr>
        <w:tc>
          <w:tcPr>
            <w:tcW w:w="3020" w:type="dxa"/>
            <w:vAlign w:val="bottom"/>
          </w:tcPr>
          <w:p>
            <w:pPr>
              <w:jc w:val="center"/>
              <w:ind w:right="598"/>
              <w:spacing w:after="0"/>
              <w:rPr>
                <w:sz w:val="20"/>
                <w:szCs w:val="20"/>
                <w:color w:val="auto"/>
              </w:rPr>
            </w:pPr>
            <w:r>
              <w:rPr>
                <w:rFonts w:ascii="Arial" w:cs="Arial" w:eastAsia="Arial" w:hAnsi="Arial"/>
                <w:sz w:val="18"/>
                <w:szCs w:val="18"/>
                <w:b w:val="1"/>
                <w:bCs w:val="1"/>
                <w:color w:val="231F20"/>
                <w:w w:val="97"/>
              </w:rPr>
              <w:t>www.proxypush.com/cck</w:t>
            </w:r>
          </w:p>
        </w:tc>
        <w:tc>
          <w:tcPr>
            <w:tcW w:w="3360" w:type="dxa"/>
            <w:vAlign w:val="bottom"/>
          </w:tcPr>
          <w:p>
            <w:pPr>
              <w:jc w:val="center"/>
              <w:ind w:left="558"/>
              <w:spacing w:after="0"/>
              <w:rPr>
                <w:sz w:val="20"/>
                <w:szCs w:val="20"/>
                <w:color w:val="auto"/>
              </w:rPr>
            </w:pPr>
            <w:r>
              <w:rPr>
                <w:rFonts w:ascii="Arial" w:cs="Arial" w:eastAsia="Arial" w:hAnsi="Arial"/>
                <w:sz w:val="18"/>
                <w:szCs w:val="18"/>
                <w:b w:val="1"/>
                <w:bCs w:val="1"/>
                <w:color w:val="231F20"/>
                <w:w w:val="99"/>
              </w:rPr>
              <w:t>1-866-883-3382</w:t>
            </w:r>
          </w:p>
        </w:tc>
      </w:tr>
      <w:tr>
        <w:trPr>
          <w:trHeight w:val="200"/>
        </w:trPr>
        <w:tc>
          <w:tcPr>
            <w:tcW w:w="3020" w:type="dxa"/>
            <w:vAlign w:val="bottom"/>
          </w:tcPr>
          <w:p>
            <w:pPr>
              <w:jc w:val="center"/>
              <w:ind w:right="598"/>
              <w:spacing w:after="0"/>
              <w:rPr>
                <w:sz w:val="20"/>
                <w:szCs w:val="20"/>
                <w:color w:val="auto"/>
              </w:rPr>
            </w:pPr>
            <w:r>
              <w:rPr>
                <w:rFonts w:ascii="Arial" w:cs="Arial" w:eastAsia="Arial" w:hAnsi="Arial"/>
                <w:sz w:val="15"/>
                <w:szCs w:val="15"/>
                <w:color w:val="231F20"/>
              </w:rPr>
              <w:t>Use the Internet to vote your proxy</w:t>
            </w:r>
          </w:p>
        </w:tc>
        <w:tc>
          <w:tcPr>
            <w:tcW w:w="3360" w:type="dxa"/>
            <w:vAlign w:val="bottom"/>
          </w:tcPr>
          <w:p>
            <w:pPr>
              <w:jc w:val="center"/>
              <w:ind w:left="558"/>
              <w:spacing w:after="0"/>
              <w:rPr>
                <w:sz w:val="20"/>
                <w:szCs w:val="20"/>
                <w:color w:val="auto"/>
              </w:rPr>
            </w:pPr>
            <w:r>
              <w:rPr>
                <w:rFonts w:ascii="Arial" w:cs="Arial" w:eastAsia="Arial" w:hAnsi="Arial"/>
                <w:sz w:val="15"/>
                <w:szCs w:val="15"/>
                <w:color w:val="231F20"/>
              </w:rPr>
              <w:t>Use a touch-tone telephone to</w:t>
            </w:r>
          </w:p>
        </w:tc>
      </w:tr>
      <w:tr>
        <w:trPr>
          <w:trHeight w:val="175"/>
        </w:trPr>
        <w:tc>
          <w:tcPr>
            <w:tcW w:w="3020" w:type="dxa"/>
            <w:vAlign w:val="bottom"/>
          </w:tcPr>
          <w:p>
            <w:pPr>
              <w:jc w:val="center"/>
              <w:ind w:right="598"/>
              <w:spacing w:after="0"/>
              <w:rPr>
                <w:sz w:val="20"/>
                <w:szCs w:val="20"/>
                <w:color w:val="auto"/>
              </w:rPr>
            </w:pPr>
            <w:r>
              <w:rPr>
                <w:rFonts w:ascii="Arial" w:cs="Arial" w:eastAsia="Arial" w:hAnsi="Arial"/>
                <w:sz w:val="15"/>
                <w:szCs w:val="15"/>
                <w:color w:val="231F20"/>
              </w:rPr>
              <w:t>until 11:59 p.m. (ET) on</w:t>
            </w:r>
          </w:p>
        </w:tc>
        <w:tc>
          <w:tcPr>
            <w:tcW w:w="3360" w:type="dxa"/>
            <w:vAlign w:val="bottom"/>
          </w:tcPr>
          <w:p>
            <w:pPr>
              <w:jc w:val="center"/>
              <w:ind w:left="618"/>
              <w:spacing w:after="0"/>
              <w:rPr>
                <w:sz w:val="20"/>
                <w:szCs w:val="20"/>
                <w:color w:val="auto"/>
              </w:rPr>
            </w:pPr>
            <w:r>
              <w:rPr>
                <w:rFonts w:ascii="Arial" w:cs="Arial" w:eastAsia="Arial" w:hAnsi="Arial"/>
                <w:sz w:val="15"/>
                <w:szCs w:val="15"/>
                <w:color w:val="231F20"/>
              </w:rPr>
              <w:t>vote your proxy until 11:59 p.m. (ET) on</w:t>
            </w:r>
          </w:p>
        </w:tc>
      </w:tr>
      <w:tr>
        <w:trPr>
          <w:trHeight w:val="200"/>
        </w:trPr>
        <w:tc>
          <w:tcPr>
            <w:tcW w:w="3020" w:type="dxa"/>
            <w:vAlign w:val="bottom"/>
          </w:tcPr>
          <w:p>
            <w:pPr>
              <w:jc w:val="center"/>
              <w:ind w:right="598"/>
              <w:spacing w:after="0"/>
              <w:rPr>
                <w:sz w:val="20"/>
                <w:szCs w:val="20"/>
                <w:color w:val="auto"/>
              </w:rPr>
            </w:pPr>
            <w:r>
              <w:rPr>
                <w:rFonts w:ascii="Arial" w:cs="Arial" w:eastAsia="Arial" w:hAnsi="Arial"/>
                <w:sz w:val="15"/>
                <w:szCs w:val="15"/>
                <w:color w:val="231F20"/>
              </w:rPr>
              <w:t>April 29, 2026.</w:t>
            </w:r>
          </w:p>
        </w:tc>
        <w:tc>
          <w:tcPr>
            <w:tcW w:w="3360" w:type="dxa"/>
            <w:vAlign w:val="bottom"/>
          </w:tcPr>
          <w:p>
            <w:pPr>
              <w:jc w:val="center"/>
              <w:ind w:left="618"/>
              <w:spacing w:after="0"/>
              <w:rPr>
                <w:sz w:val="20"/>
                <w:szCs w:val="20"/>
                <w:color w:val="auto"/>
              </w:rPr>
            </w:pPr>
            <w:r>
              <w:rPr>
                <w:rFonts w:ascii="Arial" w:cs="Arial" w:eastAsia="Arial" w:hAnsi="Arial"/>
                <w:sz w:val="15"/>
                <w:szCs w:val="15"/>
                <w:color w:val="231F20"/>
              </w:rPr>
              <w:t>April 29, 2026.</w:t>
            </w:r>
          </w:p>
        </w:tc>
      </w:tr>
    </w:tbl>
    <w:p>
      <w:pPr>
        <w:spacing w:after="0" w:line="270" w:lineRule="exact"/>
        <w:rPr>
          <w:sz w:val="20"/>
          <w:szCs w:val="20"/>
          <w:color w:val="auto"/>
        </w:rPr>
      </w:pPr>
    </w:p>
    <w:p>
      <w:pPr>
        <w:jc w:val="center"/>
        <w:ind w:left="800"/>
        <w:spacing w:after="0"/>
        <w:rPr>
          <w:sz w:val="20"/>
          <w:szCs w:val="20"/>
          <w:color w:val="auto"/>
        </w:rPr>
      </w:pPr>
      <w:r>
        <w:rPr>
          <w:rFonts w:ascii="Arial" w:cs="Arial" w:eastAsia="Arial" w:hAnsi="Arial"/>
          <w:sz w:val="15"/>
          <w:szCs w:val="15"/>
          <w:b w:val="1"/>
          <w:bCs w:val="1"/>
          <w:color w:val="231F20"/>
        </w:rPr>
        <w:t>Voting your Proxy by Internet or Telephone</w:t>
      </w:r>
    </w:p>
    <w:p>
      <w:pPr>
        <w:spacing w:after="0" w:line="38" w:lineRule="exact"/>
        <w:rPr>
          <w:sz w:val="20"/>
          <w:szCs w:val="20"/>
          <w:color w:val="auto"/>
        </w:rPr>
      </w:pPr>
    </w:p>
    <w:p>
      <w:pPr>
        <w:ind w:left="2820" w:hanging="139"/>
        <w:spacing w:after="0"/>
        <w:tabs>
          <w:tab w:leader="none" w:pos="2820" w:val="left"/>
        </w:tabs>
        <w:numPr>
          <w:ilvl w:val="0"/>
          <w:numId w:val="70"/>
        </w:numPr>
        <w:rPr>
          <w:rFonts w:ascii="Arial" w:cs="Arial" w:eastAsia="Arial" w:hAnsi="Arial"/>
          <w:sz w:val="15"/>
          <w:szCs w:val="15"/>
          <w:color w:val="231F20"/>
        </w:rPr>
      </w:pPr>
      <w:r>
        <w:rPr>
          <w:rFonts w:ascii="Arial" w:cs="Arial" w:eastAsia="Arial" w:hAnsi="Arial"/>
          <w:sz w:val="15"/>
          <w:szCs w:val="15"/>
          <w:color w:val="231F20"/>
        </w:rPr>
        <w:t>Please have your Proxy Card and control number available.</w:t>
      </w:r>
    </w:p>
    <w:p>
      <w:pPr>
        <w:spacing w:after="0" w:line="24" w:lineRule="exact"/>
        <w:rPr>
          <w:rFonts w:ascii="Arial" w:cs="Arial" w:eastAsia="Arial" w:hAnsi="Arial"/>
          <w:sz w:val="15"/>
          <w:szCs w:val="15"/>
          <w:color w:val="231F20"/>
        </w:rPr>
      </w:pPr>
    </w:p>
    <w:p>
      <w:pPr>
        <w:ind w:left="2820" w:hanging="139"/>
        <w:spacing w:after="0"/>
        <w:tabs>
          <w:tab w:leader="none" w:pos="2820" w:val="left"/>
        </w:tabs>
        <w:numPr>
          <w:ilvl w:val="0"/>
          <w:numId w:val="70"/>
        </w:numPr>
        <w:rPr>
          <w:rFonts w:ascii="Arial" w:cs="Arial" w:eastAsia="Arial" w:hAnsi="Arial"/>
          <w:sz w:val="15"/>
          <w:szCs w:val="15"/>
          <w:color w:val="231F20"/>
        </w:rPr>
      </w:pPr>
      <w:r>
        <w:rPr>
          <w:rFonts w:ascii="Arial" w:cs="Arial" w:eastAsia="Arial" w:hAnsi="Arial"/>
          <w:sz w:val="15"/>
          <w:szCs w:val="15"/>
          <w:color w:val="231F20"/>
        </w:rPr>
        <w:t>You do NOT need to mail back your Proxy Card.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540"/>
        <w:spacing w:after="0"/>
        <w:rPr>
          <w:sz w:val="20"/>
          <w:szCs w:val="20"/>
          <w:color w:val="auto"/>
        </w:rPr>
      </w:pPr>
      <w:r>
        <w:rPr>
          <w:rFonts w:ascii="Arial" w:cs="Arial" w:eastAsia="Arial" w:hAnsi="Arial"/>
          <w:sz w:val="18"/>
          <w:szCs w:val="18"/>
          <w:b w:val="1"/>
          <w:bCs w:val="1"/>
          <w:color w:val="231F20"/>
        </w:rPr>
        <w:t>MAIL</w:t>
      </w:r>
    </w:p>
    <w:p>
      <w:pPr>
        <w:spacing w:after="0" w:line="105"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231F20"/>
        </w:rPr>
        <w:t>Mark, sign and date this proxy</w:t>
      </w:r>
    </w:p>
    <w:p>
      <w:pPr>
        <w:spacing w:after="0" w:line="17" w:lineRule="exact"/>
        <w:rPr>
          <w:sz w:val="20"/>
          <w:szCs w:val="20"/>
          <w:color w:val="auto"/>
        </w:rPr>
      </w:pPr>
    </w:p>
    <w:p>
      <w:pPr>
        <w:jc w:val="center"/>
        <w:ind w:right="540"/>
        <w:spacing w:after="0"/>
        <w:rPr>
          <w:sz w:val="20"/>
          <w:szCs w:val="20"/>
          <w:color w:val="auto"/>
        </w:rPr>
      </w:pPr>
      <w:r>
        <w:rPr>
          <w:rFonts w:ascii="Arial" w:cs="Arial" w:eastAsia="Arial" w:hAnsi="Arial"/>
          <w:sz w:val="15"/>
          <w:szCs w:val="15"/>
          <w:color w:val="231F20"/>
        </w:rPr>
        <w:t>card and return it in the</w:t>
      </w:r>
    </w:p>
    <w:p>
      <w:pPr>
        <w:spacing w:after="0" w:line="14" w:lineRule="exact"/>
        <w:rPr>
          <w:sz w:val="20"/>
          <w:szCs w:val="20"/>
          <w:color w:val="auto"/>
        </w:rPr>
      </w:pPr>
    </w:p>
    <w:p>
      <w:pPr>
        <w:spacing w:after="0"/>
        <w:rPr>
          <w:sz w:val="20"/>
          <w:szCs w:val="20"/>
          <w:color w:val="auto"/>
        </w:rPr>
      </w:pPr>
      <w:r>
        <w:rPr>
          <w:rFonts w:ascii="Arial" w:cs="Arial" w:eastAsia="Arial" w:hAnsi="Arial"/>
          <w:sz w:val="15"/>
          <w:szCs w:val="15"/>
          <w:color w:val="231F20"/>
        </w:rPr>
        <w:t>postage-paid envelope provided.</w:t>
      </w:r>
    </w:p>
    <w:sectPr>
      <w:pgSz w:w="11900" w:h="16838" w:orient="portrait"/>
      <w:cols w:equalWidth="0" w:num="2">
        <w:col w:w="7680" w:space="720"/>
        <w:col w:w="2740"/>
      </w:cols>
      <w:pgMar w:left="320" w:top="570"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upperLetter"/>
      <w:start w:val="24"/>
    </w:lvl>
  </w:abstractNum>
  <w:abstractNum w:abstractNumId="2">
    <w:nsid w:val="3804823E"/>
    <w:multiLevelType w:val="hybridMultilevel"/>
    <w:lvl w:ilvl="0">
      <w:lvlJc w:val="left"/>
      <w:lvlText w:val="[%1]"/>
      <w:numFmt w:val="upperLetter"/>
      <w:start w:val="24"/>
    </w:lvl>
  </w:abstractNum>
  <w:abstractNum w:abstractNumId="3">
    <w:nsid w:val="77465F01"/>
    <w:multiLevelType w:val="hybridMultilevel"/>
    <w:lvl w:ilvl="0">
      <w:lvlJc w:val="left"/>
      <w:lvlText w:val="(%1)"/>
      <w:numFmt w:val="decimal"/>
    </w:lvl>
    <w:lvl w:ilvl="1">
      <w:lvlJc w:val="left"/>
      <w:lvlText w:val="["/>
      <w:numFmt w:val="bullet"/>
      <w:start w:val="1"/>
    </w:lvl>
  </w:abstractNum>
  <w:abstractNum w:abstractNumId="4">
    <w:nsid w:val="7724C67E"/>
    <w:multiLevelType w:val="hybridMultilevel"/>
    <w:lvl w:ilvl="0">
      <w:lvlJc w:val="left"/>
      <w:lvlText w:val="(%1)"/>
      <w:numFmt w:val="decimal"/>
      <w:start w:val="3"/>
    </w:lvl>
  </w:abstractNum>
  <w:abstractNum w:abstractNumId="5">
    <w:nsid w:val="5C482A97"/>
    <w:multiLevelType w:val="hybridMultilevel"/>
    <w:lvl w:ilvl="0">
      <w:lvlJc w:val="left"/>
      <w:lvlText w:val="(%1)"/>
      <w:numFmt w:val="decimal"/>
    </w:lvl>
    <w:lvl w:ilvl="1">
      <w:lvlJc w:val="left"/>
      <w:lvlText w:val="["/>
      <w:numFmt w:val="bullet"/>
      <w:start w:val="1"/>
    </w:lvl>
  </w:abstractNum>
  <w:abstractNum w:abstractNumId="6">
    <w:nsid w:val="2463B9EA"/>
    <w:multiLevelType w:val="hybridMultilevel"/>
    <w:lvl w:ilvl="0">
      <w:lvlJc w:val="left"/>
      <w:lvlText w:val="·"/>
      <w:numFmt w:val="bullet"/>
      <w:start w:val="1"/>
    </w:lvl>
  </w:abstractNum>
  <w:abstractNum w:abstractNumId="7">
    <w:nsid w:val="5E884ADC"/>
    <w:multiLevelType w:val="hybridMultilevel"/>
    <w:lvl w:ilvl="0">
      <w:lvlJc w:val="left"/>
      <w:lvlText w:val="1"/>
      <w:numFmt w:val="bullet"/>
      <w:start w:val="1"/>
    </w:lvl>
  </w:abstractNum>
  <w:abstractNum w:abstractNumId="8">
    <w:nsid w:val="51EAD36B"/>
    <w:multiLevelType w:val="hybridMultilevel"/>
    <w:lvl w:ilvl="0">
      <w:lvlJc w:val="left"/>
      <w:lvlText w:val="1"/>
      <w:numFmt w:val="bullet"/>
      <w:start w:val="1"/>
    </w:lvl>
  </w:abstractNum>
  <w:abstractNum w:abstractNumId="9">
    <w:nsid w:val="2D517796"/>
    <w:multiLevelType w:val="hybridMultilevel"/>
    <w:lvl w:ilvl="0">
      <w:lvlJc w:val="left"/>
      <w:lvlText w:val="ü"/>
      <w:numFmt w:val="bullet"/>
      <w:start w:val="1"/>
    </w:lvl>
  </w:abstractNum>
  <w:abstractNum w:abstractNumId="10">
    <w:nsid w:val="580BD78F"/>
    <w:multiLevelType w:val="hybridMultilevel"/>
    <w:lvl w:ilvl="0">
      <w:lvlJc w:val="left"/>
      <w:lvlText w:val="1"/>
      <w:numFmt w:val="bullet"/>
      <w:start w:val="1"/>
    </w:lvl>
  </w:abstractNum>
  <w:abstractNum w:abstractNumId="11">
    <w:nsid w:val="153EA438"/>
    <w:multiLevelType w:val="hybridMultilevel"/>
    <w:lvl w:ilvl="0">
      <w:lvlJc w:val="left"/>
      <w:lvlText w:val="·"/>
      <w:numFmt w:val="bullet"/>
      <w:start w:val="1"/>
    </w:lvl>
    <w:lvl w:ilvl="1">
      <w:lvlJc w:val="left"/>
      <w:lvlText w:val="·"/>
      <w:numFmt w:val="bullet"/>
      <w:start w:val="1"/>
    </w:lvl>
  </w:abstractNum>
  <w:abstractNum w:abstractNumId="12">
    <w:nsid w:val="3855585C"/>
    <w:multiLevelType w:val="hybridMultilevel"/>
    <w:lvl w:ilvl="0">
      <w:lvlJc w:val="left"/>
      <w:lvlText w:val="·"/>
      <w:numFmt w:val="bullet"/>
      <w:start w:val="1"/>
    </w:lvl>
  </w:abstractNum>
  <w:abstractNum w:abstractNumId="13">
    <w:nsid w:val="70A64E2A"/>
    <w:multiLevelType w:val="hybridMultilevel"/>
    <w:lvl w:ilvl="0">
      <w:lvlJc w:val="left"/>
      <w:lvlText w:val="o"/>
      <w:numFmt w:val="bullet"/>
      <w:start w:val="1"/>
    </w:lvl>
  </w:abstractNum>
  <w:abstractNum w:abstractNumId="14">
    <w:nsid w:val="6A2342EC"/>
    <w:multiLevelType w:val="hybridMultilevel"/>
    <w:lvl w:ilvl="0">
      <w:lvlJc w:val="left"/>
      <w:lvlText w:val="o"/>
      <w:numFmt w:val="bullet"/>
      <w:start w:val="1"/>
    </w:lvl>
  </w:abstractNum>
  <w:abstractNum w:abstractNumId="15">
    <w:nsid w:val="2A487CB0"/>
    <w:multiLevelType w:val="hybridMultilevel"/>
    <w:lvl w:ilvl="0">
      <w:lvlJc w:val="left"/>
      <w:lvlText w:val="1"/>
      <w:numFmt w:val="bullet"/>
      <w:start w:val="1"/>
    </w:lvl>
  </w:abstractNum>
  <w:abstractNum w:abstractNumId="16">
    <w:nsid w:val="1D4ED43B"/>
    <w:multiLevelType w:val="hybridMultilevel"/>
    <w:lvl w:ilvl="0">
      <w:lvlJc w:val="left"/>
      <w:lvlText w:val="ü"/>
      <w:numFmt w:val="bullet"/>
      <w:start w:val="1"/>
    </w:lvl>
  </w:abstractNum>
  <w:abstractNum w:abstractNumId="17">
    <w:nsid w:val="725A06FB"/>
    <w:multiLevelType w:val="hybridMultilevel"/>
    <w:lvl w:ilvl="0">
      <w:lvlJc w:val="left"/>
      <w:lvlText w:val="û"/>
      <w:numFmt w:val="bullet"/>
      <w:start w:val="1"/>
    </w:lvl>
  </w:abstractNum>
  <w:abstractNum w:abstractNumId="18">
    <w:nsid w:val="2CD89A32"/>
    <w:multiLevelType w:val="hybridMultilevel"/>
    <w:lvl w:ilvl="0">
      <w:lvlJc w:val="left"/>
      <w:lvlText w:val="·"/>
      <w:numFmt w:val="bullet"/>
      <w:start w:val="1"/>
    </w:lvl>
  </w:abstractNum>
  <w:abstractNum w:abstractNumId="19">
    <w:nsid w:val="57E4CCAF"/>
    <w:multiLevelType w:val="hybridMultilevel"/>
    <w:lvl w:ilvl="0">
      <w:lvlJc w:val="left"/>
      <w:lvlText w:val="·"/>
      <w:numFmt w:val="bullet"/>
      <w:start w:val="1"/>
    </w:lvl>
  </w:abstractNum>
  <w:abstractNum w:abstractNumId="20">
    <w:nsid w:val="7A6D8D3C"/>
    <w:multiLevelType w:val="hybridMultilevel"/>
    <w:lvl w:ilvl="0">
      <w:lvlJc w:val="left"/>
      <w:lvlText w:val="·"/>
      <w:numFmt w:val="bullet"/>
      <w:start w:val="1"/>
    </w:lvl>
  </w:abstractNum>
  <w:abstractNum w:abstractNumId="21">
    <w:nsid w:val="4B588F54"/>
    <w:multiLevelType w:val="hybridMultilevel"/>
    <w:lvl w:ilvl="0">
      <w:lvlJc w:val="left"/>
      <w:lvlText w:val="·"/>
      <w:numFmt w:val="bullet"/>
      <w:start w:val="1"/>
    </w:lvl>
  </w:abstractNum>
  <w:abstractNum w:abstractNumId="22">
    <w:nsid w:val="542289EC"/>
    <w:multiLevelType w:val="hybridMultilevel"/>
    <w:lvl w:ilvl="0">
      <w:lvlJc w:val="left"/>
      <w:lvlText w:val="·"/>
      <w:numFmt w:val="bullet"/>
      <w:start w:val="1"/>
    </w:lvl>
  </w:abstractNum>
  <w:abstractNum w:abstractNumId="23">
    <w:nsid w:val="6DE91B18"/>
    <w:multiLevelType w:val="hybridMultilevel"/>
    <w:lvl w:ilvl="0">
      <w:lvlJc w:val="left"/>
      <w:lvlText w:val="1"/>
      <w:numFmt w:val="bullet"/>
      <w:start w:val="1"/>
    </w:lvl>
  </w:abstractNum>
  <w:abstractNum w:abstractNumId="24">
    <w:nsid w:val="38437FDB"/>
    <w:multiLevelType w:val="hybridMultilevel"/>
    <w:lvl w:ilvl="0">
      <w:lvlJc w:val="left"/>
      <w:lvlText w:val="(%1)"/>
      <w:numFmt w:val="decimal"/>
      <w:start w:val="1"/>
    </w:lvl>
  </w:abstractNum>
  <w:abstractNum w:abstractNumId="25">
    <w:nsid w:val="7644A45C"/>
    <w:multiLevelType w:val="hybridMultilevel"/>
    <w:lvl w:ilvl="0">
      <w:lvlJc w:val="left"/>
      <w:lvlText w:val="·"/>
      <w:numFmt w:val="bullet"/>
      <w:start w:val="1"/>
    </w:lvl>
  </w:abstractNum>
  <w:abstractNum w:abstractNumId="26">
    <w:nsid w:val="32FFF902"/>
    <w:multiLevelType w:val="hybridMultilevel"/>
    <w:lvl w:ilvl="0">
      <w:lvlJc w:val="left"/>
      <w:lvlText w:val="1"/>
      <w:numFmt w:val="bullet"/>
      <w:start w:val="1"/>
    </w:lvl>
  </w:abstractNum>
  <w:abstractNum w:abstractNumId="27">
    <w:nsid w:val="684A481A"/>
    <w:multiLevelType w:val="hybridMultilevel"/>
    <w:lvl w:ilvl="0">
      <w:lvlJc w:val="left"/>
      <w:lvlText w:val="•"/>
      <w:numFmt w:val="bullet"/>
      <w:start w:val="1"/>
    </w:lvl>
  </w:abstractNum>
  <w:abstractNum w:abstractNumId="28">
    <w:nsid w:val="579478FE"/>
    <w:multiLevelType w:val="hybridMultilevel"/>
    <w:lvl w:ilvl="0">
      <w:lvlJc w:val="left"/>
      <w:lvlText w:val="1"/>
      <w:numFmt w:val="bullet"/>
      <w:start w:val="1"/>
    </w:lvl>
  </w:abstractNum>
  <w:abstractNum w:abstractNumId="29">
    <w:nsid w:val="749ABB43"/>
    <w:multiLevelType w:val="hybridMultilevel"/>
    <w:lvl w:ilvl="0">
      <w:lvlJc w:val="left"/>
      <w:lvlText w:val="2"/>
      <w:numFmt w:val="bullet"/>
      <w:start w:val="1"/>
    </w:lvl>
  </w:abstractNum>
  <w:abstractNum w:abstractNumId="30">
    <w:nsid w:val="3DC240FB"/>
    <w:multiLevelType w:val="hybridMultilevel"/>
    <w:lvl w:ilvl="0">
      <w:lvlJc w:val="left"/>
      <w:lvlText w:val="o"/>
      <w:numFmt w:val="bullet"/>
      <w:start w:val="1"/>
    </w:lvl>
  </w:abstractNum>
  <w:abstractNum w:abstractNumId="31">
    <w:nsid w:val="1BA026FA"/>
    <w:multiLevelType w:val="hybridMultilevel"/>
    <w:lvl w:ilvl="0">
      <w:lvlJc w:val="left"/>
      <w:lvlText w:val="o"/>
      <w:numFmt w:val="bullet"/>
      <w:start w:val="1"/>
    </w:lvl>
  </w:abstractNum>
  <w:abstractNum w:abstractNumId="32">
    <w:nsid w:val="79A1DEAA"/>
    <w:multiLevelType w:val="hybridMultilevel"/>
    <w:lvl w:ilvl="0">
      <w:lvlJc w:val="left"/>
      <w:lvlText w:val="1"/>
      <w:numFmt w:val="bullet"/>
      <w:start w:val="1"/>
    </w:lvl>
  </w:abstractNum>
  <w:abstractNum w:abstractNumId="33">
    <w:nsid w:val="75C6C33A"/>
    <w:multiLevelType w:val="hybridMultilevel"/>
    <w:lvl w:ilvl="0">
      <w:lvlJc w:val="left"/>
      <w:lvlText w:val="2"/>
      <w:numFmt w:val="bullet"/>
      <w:start w:val="1"/>
    </w:lvl>
  </w:abstractNum>
  <w:abstractNum w:abstractNumId="34">
    <w:nsid w:val="12E685FB"/>
    <w:multiLevelType w:val="hybridMultilevel"/>
    <w:lvl w:ilvl="0">
      <w:lvlJc w:val="left"/>
      <w:lvlText w:val="·"/>
      <w:numFmt w:val="bullet"/>
      <w:start w:val="1"/>
    </w:lvl>
  </w:abstractNum>
  <w:abstractNum w:abstractNumId="35">
    <w:nsid w:val="70C6A529"/>
    <w:multiLevelType w:val="hybridMultilevel"/>
    <w:lvl w:ilvl="0">
      <w:lvlJc w:val="left"/>
      <w:lvlText w:val="·"/>
      <w:numFmt w:val="bullet"/>
      <w:start w:val="1"/>
    </w:lvl>
  </w:abstractNum>
  <w:abstractNum w:abstractNumId="36">
    <w:nsid w:val="520EEDD1"/>
    <w:multiLevelType w:val="hybridMultilevel"/>
    <w:lvl w:ilvl="0">
      <w:lvlJc w:val="left"/>
      <w:lvlText w:val="·"/>
      <w:numFmt w:val="bullet"/>
      <w:start w:val="1"/>
    </w:lvl>
  </w:abstractNum>
  <w:abstractNum w:abstractNumId="37">
    <w:nsid w:val="374A3FE6"/>
    <w:multiLevelType w:val="hybridMultilevel"/>
    <w:lvl w:ilvl="0">
      <w:lvlJc w:val="left"/>
      <w:lvlText w:val="1"/>
      <w:numFmt w:val="bullet"/>
      <w:start w:val="1"/>
    </w:lvl>
  </w:abstractNum>
  <w:abstractNum w:abstractNumId="38">
    <w:nsid w:val="4F4EF005"/>
    <w:multiLevelType w:val="hybridMultilevel"/>
    <w:lvl w:ilvl="0">
      <w:lvlJc w:val="left"/>
      <w:lvlText w:val="·"/>
      <w:numFmt w:val="bullet"/>
      <w:start w:val="1"/>
    </w:lvl>
  </w:abstractNum>
  <w:abstractNum w:abstractNumId="39">
    <w:nsid w:val="23F9C13C"/>
    <w:multiLevelType w:val="hybridMultilevel"/>
    <w:lvl w:ilvl="0">
      <w:lvlJc w:val="left"/>
      <w:lvlText w:val="·"/>
      <w:numFmt w:val="bullet"/>
      <w:start w:val="1"/>
    </w:lvl>
  </w:abstractNum>
  <w:abstractNum w:abstractNumId="40">
    <w:nsid w:val="649BB77C"/>
    <w:multiLevelType w:val="hybridMultilevel"/>
    <w:lvl w:ilvl="0">
      <w:lvlJc w:val="left"/>
      <w:lvlText w:val="1"/>
      <w:numFmt w:val="bullet"/>
      <w:start w:val="1"/>
    </w:lvl>
  </w:abstractNum>
  <w:abstractNum w:abstractNumId="41">
    <w:nsid w:val="275AC794"/>
    <w:multiLevelType w:val="hybridMultilevel"/>
    <w:lvl w:ilvl="0">
      <w:lvlJc w:val="left"/>
      <w:lvlText w:val="·"/>
      <w:numFmt w:val="bullet"/>
      <w:start w:val="1"/>
    </w:lvl>
  </w:abstractNum>
  <w:abstractNum w:abstractNumId="42">
    <w:nsid w:val="39386575"/>
    <w:multiLevelType w:val="hybridMultilevel"/>
    <w:lvl w:ilvl="0">
      <w:lvlJc w:val="left"/>
      <w:lvlText w:val="1"/>
      <w:numFmt w:val="bullet"/>
      <w:start w:val="1"/>
    </w:lvl>
  </w:abstractNum>
  <w:abstractNum w:abstractNumId="43">
    <w:nsid w:val="1CF10FD8"/>
    <w:multiLevelType w:val="hybridMultilevel"/>
    <w:lvl w:ilvl="0">
      <w:lvlJc w:val="left"/>
      <w:lvlText w:val="·"/>
      <w:numFmt w:val="bullet"/>
      <w:start w:val="1"/>
    </w:lvl>
  </w:abstractNum>
  <w:abstractNum w:abstractNumId="44">
    <w:nsid w:val="180115BE"/>
    <w:multiLevelType w:val="hybridMultilevel"/>
    <w:lvl w:ilvl="0">
      <w:lvlJc w:val="left"/>
      <w:lvlText w:val="1"/>
      <w:numFmt w:val="bullet"/>
      <w:start w:val="1"/>
    </w:lvl>
  </w:abstractNum>
  <w:abstractNum w:abstractNumId="45">
    <w:nsid w:val="235BA861"/>
    <w:multiLevelType w:val="hybridMultilevel"/>
    <w:lvl w:ilvl="0">
      <w:lvlJc w:val="left"/>
      <w:lvlText w:val="·"/>
      <w:numFmt w:val="bullet"/>
      <w:start w:val="1"/>
    </w:lvl>
  </w:abstractNum>
  <w:abstractNum w:abstractNumId="46">
    <w:nsid w:val="47398C89"/>
    <w:multiLevelType w:val="hybridMultilevel"/>
    <w:lvl w:ilvl="0">
      <w:lvlJc w:val="left"/>
      <w:lvlText w:val="1"/>
      <w:numFmt w:val="bullet"/>
      <w:start w:val="1"/>
    </w:lvl>
  </w:abstractNum>
  <w:abstractNum w:abstractNumId="47">
    <w:nsid w:val="354FE9F9"/>
    <w:multiLevelType w:val="hybridMultilevel"/>
    <w:lvl w:ilvl="0">
      <w:lvlJc w:val="left"/>
      <w:lvlText w:val="1"/>
      <w:numFmt w:val="bullet"/>
      <w:start w:val="1"/>
    </w:lvl>
  </w:abstractNum>
  <w:abstractNum w:abstractNumId="48">
    <w:nsid w:val="15B5AF5C"/>
    <w:multiLevelType w:val="hybridMultilevel"/>
    <w:lvl w:ilvl="0">
      <w:lvlJc w:val="left"/>
      <w:lvlText w:val="o"/>
      <w:numFmt w:val="bullet"/>
      <w:start w:val="1"/>
    </w:lvl>
  </w:abstractNum>
  <w:abstractNum w:abstractNumId="49">
    <w:nsid w:val="741226BB"/>
    <w:multiLevelType w:val="hybridMultilevel"/>
    <w:lvl w:ilvl="0">
      <w:lvlJc w:val="left"/>
      <w:lvlText w:val="o"/>
      <w:numFmt w:val="bullet"/>
      <w:start w:val="1"/>
    </w:lvl>
  </w:abstractNum>
  <w:abstractNum w:abstractNumId="50">
    <w:nsid w:val="D34B6A8"/>
    <w:multiLevelType w:val="hybridMultilevel"/>
    <w:lvl w:ilvl="0">
      <w:lvlJc w:val="left"/>
      <w:lvlText w:val="1"/>
      <w:numFmt w:val="bullet"/>
      <w:start w:val="1"/>
    </w:lvl>
  </w:abstractNum>
  <w:abstractNum w:abstractNumId="51">
    <w:nsid w:val="10233C99"/>
    <w:multiLevelType w:val="hybridMultilevel"/>
    <w:lvl w:ilvl="0">
      <w:lvlJc w:val="left"/>
      <w:lvlText w:val="(%1)"/>
      <w:numFmt w:val="lowerRoman"/>
      <w:start w:val="1"/>
    </w:lvl>
  </w:abstractNum>
  <w:abstractNum w:abstractNumId="52">
    <w:nsid w:val="3F6AB60F"/>
    <w:multiLevelType w:val="hybridMultilevel"/>
    <w:lvl w:ilvl="0">
      <w:lvlJc w:val="left"/>
      <w:lvlText w:val="(%1)"/>
      <w:numFmt w:val="lowerRoman"/>
      <w:start w:val="4"/>
    </w:lvl>
  </w:abstractNum>
  <w:abstractNum w:abstractNumId="53">
    <w:nsid w:val="61574095"/>
    <w:multiLevelType w:val="hybridMultilevel"/>
    <w:lvl w:ilvl="0">
      <w:lvlJc w:val="left"/>
      <w:lvlText w:val="(%1)"/>
      <w:numFmt w:val="decimal"/>
      <w:start w:val="1"/>
    </w:lvl>
  </w:abstractNum>
  <w:abstractNum w:abstractNumId="54">
    <w:nsid w:val="7E0C57B1"/>
    <w:multiLevelType w:val="hybridMultilevel"/>
    <w:lvl w:ilvl="0">
      <w:lvlJc w:val="left"/>
      <w:lvlText w:val="(%1)"/>
      <w:numFmt w:val="decimal"/>
      <w:start w:val="2"/>
    </w:lvl>
  </w:abstractNum>
  <w:abstractNum w:abstractNumId="55">
    <w:nsid w:val="77AE35EB"/>
    <w:multiLevelType w:val="hybridMultilevel"/>
    <w:lvl w:ilvl="0">
      <w:lvlJc w:val="left"/>
      <w:lvlText w:val="*"/>
      <w:numFmt w:val="bullet"/>
      <w:start w:val="1"/>
    </w:lvl>
  </w:abstractNum>
  <w:abstractNum w:abstractNumId="56">
    <w:nsid w:val="579BE4F1"/>
    <w:multiLevelType w:val="hybridMultilevel"/>
    <w:lvl w:ilvl="0">
      <w:lvlJc w:val="left"/>
      <w:lvlText w:val="(%1)"/>
      <w:numFmt w:val="decimal"/>
      <w:start w:val="4"/>
    </w:lvl>
  </w:abstractNum>
  <w:abstractNum w:abstractNumId="57">
    <w:nsid w:val="310C50B3"/>
    <w:multiLevelType w:val="hybridMultilevel"/>
    <w:lvl w:ilvl="0">
      <w:lvlJc w:val="left"/>
      <w:lvlText w:val="(%1)"/>
      <w:numFmt w:val="decimal"/>
      <w:start w:val="3"/>
    </w:lvl>
  </w:abstractNum>
  <w:abstractNum w:abstractNumId="58">
    <w:nsid w:val="5FF87E05"/>
    <w:multiLevelType w:val="hybridMultilevel"/>
    <w:lvl w:ilvl="0">
      <w:lvlJc w:val="left"/>
      <w:lvlText w:val="(%1)"/>
      <w:numFmt w:val="decimal"/>
      <w:start w:val="1"/>
    </w:lvl>
  </w:abstractNum>
  <w:abstractNum w:abstractNumId="59">
    <w:nsid w:val="2F305DEF"/>
    <w:multiLevelType w:val="hybridMultilevel"/>
    <w:lvl w:ilvl="0">
      <w:lvlJc w:val="left"/>
      <w:lvlText w:val="(%1)"/>
      <w:numFmt w:val="decimal"/>
      <w:start w:val="3"/>
    </w:lvl>
  </w:abstractNum>
  <w:abstractNum w:abstractNumId="60">
    <w:nsid w:val="25A70BF7"/>
    <w:multiLevelType w:val="hybridMultilevel"/>
    <w:lvl w:ilvl="0">
      <w:lvlJc w:val="left"/>
      <w:lvlText w:val="(%1)"/>
      <w:numFmt w:val="decimal"/>
      <w:start w:val="1"/>
    </w:lvl>
  </w:abstractNum>
  <w:abstractNum w:abstractNumId="61">
    <w:nsid w:val="1DBABF00"/>
    <w:multiLevelType w:val="hybridMultilevel"/>
    <w:lvl w:ilvl="0">
      <w:lvlJc w:val="left"/>
      <w:lvlText w:val="(%1)"/>
      <w:numFmt w:val="decimal"/>
      <w:start w:val="1"/>
    </w:lvl>
  </w:abstractNum>
  <w:abstractNum w:abstractNumId="62">
    <w:nsid w:val="4AD084E9"/>
    <w:multiLevelType w:val="hybridMultilevel"/>
    <w:lvl w:ilvl="0">
      <w:lvlJc w:val="left"/>
      <w:lvlText w:val="(%1)"/>
      <w:numFmt w:val="decimal"/>
      <w:start w:val="1"/>
    </w:lvl>
  </w:abstractNum>
  <w:abstractNum w:abstractNumId="63">
    <w:nsid w:val="1F48EAA1"/>
    <w:multiLevelType w:val="hybridMultilevel"/>
    <w:lvl w:ilvl="0">
      <w:lvlJc w:val="left"/>
      <w:lvlText w:val="(%1)"/>
      <w:numFmt w:val="decimal"/>
      <w:start w:val="1"/>
    </w:lvl>
  </w:abstractNum>
  <w:abstractNum w:abstractNumId="64">
    <w:nsid w:val="1381823A"/>
    <w:multiLevelType w:val="hybridMultilevel"/>
    <w:lvl w:ilvl="0">
      <w:lvlJc w:val="left"/>
      <w:lvlText w:val="(%1)"/>
      <w:numFmt w:val="decimal"/>
      <w:start w:val="2"/>
    </w:lvl>
  </w:abstractNum>
  <w:abstractNum w:abstractNumId="65">
    <w:nsid w:val="5DB70AE5"/>
    <w:multiLevelType w:val="hybridMultilevel"/>
    <w:lvl w:ilvl="0">
      <w:lvlJc w:val="left"/>
      <w:lvlText w:val="(%1)"/>
      <w:numFmt w:val="decimal"/>
      <w:start w:val="4"/>
    </w:lvl>
  </w:abstractNum>
  <w:abstractNum w:abstractNumId="66">
    <w:nsid w:val="100F8FCA"/>
    <w:multiLevelType w:val="hybridMultilevel"/>
    <w:lvl w:ilvl="0">
      <w:lvlJc w:val="left"/>
      <w:lvlText w:val="(%1)"/>
      <w:numFmt w:val="decimal"/>
      <w:start w:val="1"/>
    </w:lvl>
  </w:abstractNum>
  <w:abstractNum w:abstractNumId="67">
    <w:nsid w:val="6590700B"/>
    <w:multiLevelType w:val="hybridMultilevel"/>
    <w:lvl w:ilvl="0">
      <w:lvlJc w:val="left"/>
      <w:lvlText w:val="1"/>
      <w:numFmt w:val="bullet"/>
      <w:start w:val="1"/>
    </w:lvl>
  </w:abstractNum>
  <w:abstractNum w:abstractNumId="68">
    <w:nsid w:val="15014ACB"/>
    <w:multiLevelType w:val="hybridMultilevel"/>
    <w:lvl w:ilvl="0">
      <w:lvlJc w:val="left"/>
      <w:lvlText w:val="•"/>
      <w:numFmt w:val="bullet"/>
      <w:start w:val="1"/>
    </w:lvl>
  </w:abstractNum>
  <w:abstractNum w:abstractNumId="69">
    <w:nsid w:val="5F5E7FD0"/>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jpe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jpe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2026-03-23T12:22:56Z</dcterms:created>
  <dcterms:modified xsi:type="dcterms:W3CDTF">2026-03-23T12:22:56Z</dcterms:modified>
</cp:coreProperties>
</file>