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CAO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8,222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102.9254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122,585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At June 30, 2025, the Reporting Person owned 5,832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2025-07-28T07:37:40Z</dcterms:created>
  <dcterms:modified xsi:type="dcterms:W3CDTF">2025-07-28T07:37:40Z</dcterms:modified>
</cp:coreProperties>
</file>